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v2.8</w:t>
      </w:r>
    </w:p>
    <w:p>
      <w:r>
        <w:t>绝密文件</w:t>
      </w:r>
    </w:p>
    <w:p>
      <w:r>
        <w:t>文档编号：DOC-95419</w:t>
      </w:r>
    </w:p>
    <w:p>
      <w:r>
        <w:t>密级：绝密</w:t>
      </w:r>
    </w:p>
    <w:p>
      <w:r>
        <w:t>访问控制：仅限安全委员会</w:t>
      </w:r>
    </w:p>
    <w:p>
      <w:r>
        <w:t>1. 核心实现</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p>
      <w:r>
        <w:t>2. 安全控制</w:t>
      </w:r>
    </w:p>
    <w:p>
      <w:r>
        <w:t>核心推理链路将71个特征按静态属性、行为窗口和上下文信号分层编码，在线服务优先命中近端缓存，访问控制上采用最小权限模型，研发、运维与安全角色分离管理，涉及模型参数和回放样本的操作均需双人审批。</w:t>
      </w:r>
    </w:p>
    <w:p>
      <w:r>
        <w:t>3. 技术目标</w:t>
      </w:r>
    </w:p>
    <w:p>
      <w:r>
        <w:t>本方案面向日志分析平台的关键能力升级，核心目标是在保证现网稳定的前提下完成索引算法的在线服务化改造，部署前需完成接口压测、权限复核、日志抽样和依赖健康检查四项门禁，任一项未通过均不得签署上线确认单。</w:t>
      </w:r>
    </w:p>
    <w:p>
      <w:r>
        <w:t>4. 部署策略</w:t>
      </w:r>
    </w:p>
    <w:p>
      <w:r>
        <w:t>本方案面向日志分析平台的关键能力升级，核心目标是在保证现网稳定的前提下完成索引算法的在线服务化改造，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