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文档编号：DOC-90418</w:t>
      </w:r>
    </w:p>
    <w:p>
      <w:r>
        <w:t>密级：绝密</w:t>
      </w:r>
    </w:p>
    <w:p>
      <w:r>
        <w:t>访问控制：仅限核心研发组</w:t>
      </w:r>
    </w:p>
    <w:p>
      <w:r>
        <w:t>1. 安全控制</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2. 部署策略</w:t>
      </w:r>
    </w:p>
    <w:p>
      <w:r>
        <w:t>本方案面向预算管理系统的关键能力升级，核心目标是在保证现网稳定的前提下完成索引算法的在线服务化改造，漏洞治理遵循发现、分级、修复、复测和复盘的闭环流程，高危问题必须在{notice_period}个工作日内完成补丁验证与回归。</w:t>
      </w:r>
    </w:p>
    <w:p>
      <w:r>
        <w:t>3. 核心实现</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p>
      <w:r>
        <w:t>4. 技术目标</w:t>
      </w:r>
    </w:p>
    <w:p>
      <w:r>
        <w:t>本方案面向预算管理系统的关键能力升级，核心目标是在保证现网稳定的前提下完成索引算法的在线服务化改造，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