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裁员计划：产品部门</w:t>
      </w:r>
    </w:p>
    <w:p>
      <w:r>
        <w:t>绝密 - 仅限董事会成员</w:t>
      </w:r>
    </w:p>
    <w:p>
      <w:r>
        <w:t>方案名称：战略转型方案</w:t>
      </w:r>
    </w:p>
    <w:p>
      <w:r>
        <w:t>起草人：刘七</w:t>
      </w:r>
    </w:p>
    <w:p>
      <w:r>
        <w:t>日期：2024-01-24</w:t>
      </w:r>
    </w:p>
    <w:p>
      <w:r>
        <w:t>一、背景分析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二、实施计划</w:t>
      </w:r>
    </w:p>
    <w:p>
      <w:r>
        <w:t>结合2025年度经营目标与组织盘点结果，当前产品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p>
      <w:r>
        <w:t>三、保留策略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p>
      <w:r>
        <w:t>四、沟通机制</w:t>
      </w:r>
    </w:p>
    <w:p>
      <w:r>
        <w:t>截至2024-02-20，本轮评估已覆盖134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