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起草人：张三</w:t>
      </w:r>
    </w:p>
    <w:p>
      <w:r>
        <w:t>日期：2024-07-10</w:t>
      </w:r>
    </w:p>
    <w:p>
      <w:r>
        <w:t>一、影响评估</w:t>
      </w:r>
    </w:p>
    <w:p>
      <w:r>
        <w:t>结合2024年度经营目标与组织盘点结果，当前技术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二、沟通机制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三、背景分析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四、方案安排</w:t>
      </w:r>
    </w:p>
    <w:p>
      <w:r>
        <w:t>截至2024-05-10，本轮评估已覆盖128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