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裁员计划：法务部门</w:t>
      </w:r>
    </w:p>
    <w:p>
      <w:r>
        <w:t>绝密 - 仅限董事会成员</w:t>
      </w:r>
    </w:p>
    <w:p>
      <w:r>
        <w:t>方案名称：薪酬调整计划</w:t>
      </w:r>
    </w:p>
    <w:p>
      <w:r>
        <w:t>起草人：李四</w:t>
      </w:r>
    </w:p>
    <w:p>
      <w:r>
        <w:t>日期：2024-05-02</w:t>
      </w:r>
    </w:p>
    <w:p>
      <w:r>
        <w:t>一、背景分析</w:t>
      </w:r>
    </w:p>
    <w:p>
      <w:r>
        <w:t>结合2025年度经营目标与组织盘点结果，当前法务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二、影响评估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三、方案安排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四、保留策略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