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方案名称：岗位调整方案</w:t>
      </w:r>
    </w:p>
    <w:p>
      <w:r>
        <w:t>起草人：周九</w:t>
      </w:r>
    </w:p>
    <w:p>
      <w:r>
        <w:t>日期：2024-02-14</w:t>
      </w:r>
    </w:p>
    <w:p>
      <w:r>
        <w:t>一、背景分析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二、实施计划</w:t>
      </w:r>
    </w:p>
    <w:p>
      <w:r>
        <w:t>组织架构调整拟将分散在多个小组的审批、运营和支持职能收拢到共享平台，业务侧仅保留与收入和交付强相关的前线岗位，方案执行期间需同步准备沟通口径、权限回收清单和知识交接台账，避免在离岗窗口形成服务中断和合规风险。</w:t>
      </w:r>
    </w:p>
    <w:p>
      <w:r>
        <w:t>三、沟通机制</w:t>
      </w:r>
    </w:p>
    <w:p>
      <w:r>
        <w:t>截至2024-04-27，本轮评估已覆盖146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四、方案安排</w:t>
      </w:r>
    </w:p>
    <w:p>
      <w:r>
        <w:t>截至2024-04-27，本轮评估已覆盖146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