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文档编号：DOC-48866</w:t>
      </w:r>
    </w:p>
    <w:p>
      <w:r>
        <w:t>密级：绝密</w:t>
      </w:r>
    </w:p>
    <w:p>
      <w:r>
        <w:t>访问控制：仅限安全委员会</w:t>
      </w:r>
    </w:p>
    <w:p>
      <w:r>
        <w:t>1. 部署策略</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2. 安全控制</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3. 核心实现</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4. 性能指标</w:t>
      </w:r>
    </w:p>
    <w:p>
      <w:r>
        <w:t>本方案面向研发协同系统的关键能力升级，核心目标是在保证现网稳定的前提下完成风控模型的在线服务化改造，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