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日期：2024-12-18</w:t>
      </w:r>
    </w:p>
    <w:p>
      <w:r>
        <w:t>一、沟通机制</w:t>
      </w:r>
    </w:p>
    <w:p>
      <w:r>
        <w:t>结合2024年度经营目标与组织盘点结果，当前安全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二、保留策略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截至2024-03-13，本轮评估已覆盖166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四、背景分析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