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组织架构调整方案（草案）</w:t>
      </w:r>
    </w:p>
    <w:p>
      <w:r>
        <w:t>绝密 - 仅限董事会成员</w:t>
      </w:r>
    </w:p>
    <w:p>
      <w:r>
        <w:t>方案名称：战略转型方案</w:t>
      </w:r>
    </w:p>
    <w:p>
      <w:r>
        <w:t>起草人：周九</w:t>
      </w:r>
    </w:p>
    <w:p>
      <w:r>
        <w:t>日期：2024-07-19</w:t>
      </w:r>
    </w:p>
    <w:p>
      <w:r>
        <w:t>一、沟通机制</w:t>
      </w:r>
    </w:p>
    <w:p>
      <w:r>
        <w:t>截至2024-01-03，本轮评估已覆盖12名正式员工和关键外包岗位，访谈、绩效和市场薪酬样本已完成初步整理，落地后一个月内，人力团队需提交复盘报告，评估离职风险、岗位补位效率和成本兑现情况，再决定是否进入第二轮优化。</w:t>
      </w:r>
    </w:p>
    <w:p>
      <w:r>
        <w:t>二、方案安排</w:t>
      </w:r>
    </w:p>
    <w:p>
      <w:r>
        <w:t>近期业务结构调整后，原有编制与薪酬带宽已难以准确反映实际职责差异，如继续沿用旧方案将加大核心岗位流失风险，方案执行期间需同步准备沟通口径、权限回收清单和知识交接台账，避免在离岗窗口形成服务中断和合规风险。</w:t>
      </w:r>
    </w:p>
    <w:p>
      <w:r>
        <w:t>三、保留策略</w:t>
      </w:r>
    </w:p>
    <w:p>
      <w:r>
        <w:t>近期业务结构调整后，原有编制与薪酬带宽已难以准确反映实际职责差异，如继续沿用旧方案将加大核心岗位流失风险，落地后一个月内，人力团队需提交复盘报告，评估离职风险、岗位补位效率和成本兑现情况，再决定是否进入第二轮优化。</w:t>
      </w:r>
    </w:p>
    <w:p>
      <w:r>
        <w:t>四、实施计划</w:t>
      </w:r>
    </w:p>
    <w:p>
      <w:r>
        <w:t>截至2024-01-03，本轮评估已覆盖12名正式员工和关键外包岗位，访谈、绩效和市场薪酬样本已完成初步整理，方案执行期间需同步准备沟通口径、权限回收清单和知识交接台账，避免在离岗窗口形成服务中断和合规风险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