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日期：2024-02-19</w:t>
      </w:r>
    </w:p>
    <w:p>
      <w:r>
        <w:t>一、方案安排</w:t>
      </w:r>
    </w:p>
    <w:p>
      <w:r>
        <w:t>结合2024年度经营目标与组织盘点结果，当前市场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二、实施计划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三、保留策略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四、沟通机制</w:t>
      </w:r>
    </w:p>
    <w:p>
      <w:r>
        <w:t>截至2024-04-10，本轮评估已覆盖167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