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漏洞分析报告：CVE-2024-59820</w:t>
      </w:r>
    </w:p>
    <w:p>
      <w:r>
        <w:t>绝密文件</w:t>
      </w:r>
    </w:p>
    <w:p>
      <w:r>
        <w:t>文档编号：DOC-49378</w:t>
      </w:r>
    </w:p>
    <w:p>
      <w:r>
        <w:t>密级：绝密</w:t>
      </w:r>
    </w:p>
    <w:p>
      <w:r>
        <w:t>访问控制：仅限核心研发组</w:t>
      </w:r>
    </w:p>
    <w:p>
      <w:r>
        <w:t>1. 核心实现</w:t>
      </w:r>
    </w:p>
    <w:p>
      <w:r>
        <w:t>当前版本重点解决特征时效性、缓存穿透和跨区域部署一致性问题，计划通过统一元数据管理与灰度流量切分提升可控性，部署前需完成接口压测、权限复核、日志抽样和依赖健康检查四项门禁，任一项未通过均不得签署上线确认单。</w:t>
      </w:r>
    </w:p>
    <w:p>
      <w:r>
        <w:t>2. 审计要求</w:t>
      </w:r>
    </w:p>
    <w:p>
      <w:r>
        <w:t>核心推理链路将153个特征按静态属性、行为窗口和上下文信号分层编码，在线服务优先命中近端缓存，部署前需完成接口压测、权限复核、日志抽样和依赖健康检查四项门禁，任一项未通过均不得签署上线确认单。</w:t>
      </w:r>
    </w:p>
    <w:p>
      <w:r>
        <w:t>3. 部署策略</w:t>
      </w:r>
    </w:p>
    <w:p>
      <w:r>
        <w:t>当前版本重点解决特征时效性、缓存穿透和跨区域部署一致性问题，计划通过统一元数据管理与灰度流量切分提升可控性，漏洞治理遵循发现、分级、修复、复测和复盘的闭环流程，高危问题必须在{notice_period}个工作日内完成补丁验证与回归。</w:t>
      </w:r>
    </w:p>
    <w:p>
      <w:r>
        <w:t>4. 安全控制</w:t>
      </w:r>
    </w:p>
    <w:p>
      <w:r>
        <w:t>技术路线兼顾性能与可维护性，所有关键模块均要求具备配置热更新、指标埋点和异常熔断能力，部署前需完成接口压测、权限复核、日志抽样和依赖健康检查四项门禁，任一项未通过均不得签署上线确认单。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08080"/>
        <w:sz w:val="16"/>
      </w:rPr>
      <w:t>内部文档 - 请勿外传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