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CCEE1" w14:textId="08923284" w:rsidR="006513EF" w:rsidRPr="001B5C0A" w:rsidRDefault="006513EF" w:rsidP="00BD12CF">
      <w:pPr>
        <w:pStyle w:val="ListParagraph"/>
        <w:numPr>
          <w:ilvl w:val="0"/>
          <w:numId w:val="2"/>
        </w:numPr>
        <w:rPr>
          <w:b/>
        </w:rPr>
      </w:pPr>
      <w:r w:rsidRPr="001B5C0A">
        <w:rPr>
          <w:b/>
        </w:rPr>
        <w:t>Table summarizing stent development.</w:t>
      </w:r>
      <w:r w:rsidR="00BD12CF" w:rsidRPr="001B5C0A">
        <w:rPr>
          <w:b/>
        </w:rPr>
        <w:t xml:space="preserve"> </w:t>
      </w:r>
      <w:r w:rsidRPr="001B5C0A">
        <w:rPr>
          <w:b/>
        </w:rPr>
        <w:t>Because of personal interest, focus was put on the materials</w:t>
      </w:r>
      <w:r w:rsidR="00C610E2" w:rsidRPr="001B5C0A">
        <w:rPr>
          <w:b/>
        </w:rPr>
        <w:t>, and their effects,</w:t>
      </w:r>
      <w:r w:rsidRPr="001B5C0A">
        <w:rPr>
          <w:b/>
        </w:rPr>
        <w:t xml:space="preserve"> used for coronary artery stents. </w:t>
      </w:r>
    </w:p>
    <w:tbl>
      <w:tblPr>
        <w:tblStyle w:val="PlainTable3"/>
        <w:tblW w:w="10170" w:type="dxa"/>
        <w:tblInd w:w="-365" w:type="dxa"/>
        <w:tblLook w:val="04A0" w:firstRow="1" w:lastRow="0" w:firstColumn="1" w:lastColumn="0" w:noHBand="0" w:noVBand="1"/>
      </w:tblPr>
      <w:tblGrid>
        <w:gridCol w:w="2070"/>
        <w:gridCol w:w="3600"/>
        <w:gridCol w:w="4500"/>
      </w:tblGrid>
      <w:tr w:rsidR="001B5C0A" w:rsidRPr="001B5C0A" w14:paraId="65AC9F6F" w14:textId="77777777" w:rsidTr="007E0B55">
        <w:trPr>
          <w:cnfStyle w:val="100000000000" w:firstRow="1" w:lastRow="0" w:firstColumn="0" w:lastColumn="0" w:oddVBand="0" w:evenVBand="0" w:oddHBand="0" w:evenHBand="0" w:firstRowFirstColumn="0" w:firstRowLastColumn="0" w:lastRowFirstColumn="0" w:lastRowLastColumn="0"/>
          <w:trHeight w:val="530"/>
        </w:trPr>
        <w:tc>
          <w:tcPr>
            <w:cnfStyle w:val="001000000100" w:firstRow="0" w:lastRow="0" w:firstColumn="1" w:lastColumn="0" w:oddVBand="0" w:evenVBand="0" w:oddHBand="0" w:evenHBand="0" w:firstRowFirstColumn="1" w:firstRowLastColumn="0" w:lastRowFirstColumn="0" w:lastRowLastColumn="0"/>
            <w:tcW w:w="2070" w:type="dxa"/>
            <w:tcBorders>
              <w:top w:val="single" w:sz="4" w:space="0" w:color="auto"/>
              <w:left w:val="single" w:sz="4" w:space="0" w:color="auto"/>
              <w:bottom w:val="single" w:sz="4" w:space="0" w:color="auto"/>
            </w:tcBorders>
            <w:vAlign w:val="center"/>
          </w:tcPr>
          <w:p w14:paraId="12FAFD32" w14:textId="46321251" w:rsidR="00030905" w:rsidRPr="001B5C0A" w:rsidRDefault="00030905" w:rsidP="007E0B55">
            <w:pPr>
              <w:jc w:val="center"/>
              <w:rPr>
                <w:b w:val="0"/>
              </w:rPr>
            </w:pPr>
            <w:r w:rsidRPr="001B5C0A">
              <w:t>Year</w:t>
            </w:r>
          </w:p>
        </w:tc>
        <w:tc>
          <w:tcPr>
            <w:tcW w:w="3600" w:type="dxa"/>
            <w:tcBorders>
              <w:top w:val="single" w:sz="4" w:space="0" w:color="auto"/>
              <w:bottom w:val="single" w:sz="4" w:space="0" w:color="auto"/>
              <w:right w:val="single" w:sz="4" w:space="0" w:color="auto"/>
            </w:tcBorders>
            <w:vAlign w:val="center"/>
          </w:tcPr>
          <w:p w14:paraId="41D016AB" w14:textId="21694C7F" w:rsidR="00030905" w:rsidRPr="001B5C0A" w:rsidRDefault="00030905" w:rsidP="007E0B55">
            <w:pPr>
              <w:jc w:val="center"/>
              <w:cnfStyle w:val="100000000000" w:firstRow="1" w:lastRow="0" w:firstColumn="0" w:lastColumn="0" w:oddVBand="0" w:evenVBand="0" w:oddHBand="0" w:evenHBand="0" w:firstRowFirstColumn="0" w:firstRowLastColumn="0" w:lastRowFirstColumn="0" w:lastRowLastColumn="0"/>
              <w:rPr>
                <w:b w:val="0"/>
              </w:rPr>
            </w:pPr>
            <w:r w:rsidRPr="001B5C0A">
              <w:t>Innovation</w:t>
            </w:r>
          </w:p>
        </w:tc>
        <w:tc>
          <w:tcPr>
            <w:tcW w:w="4500" w:type="dxa"/>
            <w:tcBorders>
              <w:top w:val="single" w:sz="4" w:space="0" w:color="auto"/>
              <w:left w:val="single" w:sz="4" w:space="0" w:color="auto"/>
              <w:bottom w:val="single" w:sz="4" w:space="0" w:color="auto"/>
              <w:right w:val="single" w:sz="4" w:space="0" w:color="auto"/>
            </w:tcBorders>
            <w:vAlign w:val="center"/>
          </w:tcPr>
          <w:p w14:paraId="67027E1A" w14:textId="1206BF20" w:rsidR="00030905" w:rsidRPr="001B5C0A" w:rsidRDefault="00030905" w:rsidP="007E0B55">
            <w:pPr>
              <w:jc w:val="center"/>
              <w:cnfStyle w:val="100000000000" w:firstRow="1" w:lastRow="0" w:firstColumn="0" w:lastColumn="0" w:oddVBand="0" w:evenVBand="0" w:oddHBand="0" w:evenHBand="0" w:firstRowFirstColumn="0" w:firstRowLastColumn="0" w:lastRowFirstColumn="0" w:lastRowLastColumn="0"/>
              <w:rPr>
                <w:b w:val="0"/>
              </w:rPr>
            </w:pPr>
            <w:r w:rsidRPr="001B5C0A">
              <w:t>Source</w:t>
            </w:r>
          </w:p>
        </w:tc>
      </w:tr>
      <w:tr w:rsidR="001B5C0A" w:rsidRPr="001B5C0A" w14:paraId="3AB31A13" w14:textId="77777777" w:rsidTr="007E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2A6D460F" w14:textId="7C50C1DE" w:rsidR="00030905" w:rsidRPr="001B5C0A" w:rsidRDefault="00030905" w:rsidP="00191150">
            <w:pPr>
              <w:jc w:val="center"/>
            </w:pPr>
            <w:r w:rsidRPr="001B5C0A">
              <w:t>1986</w:t>
            </w:r>
          </w:p>
        </w:tc>
        <w:tc>
          <w:tcPr>
            <w:tcW w:w="3600" w:type="dxa"/>
            <w:tcBorders>
              <w:top w:val="single" w:sz="4" w:space="0" w:color="auto"/>
              <w:bottom w:val="single" w:sz="4" w:space="0" w:color="auto"/>
              <w:right w:val="single" w:sz="4" w:space="0" w:color="auto"/>
            </w:tcBorders>
            <w:vAlign w:val="center"/>
          </w:tcPr>
          <w:p w14:paraId="3D257408" w14:textId="49A4139F" w:rsidR="00030905" w:rsidRPr="001B5C0A" w:rsidRDefault="00030905" w:rsidP="00191150">
            <w:pPr>
              <w:jc w:val="center"/>
              <w:cnfStyle w:val="000000100000" w:firstRow="0" w:lastRow="0" w:firstColumn="0" w:lastColumn="0" w:oddVBand="0" w:evenVBand="0" w:oddHBand="1" w:evenHBand="0" w:firstRowFirstColumn="0" w:firstRowLastColumn="0" w:lastRowFirstColumn="0" w:lastRowLastColumn="0"/>
            </w:pPr>
            <w:r w:rsidRPr="001B5C0A">
              <w:t>First Intracoronary Stent</w:t>
            </w:r>
          </w:p>
        </w:tc>
        <w:tc>
          <w:tcPr>
            <w:tcW w:w="4500" w:type="dxa"/>
            <w:tcBorders>
              <w:top w:val="single" w:sz="4" w:space="0" w:color="auto"/>
              <w:left w:val="single" w:sz="4" w:space="0" w:color="auto"/>
              <w:bottom w:val="single" w:sz="4" w:space="0" w:color="auto"/>
              <w:right w:val="single" w:sz="4" w:space="0" w:color="auto"/>
            </w:tcBorders>
          </w:tcPr>
          <w:p w14:paraId="60E134CA" w14:textId="22018FC2" w:rsidR="00030905" w:rsidRPr="001B5C0A" w:rsidRDefault="00AF6C4B">
            <w:pPr>
              <w:cnfStyle w:val="000000100000" w:firstRow="0" w:lastRow="0" w:firstColumn="0" w:lastColumn="0" w:oddVBand="0" w:evenVBand="0" w:oddHBand="1" w:evenHBand="0" w:firstRowFirstColumn="0" w:firstRowLastColumn="0" w:lastRowFirstColumn="0" w:lastRowLastColumn="0"/>
            </w:pPr>
            <w:r w:rsidRPr="001B5C0A">
              <w:t xml:space="preserve">Kempczinski, R. (1987). </w:t>
            </w:r>
            <w:r w:rsidRPr="001B5C0A">
              <w:rPr>
                <w:i/>
              </w:rPr>
              <w:t>Intravascular stents to prevent occlusion and restenosis after transluminal angioplasty.</w:t>
            </w:r>
            <w:r w:rsidRPr="001B5C0A">
              <w:t xml:space="preserve"> Journal of Vascular Surgery, 6(5), p.533.</w:t>
            </w:r>
          </w:p>
        </w:tc>
      </w:tr>
      <w:tr w:rsidR="001B5C0A" w:rsidRPr="001B5C0A" w14:paraId="540676DA" w14:textId="77777777" w:rsidTr="007E0B55">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03FC2BF0" w14:textId="62CA5F8F" w:rsidR="00030905" w:rsidRPr="001B5C0A" w:rsidRDefault="00030905" w:rsidP="00191150">
            <w:pPr>
              <w:jc w:val="center"/>
            </w:pPr>
            <w:r w:rsidRPr="001B5C0A">
              <w:t>1989</w:t>
            </w:r>
          </w:p>
        </w:tc>
        <w:tc>
          <w:tcPr>
            <w:tcW w:w="3600" w:type="dxa"/>
            <w:tcBorders>
              <w:top w:val="single" w:sz="4" w:space="0" w:color="auto"/>
              <w:bottom w:val="single" w:sz="4" w:space="0" w:color="auto"/>
              <w:right w:val="single" w:sz="4" w:space="0" w:color="auto"/>
            </w:tcBorders>
            <w:vAlign w:val="center"/>
          </w:tcPr>
          <w:p w14:paraId="7C2E5247" w14:textId="02F6523A" w:rsidR="00030905" w:rsidRPr="001B5C0A" w:rsidRDefault="00030905" w:rsidP="00191150">
            <w:pPr>
              <w:jc w:val="center"/>
              <w:cnfStyle w:val="000000000000" w:firstRow="0" w:lastRow="0" w:firstColumn="0" w:lastColumn="0" w:oddVBand="0" w:evenVBand="0" w:oddHBand="0" w:evenHBand="0" w:firstRowFirstColumn="0" w:firstRowLastColumn="0" w:lastRowFirstColumn="0" w:lastRowLastColumn="0"/>
            </w:pPr>
            <w:r w:rsidRPr="001B5C0A">
              <w:t>Balloon-expandable Intracoronary Stent</w:t>
            </w:r>
          </w:p>
        </w:tc>
        <w:tc>
          <w:tcPr>
            <w:tcW w:w="4500" w:type="dxa"/>
            <w:tcBorders>
              <w:top w:val="single" w:sz="4" w:space="0" w:color="auto"/>
              <w:left w:val="single" w:sz="4" w:space="0" w:color="auto"/>
              <w:bottom w:val="single" w:sz="4" w:space="0" w:color="auto"/>
              <w:right w:val="single" w:sz="4" w:space="0" w:color="auto"/>
            </w:tcBorders>
          </w:tcPr>
          <w:p w14:paraId="1817618F" w14:textId="15C9842E" w:rsidR="00030905" w:rsidRPr="001B5C0A" w:rsidRDefault="00AF6C4B" w:rsidP="00030905">
            <w:pPr>
              <w:cnfStyle w:val="000000000000" w:firstRow="0" w:lastRow="0" w:firstColumn="0" w:lastColumn="0" w:oddVBand="0" w:evenVBand="0" w:oddHBand="0" w:evenHBand="0" w:firstRowFirstColumn="0" w:firstRowLastColumn="0" w:lastRowFirstColumn="0" w:lastRowLastColumn="0"/>
            </w:pPr>
            <w:r w:rsidRPr="001B5C0A">
              <w:t xml:space="preserve">Palmaz, J., Sibbitt, R., Reuter, S., Tio, F. and Rice, W. (1985). </w:t>
            </w:r>
            <w:r w:rsidRPr="001B5C0A">
              <w:rPr>
                <w:i/>
              </w:rPr>
              <w:t>Expandable intraluminal graft: a preliminary study. Work in progress</w:t>
            </w:r>
            <w:r w:rsidRPr="001B5C0A">
              <w:t>. Radiology, 156(1), pp.73-77.</w:t>
            </w:r>
          </w:p>
        </w:tc>
      </w:tr>
      <w:tr w:rsidR="001B5C0A" w:rsidRPr="001B5C0A" w14:paraId="2952AAD5" w14:textId="77777777" w:rsidTr="007E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6D5F06FF" w14:textId="12DB635C" w:rsidR="0059685E" w:rsidRPr="001B5C0A" w:rsidRDefault="0059685E" w:rsidP="00191150">
            <w:pPr>
              <w:jc w:val="center"/>
            </w:pPr>
            <w:r w:rsidRPr="001B5C0A">
              <w:t>1996</w:t>
            </w:r>
          </w:p>
        </w:tc>
        <w:tc>
          <w:tcPr>
            <w:tcW w:w="3600" w:type="dxa"/>
            <w:tcBorders>
              <w:top w:val="single" w:sz="4" w:space="0" w:color="auto"/>
              <w:bottom w:val="single" w:sz="4" w:space="0" w:color="auto"/>
              <w:right w:val="single" w:sz="4" w:space="0" w:color="auto"/>
            </w:tcBorders>
            <w:vAlign w:val="center"/>
          </w:tcPr>
          <w:p w14:paraId="719C47EA" w14:textId="38709540" w:rsidR="0059685E" w:rsidRPr="001B5C0A" w:rsidRDefault="0059685E" w:rsidP="00191150">
            <w:pPr>
              <w:jc w:val="center"/>
              <w:cnfStyle w:val="000000100000" w:firstRow="0" w:lastRow="0" w:firstColumn="0" w:lastColumn="0" w:oddVBand="0" w:evenVBand="0" w:oddHBand="1" w:evenHBand="0" w:firstRowFirstColumn="0" w:firstRowLastColumn="0" w:lastRowFirstColumn="0" w:lastRowLastColumn="0"/>
            </w:pPr>
            <w:r w:rsidRPr="001B5C0A">
              <w:t xml:space="preserve">Polymer-loaded </w:t>
            </w:r>
            <w:r w:rsidR="00AB4548" w:rsidRPr="001B5C0A">
              <w:t>S</w:t>
            </w:r>
            <w:r w:rsidRPr="001B5C0A">
              <w:t>tent</w:t>
            </w:r>
          </w:p>
        </w:tc>
        <w:tc>
          <w:tcPr>
            <w:tcW w:w="4500" w:type="dxa"/>
            <w:tcBorders>
              <w:top w:val="single" w:sz="4" w:space="0" w:color="auto"/>
              <w:left w:val="single" w:sz="4" w:space="0" w:color="auto"/>
              <w:bottom w:val="single" w:sz="4" w:space="0" w:color="auto"/>
              <w:right w:val="single" w:sz="4" w:space="0" w:color="auto"/>
            </w:tcBorders>
          </w:tcPr>
          <w:p w14:paraId="137FCFC6" w14:textId="31BF4AFC" w:rsidR="0059685E" w:rsidRPr="001B5C0A" w:rsidRDefault="00AF6C4B" w:rsidP="00030905">
            <w:pPr>
              <w:cnfStyle w:val="000000100000" w:firstRow="0" w:lastRow="0" w:firstColumn="0" w:lastColumn="0" w:oddVBand="0" w:evenVBand="0" w:oddHBand="1" w:evenHBand="0" w:firstRowFirstColumn="0" w:firstRowLastColumn="0" w:lastRowFirstColumn="0" w:lastRowLastColumn="0"/>
            </w:pPr>
            <w:r w:rsidRPr="001B5C0A">
              <w:t xml:space="preserve">van der Giessen, W., Lincoff, A., Schwartz, R., van Beusekom, H., Serruys, P., Holmes, D., Ellis, S. and Topol, E. (1996). </w:t>
            </w:r>
            <w:r w:rsidRPr="001B5C0A">
              <w:rPr>
                <w:i/>
              </w:rPr>
              <w:t>Marked Inflammatory Sequelae to Implantation of Biodegradable and Nonbiodegradable Polymers in Porcine Coronary Arteries</w:t>
            </w:r>
            <w:r w:rsidRPr="001B5C0A">
              <w:t>. Circulation, 94(7), pp.1690-1697.</w:t>
            </w:r>
          </w:p>
        </w:tc>
      </w:tr>
      <w:tr w:rsidR="001B5C0A" w:rsidRPr="001B5C0A" w14:paraId="767782FA" w14:textId="77777777" w:rsidTr="007E0B55">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170A631D" w14:textId="1C347DEE" w:rsidR="00030905" w:rsidRPr="001B5C0A" w:rsidRDefault="00030905" w:rsidP="00191150">
            <w:pPr>
              <w:jc w:val="center"/>
            </w:pPr>
            <w:r w:rsidRPr="001B5C0A">
              <w:t>1998</w:t>
            </w:r>
          </w:p>
        </w:tc>
        <w:tc>
          <w:tcPr>
            <w:tcW w:w="3600" w:type="dxa"/>
            <w:tcBorders>
              <w:top w:val="single" w:sz="4" w:space="0" w:color="auto"/>
              <w:bottom w:val="single" w:sz="4" w:space="0" w:color="auto"/>
              <w:right w:val="single" w:sz="4" w:space="0" w:color="auto"/>
            </w:tcBorders>
            <w:vAlign w:val="center"/>
          </w:tcPr>
          <w:p w14:paraId="048901D1" w14:textId="298A8763" w:rsidR="00030905" w:rsidRPr="001B5C0A" w:rsidRDefault="00030905" w:rsidP="00191150">
            <w:pPr>
              <w:jc w:val="center"/>
              <w:cnfStyle w:val="000000000000" w:firstRow="0" w:lastRow="0" w:firstColumn="0" w:lastColumn="0" w:oddVBand="0" w:evenVBand="0" w:oddHBand="0" w:evenHBand="0" w:firstRowFirstColumn="0" w:firstRowLastColumn="0" w:lastRowFirstColumn="0" w:lastRowLastColumn="0"/>
            </w:pPr>
            <w:r w:rsidRPr="001B5C0A">
              <w:t>Heparin-coated Stent</w:t>
            </w:r>
          </w:p>
        </w:tc>
        <w:tc>
          <w:tcPr>
            <w:tcW w:w="4500" w:type="dxa"/>
            <w:tcBorders>
              <w:top w:val="single" w:sz="4" w:space="0" w:color="auto"/>
              <w:left w:val="single" w:sz="4" w:space="0" w:color="auto"/>
              <w:bottom w:val="single" w:sz="4" w:space="0" w:color="auto"/>
              <w:right w:val="single" w:sz="4" w:space="0" w:color="auto"/>
            </w:tcBorders>
          </w:tcPr>
          <w:p w14:paraId="17175DD5" w14:textId="27ED9ED3" w:rsidR="00030905" w:rsidRPr="001B5C0A" w:rsidRDefault="00AF6C4B">
            <w:pPr>
              <w:cnfStyle w:val="000000000000" w:firstRow="0" w:lastRow="0" w:firstColumn="0" w:lastColumn="0" w:oddVBand="0" w:evenVBand="0" w:oddHBand="0" w:evenHBand="0" w:firstRowFirstColumn="0" w:firstRowLastColumn="0" w:lastRowFirstColumn="0" w:lastRowLastColumn="0"/>
            </w:pPr>
            <w:r w:rsidRPr="001B5C0A">
              <w:t xml:space="preserve">Serruys, P., van Hout, B., Bonnier, H., Legrand, V., Garcia, E., Macaya, C., Sousa, E., van der Giessen, W., Colombo, A., Seabra-Gomes, R., Kiemeneij, F., Ruygrok, P., Ormiston, J., Emanuelsson, H., Fajadet, J., Haude, M., Klugmann, S. and Morel, M. (1998). </w:t>
            </w:r>
            <w:r w:rsidRPr="001B5C0A">
              <w:rPr>
                <w:i/>
              </w:rPr>
              <w:t>Randomised comparison of implantation of heparin-coated stents with balloon angioplasty in selected patients with coronary artery disease (Benestent II)</w:t>
            </w:r>
            <w:r w:rsidRPr="001B5C0A">
              <w:t>. The Lancet, 352(9129), pp.673-681.</w:t>
            </w:r>
          </w:p>
        </w:tc>
      </w:tr>
      <w:tr w:rsidR="001B5C0A" w:rsidRPr="001B5C0A" w14:paraId="32E9C111" w14:textId="77777777" w:rsidTr="007E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61E89F6A" w14:textId="10613B04" w:rsidR="00030905" w:rsidRPr="001B5C0A" w:rsidRDefault="007A20DA" w:rsidP="00191150">
            <w:pPr>
              <w:jc w:val="center"/>
            </w:pPr>
            <w:r w:rsidRPr="001B5C0A">
              <w:t>2002</w:t>
            </w:r>
          </w:p>
        </w:tc>
        <w:tc>
          <w:tcPr>
            <w:tcW w:w="3600" w:type="dxa"/>
            <w:tcBorders>
              <w:top w:val="single" w:sz="4" w:space="0" w:color="auto"/>
              <w:bottom w:val="single" w:sz="4" w:space="0" w:color="auto"/>
              <w:right w:val="single" w:sz="4" w:space="0" w:color="auto"/>
            </w:tcBorders>
            <w:vAlign w:val="center"/>
          </w:tcPr>
          <w:p w14:paraId="3438833F" w14:textId="623E1B34" w:rsidR="00030905" w:rsidRPr="001B5C0A" w:rsidRDefault="00030905" w:rsidP="00191150">
            <w:pPr>
              <w:jc w:val="center"/>
              <w:cnfStyle w:val="000000100000" w:firstRow="0" w:lastRow="0" w:firstColumn="0" w:lastColumn="0" w:oddVBand="0" w:evenVBand="0" w:oddHBand="1" w:evenHBand="0" w:firstRowFirstColumn="0" w:firstRowLastColumn="0" w:lastRowFirstColumn="0" w:lastRowLastColumn="0"/>
            </w:pPr>
            <w:r w:rsidRPr="001B5C0A">
              <w:t>Cypher Stent</w:t>
            </w:r>
          </w:p>
        </w:tc>
        <w:tc>
          <w:tcPr>
            <w:tcW w:w="4500" w:type="dxa"/>
            <w:tcBorders>
              <w:top w:val="single" w:sz="4" w:space="0" w:color="auto"/>
              <w:left w:val="single" w:sz="4" w:space="0" w:color="auto"/>
              <w:bottom w:val="single" w:sz="4" w:space="0" w:color="auto"/>
              <w:right w:val="single" w:sz="4" w:space="0" w:color="auto"/>
            </w:tcBorders>
          </w:tcPr>
          <w:p w14:paraId="770FC447" w14:textId="59974335" w:rsidR="00030905" w:rsidRPr="001B5C0A" w:rsidRDefault="000D2FBE">
            <w:pPr>
              <w:cnfStyle w:val="000000100000" w:firstRow="0" w:lastRow="0" w:firstColumn="0" w:lastColumn="0" w:oddVBand="0" w:evenVBand="0" w:oddHBand="1" w:evenHBand="0" w:firstRowFirstColumn="0" w:firstRowLastColumn="0" w:lastRowFirstColumn="0" w:lastRowLastColumn="0"/>
            </w:pPr>
            <w:r w:rsidRPr="001B5C0A">
              <w:t xml:space="preserve">Sabate, M. (2005). </w:t>
            </w:r>
            <w:r w:rsidRPr="001B5C0A">
              <w:rPr>
                <w:i/>
              </w:rPr>
              <w:t>Randomized Comparison of Sirolimus-Eluting Stent Versus Standard Stent for Percutaneous Coronary Revascularization in Diabetic Patients: The Diabetes and Sirolimus-Eluting Stent (DIABETES) Trial</w:t>
            </w:r>
            <w:r w:rsidRPr="001B5C0A">
              <w:t>. Circulation, 112(14), pp.2175-2183.</w:t>
            </w:r>
          </w:p>
        </w:tc>
      </w:tr>
      <w:tr w:rsidR="001B5C0A" w:rsidRPr="001B5C0A" w14:paraId="5AEB7459" w14:textId="77777777" w:rsidTr="007E0B55">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2DB736A9" w14:textId="0D68F411" w:rsidR="0059685E" w:rsidRPr="001B5C0A" w:rsidRDefault="0059685E" w:rsidP="00191150">
            <w:pPr>
              <w:jc w:val="center"/>
            </w:pPr>
            <w:r w:rsidRPr="001B5C0A">
              <w:t>2002</w:t>
            </w:r>
          </w:p>
        </w:tc>
        <w:tc>
          <w:tcPr>
            <w:tcW w:w="3600" w:type="dxa"/>
            <w:tcBorders>
              <w:top w:val="single" w:sz="4" w:space="0" w:color="auto"/>
              <w:bottom w:val="single" w:sz="4" w:space="0" w:color="auto"/>
              <w:right w:val="single" w:sz="4" w:space="0" w:color="auto"/>
            </w:tcBorders>
            <w:vAlign w:val="center"/>
          </w:tcPr>
          <w:p w14:paraId="68B8B9D9" w14:textId="7A7E1500" w:rsidR="0059685E" w:rsidRPr="001B5C0A" w:rsidRDefault="0059685E" w:rsidP="00191150">
            <w:pPr>
              <w:jc w:val="center"/>
              <w:cnfStyle w:val="000000000000" w:firstRow="0" w:lastRow="0" w:firstColumn="0" w:lastColumn="0" w:oddVBand="0" w:evenVBand="0" w:oddHBand="0" w:evenHBand="0" w:firstRowFirstColumn="0" w:firstRowLastColumn="0" w:lastRowFirstColumn="0" w:lastRowLastColumn="0"/>
            </w:pPr>
            <w:r w:rsidRPr="001B5C0A">
              <w:t>Thinner Stents</w:t>
            </w:r>
          </w:p>
        </w:tc>
        <w:tc>
          <w:tcPr>
            <w:tcW w:w="4500" w:type="dxa"/>
            <w:tcBorders>
              <w:top w:val="single" w:sz="4" w:space="0" w:color="auto"/>
              <w:left w:val="single" w:sz="4" w:space="0" w:color="auto"/>
              <w:bottom w:val="single" w:sz="4" w:space="0" w:color="auto"/>
              <w:right w:val="single" w:sz="4" w:space="0" w:color="auto"/>
            </w:tcBorders>
          </w:tcPr>
          <w:p w14:paraId="61F5C83E" w14:textId="77777777" w:rsidR="000D2FBE" w:rsidRPr="001B5C0A" w:rsidRDefault="000D2FBE" w:rsidP="000D2FBE">
            <w:pPr>
              <w:cnfStyle w:val="000000000000" w:firstRow="0" w:lastRow="0" w:firstColumn="0" w:lastColumn="0" w:oddVBand="0" w:evenVBand="0" w:oddHBand="0" w:evenHBand="0" w:firstRowFirstColumn="0" w:firstRowLastColumn="0" w:lastRowFirstColumn="0" w:lastRowLastColumn="0"/>
            </w:pPr>
            <w:r w:rsidRPr="001B5C0A">
              <w:t>Briguori, C.; Sarais, C.; Pagnotta, P.; Liistro, F.; Montorfano, M.; Chieffo, A.; Sgura, F.; Corvaja, N.; Albiero, R.;</w:t>
            </w:r>
          </w:p>
          <w:p w14:paraId="2D0FE670" w14:textId="77777777" w:rsidR="000D2FBE" w:rsidRPr="001B5C0A" w:rsidRDefault="000D2FBE" w:rsidP="000D2FBE">
            <w:pPr>
              <w:cnfStyle w:val="000000000000" w:firstRow="0" w:lastRow="0" w:firstColumn="0" w:lastColumn="0" w:oddVBand="0" w:evenVBand="0" w:oddHBand="0" w:evenHBand="0" w:firstRowFirstColumn="0" w:firstRowLastColumn="0" w:lastRowFirstColumn="0" w:lastRowLastColumn="0"/>
            </w:pPr>
            <w:r w:rsidRPr="001B5C0A">
              <w:t xml:space="preserve">Stankovic, G.; et al. </w:t>
            </w:r>
            <w:r w:rsidRPr="001B5C0A">
              <w:rPr>
                <w:i/>
              </w:rPr>
              <w:t>In-stent restenosis in small coronary arteries: Impact of strut thickness</w:t>
            </w:r>
            <w:r w:rsidRPr="001B5C0A">
              <w:t>. J. Am. Coll. Cardiol.</w:t>
            </w:r>
          </w:p>
          <w:p w14:paraId="11BEAC7A" w14:textId="56083073" w:rsidR="0059685E" w:rsidRPr="001B5C0A" w:rsidRDefault="000D2FBE" w:rsidP="000D2FBE">
            <w:pPr>
              <w:cnfStyle w:val="000000000000" w:firstRow="0" w:lastRow="0" w:firstColumn="0" w:lastColumn="0" w:oddVBand="0" w:evenVBand="0" w:oddHBand="0" w:evenHBand="0" w:firstRowFirstColumn="0" w:firstRowLastColumn="0" w:lastRowFirstColumn="0" w:lastRowLastColumn="0"/>
            </w:pPr>
            <w:r w:rsidRPr="001B5C0A">
              <w:t>2002, 40, 403–409.</w:t>
            </w:r>
          </w:p>
        </w:tc>
      </w:tr>
      <w:tr w:rsidR="001B5C0A" w:rsidRPr="001B5C0A" w14:paraId="4590202C" w14:textId="77777777" w:rsidTr="007E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4CA08AF5" w14:textId="67A706BE" w:rsidR="00030905" w:rsidRPr="001B5C0A" w:rsidRDefault="005914D5" w:rsidP="00191150">
            <w:pPr>
              <w:jc w:val="center"/>
            </w:pPr>
            <w:r w:rsidRPr="001B5C0A">
              <w:lastRenderedPageBreak/>
              <w:t>2003</w:t>
            </w:r>
          </w:p>
        </w:tc>
        <w:tc>
          <w:tcPr>
            <w:tcW w:w="3600" w:type="dxa"/>
            <w:tcBorders>
              <w:top w:val="single" w:sz="4" w:space="0" w:color="auto"/>
              <w:bottom w:val="single" w:sz="4" w:space="0" w:color="auto"/>
              <w:right w:val="single" w:sz="4" w:space="0" w:color="auto"/>
            </w:tcBorders>
            <w:vAlign w:val="center"/>
          </w:tcPr>
          <w:p w14:paraId="45FFB46B" w14:textId="4DD99F7F" w:rsidR="00030905" w:rsidRPr="001B5C0A" w:rsidRDefault="005914D5" w:rsidP="00191150">
            <w:pPr>
              <w:jc w:val="center"/>
              <w:cnfStyle w:val="000000100000" w:firstRow="0" w:lastRow="0" w:firstColumn="0" w:lastColumn="0" w:oddVBand="0" w:evenVBand="0" w:oddHBand="1" w:evenHBand="0" w:firstRowFirstColumn="0" w:firstRowLastColumn="0" w:lastRowFirstColumn="0" w:lastRowLastColumn="0"/>
            </w:pPr>
            <w:r w:rsidRPr="001B5C0A">
              <w:t>Thinner Stents</w:t>
            </w:r>
          </w:p>
        </w:tc>
        <w:tc>
          <w:tcPr>
            <w:tcW w:w="4500" w:type="dxa"/>
            <w:tcBorders>
              <w:top w:val="single" w:sz="4" w:space="0" w:color="auto"/>
              <w:left w:val="single" w:sz="4" w:space="0" w:color="auto"/>
              <w:bottom w:val="single" w:sz="4" w:space="0" w:color="auto"/>
              <w:right w:val="single" w:sz="4" w:space="0" w:color="auto"/>
            </w:tcBorders>
          </w:tcPr>
          <w:p w14:paraId="7DB9376C" w14:textId="0F547ADD" w:rsidR="00030905" w:rsidRPr="001B5C0A" w:rsidRDefault="000D2FBE">
            <w:pPr>
              <w:cnfStyle w:val="000000100000" w:firstRow="0" w:lastRow="0" w:firstColumn="0" w:lastColumn="0" w:oddVBand="0" w:evenVBand="0" w:oddHBand="1" w:evenHBand="0" w:firstRowFirstColumn="0" w:firstRowLastColumn="0" w:lastRowFirstColumn="0" w:lastRowLastColumn="0"/>
            </w:pPr>
            <w:r w:rsidRPr="001B5C0A">
              <w:t xml:space="preserve">Pache, J., Kastrati, A. and Mehilli, J. (2003). </w:t>
            </w:r>
            <w:r w:rsidRPr="001B5C0A">
              <w:rPr>
                <w:i/>
              </w:rPr>
              <w:t>Intracoronary stenting and angiographic results: strut thickness effect on restenosis</w:t>
            </w:r>
            <w:r w:rsidRPr="001B5C0A">
              <w:t xml:space="preserve"> </w:t>
            </w:r>
            <w:r w:rsidRPr="001B5C0A">
              <w:rPr>
                <w:i/>
              </w:rPr>
              <w:t>outcome (ISAR-STEREO-2) trial</w:t>
            </w:r>
            <w:r w:rsidRPr="001B5C0A">
              <w:t>. ACC Current Journal Review, 12(4), p.66.</w:t>
            </w:r>
          </w:p>
        </w:tc>
      </w:tr>
      <w:tr w:rsidR="001B5C0A" w:rsidRPr="001B5C0A" w14:paraId="6C9F62FC" w14:textId="77777777" w:rsidTr="007E0B55">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452F0E3A" w14:textId="16B1E93D" w:rsidR="00030905" w:rsidRPr="001B5C0A" w:rsidRDefault="0059685E" w:rsidP="00191150">
            <w:pPr>
              <w:jc w:val="center"/>
            </w:pPr>
            <w:r w:rsidRPr="001B5C0A">
              <w:t>2003</w:t>
            </w:r>
          </w:p>
        </w:tc>
        <w:tc>
          <w:tcPr>
            <w:tcW w:w="3600" w:type="dxa"/>
            <w:tcBorders>
              <w:top w:val="single" w:sz="4" w:space="0" w:color="auto"/>
              <w:bottom w:val="single" w:sz="4" w:space="0" w:color="auto"/>
              <w:right w:val="single" w:sz="4" w:space="0" w:color="auto"/>
            </w:tcBorders>
            <w:vAlign w:val="center"/>
          </w:tcPr>
          <w:p w14:paraId="3941A388" w14:textId="1F725361" w:rsidR="00030905" w:rsidRPr="001B5C0A" w:rsidRDefault="0059685E" w:rsidP="00191150">
            <w:pPr>
              <w:jc w:val="center"/>
              <w:cnfStyle w:val="000000000000" w:firstRow="0" w:lastRow="0" w:firstColumn="0" w:lastColumn="0" w:oddVBand="0" w:evenVBand="0" w:oddHBand="0" w:evenHBand="0" w:firstRowFirstColumn="0" w:firstRowLastColumn="0" w:lastRowFirstColumn="0" w:lastRowLastColumn="0"/>
            </w:pPr>
            <w:r w:rsidRPr="001B5C0A">
              <w:t>Alloy for Stents</w:t>
            </w:r>
          </w:p>
        </w:tc>
        <w:tc>
          <w:tcPr>
            <w:tcW w:w="4500" w:type="dxa"/>
            <w:tcBorders>
              <w:top w:val="single" w:sz="4" w:space="0" w:color="auto"/>
              <w:left w:val="single" w:sz="4" w:space="0" w:color="auto"/>
              <w:bottom w:val="single" w:sz="4" w:space="0" w:color="auto"/>
              <w:right w:val="single" w:sz="4" w:space="0" w:color="auto"/>
            </w:tcBorders>
          </w:tcPr>
          <w:p w14:paraId="262B77CB" w14:textId="1038DB1C" w:rsidR="00030905" w:rsidRPr="001B5C0A" w:rsidRDefault="000D2FBE">
            <w:pPr>
              <w:cnfStyle w:val="000000000000" w:firstRow="0" w:lastRow="0" w:firstColumn="0" w:lastColumn="0" w:oddVBand="0" w:evenVBand="0" w:oddHBand="0" w:evenHBand="0" w:firstRowFirstColumn="0" w:firstRowLastColumn="0" w:lastRowFirstColumn="0" w:lastRowLastColumn="0"/>
            </w:pPr>
            <w:r w:rsidRPr="001B5C0A">
              <w:t xml:space="preserve">Kereiakes, D., Cox, D. and Hermiller, J. (2003). </w:t>
            </w:r>
            <w:r w:rsidRPr="001B5C0A">
              <w:rPr>
                <w:i/>
              </w:rPr>
              <w:t>Usefulness of a cobalt chromium coronary stent alloy</w:t>
            </w:r>
            <w:r w:rsidRPr="001B5C0A">
              <w:t>. ACC Current Journal Review, 12(6), p.50.</w:t>
            </w:r>
          </w:p>
        </w:tc>
      </w:tr>
      <w:tr w:rsidR="001B5C0A" w:rsidRPr="001B5C0A" w14:paraId="1D22BE4C" w14:textId="77777777" w:rsidTr="007E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39A55F40" w14:textId="703DDB06" w:rsidR="00030905" w:rsidRPr="001B5C0A" w:rsidRDefault="0059685E" w:rsidP="00191150">
            <w:pPr>
              <w:jc w:val="center"/>
            </w:pPr>
            <w:r w:rsidRPr="001B5C0A">
              <w:t>2005</w:t>
            </w:r>
          </w:p>
        </w:tc>
        <w:tc>
          <w:tcPr>
            <w:tcW w:w="3600" w:type="dxa"/>
            <w:tcBorders>
              <w:top w:val="single" w:sz="4" w:space="0" w:color="auto"/>
              <w:bottom w:val="single" w:sz="4" w:space="0" w:color="auto"/>
              <w:right w:val="single" w:sz="4" w:space="0" w:color="auto"/>
            </w:tcBorders>
            <w:vAlign w:val="center"/>
          </w:tcPr>
          <w:p w14:paraId="1843DDEA" w14:textId="753A92F7" w:rsidR="00030905" w:rsidRPr="001B5C0A" w:rsidRDefault="0059685E" w:rsidP="00191150">
            <w:pPr>
              <w:jc w:val="center"/>
              <w:cnfStyle w:val="000000100000" w:firstRow="0" w:lastRow="0" w:firstColumn="0" w:lastColumn="0" w:oddVBand="0" w:evenVBand="0" w:oddHBand="1" w:evenHBand="0" w:firstRowFirstColumn="0" w:firstRowLastColumn="0" w:lastRowFirstColumn="0" w:lastRowLastColumn="0"/>
            </w:pPr>
            <w:r w:rsidRPr="001B5C0A">
              <w:t>Carbon ion-implanted Stent</w:t>
            </w:r>
          </w:p>
        </w:tc>
        <w:tc>
          <w:tcPr>
            <w:tcW w:w="4500" w:type="dxa"/>
            <w:tcBorders>
              <w:top w:val="single" w:sz="4" w:space="0" w:color="auto"/>
              <w:left w:val="single" w:sz="4" w:space="0" w:color="auto"/>
              <w:bottom w:val="single" w:sz="4" w:space="0" w:color="auto"/>
              <w:right w:val="single" w:sz="4" w:space="0" w:color="auto"/>
            </w:tcBorders>
          </w:tcPr>
          <w:p w14:paraId="7EA50E4E" w14:textId="49A5DCA6" w:rsidR="00030905" w:rsidRPr="001B5C0A" w:rsidRDefault="000D2FBE">
            <w:pPr>
              <w:cnfStyle w:val="000000100000" w:firstRow="0" w:lastRow="0" w:firstColumn="0" w:lastColumn="0" w:oddVBand="0" w:evenVBand="0" w:oddHBand="1" w:evenHBand="0" w:firstRowFirstColumn="0" w:firstRowLastColumn="0" w:lastRowFirstColumn="0" w:lastRowLastColumn="0"/>
            </w:pPr>
            <w:r w:rsidRPr="001B5C0A">
              <w:t xml:space="preserve">Kim, Y., Lee, C., Hong, M., Park, S., Tahk, S., Yang, J., Saito, S., Santoso, T., Quan, L., Ge, J., Weissman, N., Lansky, A., Mintz, G. and Park, S. (2005). </w:t>
            </w:r>
            <w:r w:rsidRPr="001B5C0A">
              <w:rPr>
                <w:i/>
              </w:rPr>
              <w:t>Randomized comparison of carbon ion–implanted stent versus bare metal stent in coronary artery disease: The Asian Pacific Multicenter Arthos Stent Study (PASS) trial</w:t>
            </w:r>
            <w:r w:rsidRPr="001B5C0A">
              <w:t>. American Heart Journal, 149(2), pp.336-341.</w:t>
            </w:r>
          </w:p>
        </w:tc>
      </w:tr>
      <w:tr w:rsidR="001B5C0A" w:rsidRPr="001B5C0A" w14:paraId="6B72A895" w14:textId="77777777" w:rsidTr="007E0B55">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429FC77C" w14:textId="638C3F54" w:rsidR="00191150" w:rsidRPr="001B5C0A" w:rsidRDefault="00191150" w:rsidP="00191150">
            <w:pPr>
              <w:jc w:val="center"/>
            </w:pPr>
            <w:r w:rsidRPr="001B5C0A">
              <w:t>2010</w:t>
            </w:r>
          </w:p>
        </w:tc>
        <w:tc>
          <w:tcPr>
            <w:tcW w:w="3600" w:type="dxa"/>
            <w:tcBorders>
              <w:top w:val="single" w:sz="4" w:space="0" w:color="auto"/>
              <w:bottom w:val="single" w:sz="4" w:space="0" w:color="auto"/>
              <w:right w:val="single" w:sz="4" w:space="0" w:color="auto"/>
            </w:tcBorders>
            <w:vAlign w:val="center"/>
          </w:tcPr>
          <w:p w14:paraId="06B4B206" w14:textId="40010E21" w:rsidR="00191150" w:rsidRPr="001B5C0A" w:rsidRDefault="00191150" w:rsidP="00191150">
            <w:pPr>
              <w:jc w:val="center"/>
              <w:cnfStyle w:val="000000000000" w:firstRow="0" w:lastRow="0" w:firstColumn="0" w:lastColumn="0" w:oddVBand="0" w:evenVBand="0" w:oddHBand="0" w:evenHBand="0" w:firstRowFirstColumn="0" w:firstRowLastColumn="0" w:lastRowFirstColumn="0" w:lastRowLastColumn="0"/>
            </w:pPr>
            <w:r w:rsidRPr="001B5C0A">
              <w:t>Polymer-free Stent</w:t>
            </w:r>
          </w:p>
        </w:tc>
        <w:tc>
          <w:tcPr>
            <w:tcW w:w="4500" w:type="dxa"/>
            <w:tcBorders>
              <w:top w:val="single" w:sz="4" w:space="0" w:color="auto"/>
              <w:left w:val="single" w:sz="4" w:space="0" w:color="auto"/>
              <w:bottom w:val="single" w:sz="4" w:space="0" w:color="auto"/>
              <w:right w:val="single" w:sz="4" w:space="0" w:color="auto"/>
            </w:tcBorders>
          </w:tcPr>
          <w:p w14:paraId="5D1E38B7" w14:textId="0586D2F5" w:rsidR="00191150" w:rsidRPr="001B5C0A" w:rsidRDefault="000D2FBE" w:rsidP="00191150">
            <w:pPr>
              <w:cnfStyle w:val="000000000000" w:firstRow="0" w:lastRow="0" w:firstColumn="0" w:lastColumn="0" w:oddVBand="0" w:evenVBand="0" w:oddHBand="0" w:evenHBand="0" w:firstRowFirstColumn="0" w:firstRowLastColumn="0" w:lastRowFirstColumn="0" w:lastRowLastColumn="0"/>
              <w:rPr>
                <w:highlight w:val="yellow"/>
              </w:rPr>
            </w:pPr>
            <w:r w:rsidRPr="001B5C0A">
              <w:t xml:space="preserve">Tada, N., Virmani, R., Grant, G., Bartlett, L., Black, A., Clavijo, C., Christians, U., Betts, R., Savage, D., Su, S., Shulze, J. and Kar, S. (2010). </w:t>
            </w:r>
            <w:r w:rsidRPr="001B5C0A">
              <w:rPr>
                <w:i/>
              </w:rPr>
              <w:t xml:space="preserve">Polymer-Free Biolimus A9-Coated Stent Demonstrates More Sustained Intimal Inhibition, Improved Healing, and Reduced Inflammation Compared with a Polymer-Coated Sirolimus-Eluting Cypher Stent in a Porcine Model. </w:t>
            </w:r>
            <w:r w:rsidRPr="001B5C0A">
              <w:t>Circulation: Cardiovascular Interventions, 3(2), pp.174-183.</w:t>
            </w:r>
          </w:p>
        </w:tc>
      </w:tr>
      <w:tr w:rsidR="001B5C0A" w:rsidRPr="001B5C0A" w14:paraId="7930DF7A" w14:textId="77777777" w:rsidTr="007E0B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auto"/>
              <w:left w:val="single" w:sz="4" w:space="0" w:color="auto"/>
              <w:bottom w:val="single" w:sz="4" w:space="0" w:color="auto"/>
            </w:tcBorders>
            <w:vAlign w:val="center"/>
          </w:tcPr>
          <w:p w14:paraId="4ADB6CD6" w14:textId="4B7C88BB" w:rsidR="00DD50AE" w:rsidRPr="001B5C0A" w:rsidRDefault="00AF6C4B" w:rsidP="00191150">
            <w:pPr>
              <w:jc w:val="center"/>
            </w:pPr>
            <w:r w:rsidRPr="001B5C0A">
              <w:t>2012</w:t>
            </w:r>
          </w:p>
        </w:tc>
        <w:tc>
          <w:tcPr>
            <w:tcW w:w="3600" w:type="dxa"/>
            <w:tcBorders>
              <w:top w:val="single" w:sz="4" w:space="0" w:color="auto"/>
              <w:bottom w:val="single" w:sz="4" w:space="0" w:color="auto"/>
              <w:right w:val="single" w:sz="4" w:space="0" w:color="auto"/>
            </w:tcBorders>
            <w:vAlign w:val="center"/>
          </w:tcPr>
          <w:p w14:paraId="5EEB384A" w14:textId="5469D9E4" w:rsidR="00DD50AE" w:rsidRPr="001B5C0A" w:rsidRDefault="00AF6C4B" w:rsidP="00191150">
            <w:pPr>
              <w:jc w:val="center"/>
              <w:cnfStyle w:val="000000100000" w:firstRow="0" w:lastRow="0" w:firstColumn="0" w:lastColumn="0" w:oddVBand="0" w:evenVBand="0" w:oddHBand="1" w:evenHBand="0" w:firstRowFirstColumn="0" w:firstRowLastColumn="0" w:lastRowFirstColumn="0" w:lastRowLastColumn="0"/>
            </w:pPr>
            <w:r w:rsidRPr="001B5C0A">
              <w:t>Biodegradable polymer Stent</w:t>
            </w:r>
          </w:p>
        </w:tc>
        <w:tc>
          <w:tcPr>
            <w:tcW w:w="4500" w:type="dxa"/>
            <w:tcBorders>
              <w:top w:val="single" w:sz="4" w:space="0" w:color="auto"/>
              <w:left w:val="single" w:sz="4" w:space="0" w:color="auto"/>
              <w:bottom w:val="single" w:sz="4" w:space="0" w:color="auto"/>
              <w:right w:val="single" w:sz="4" w:space="0" w:color="auto"/>
            </w:tcBorders>
          </w:tcPr>
          <w:p w14:paraId="00DB53F7" w14:textId="1F1166BD" w:rsidR="00DD50AE" w:rsidRPr="001B5C0A" w:rsidRDefault="000D2FBE" w:rsidP="00191150">
            <w:pPr>
              <w:cnfStyle w:val="000000100000" w:firstRow="0" w:lastRow="0" w:firstColumn="0" w:lastColumn="0" w:oddVBand="0" w:evenVBand="0" w:oddHBand="1" w:evenHBand="0" w:firstRowFirstColumn="0" w:firstRowLastColumn="0" w:lastRowFirstColumn="0" w:lastRowLastColumn="0"/>
            </w:pPr>
            <w:r w:rsidRPr="001B5C0A">
              <w:t xml:space="preserve">Stefanini, G., Byrne, R., Serruys, P., de Waha, A., Meier, B., Massberg, S., Juni, P., Schomig, A., Windecker, S. and Kastrati, A. (2012). </w:t>
            </w:r>
            <w:r w:rsidRPr="001B5C0A">
              <w:rPr>
                <w:i/>
              </w:rPr>
              <w:t>Biodegradable polymer drug-eluting stents reduce the risk of stent thrombosis at 4 years in patients undergoing percutaneous coronary intervention: a pooled analysis of individual patient data from the ISAR-TEST 3, ISAR-TEST 4, and LEADERS randomized trials</w:t>
            </w:r>
            <w:r w:rsidRPr="001B5C0A">
              <w:t>. European Heart Journal, 33(10), pp.1214-1222.</w:t>
            </w:r>
          </w:p>
        </w:tc>
      </w:tr>
    </w:tbl>
    <w:p w14:paraId="1F3D0C97" w14:textId="65374166" w:rsidR="004A2D18" w:rsidRPr="001B5C0A" w:rsidRDefault="004A2D18" w:rsidP="004A2D18"/>
    <w:p w14:paraId="13D4CA16" w14:textId="51920A0A" w:rsidR="00C346AF" w:rsidRPr="001B5C0A" w:rsidRDefault="00C346AF" w:rsidP="004A2D18"/>
    <w:p w14:paraId="6A97F7CC" w14:textId="77777777" w:rsidR="00C346AF" w:rsidRPr="001B5C0A" w:rsidRDefault="00C346AF" w:rsidP="004A2D18"/>
    <w:p w14:paraId="33CE89CE" w14:textId="6BBA6D5F" w:rsidR="00C346AF" w:rsidRPr="001B5C0A" w:rsidRDefault="00C346AF" w:rsidP="00E37D52">
      <w:pPr>
        <w:pStyle w:val="ListParagraph"/>
        <w:numPr>
          <w:ilvl w:val="0"/>
          <w:numId w:val="2"/>
        </w:numPr>
        <w:rPr>
          <w:b/>
        </w:rPr>
      </w:pPr>
      <w:r w:rsidRPr="001B5C0A">
        <w:rPr>
          <w:b/>
        </w:rPr>
        <w:lastRenderedPageBreak/>
        <w:t>Table summarizing some of the undesirable outcomes or risk associated with stents.</w:t>
      </w:r>
    </w:p>
    <w:tbl>
      <w:tblPr>
        <w:tblStyle w:val="PlainTable3"/>
        <w:tblW w:w="10170" w:type="dxa"/>
        <w:tblInd w:w="-365" w:type="dxa"/>
        <w:tblLook w:val="0420" w:firstRow="1" w:lastRow="0" w:firstColumn="0" w:lastColumn="0" w:noHBand="0" w:noVBand="1"/>
      </w:tblPr>
      <w:tblGrid>
        <w:gridCol w:w="5580"/>
        <w:gridCol w:w="4590"/>
      </w:tblGrid>
      <w:tr w:rsidR="001B5C0A" w:rsidRPr="001B5C0A" w14:paraId="7D613A77" w14:textId="77777777" w:rsidTr="00364F44">
        <w:trPr>
          <w:cnfStyle w:val="100000000000" w:firstRow="1" w:lastRow="0" w:firstColumn="0" w:lastColumn="0" w:oddVBand="0" w:evenVBand="0" w:oddHBand="0" w:evenHBand="0" w:firstRowFirstColumn="0" w:firstRowLastColumn="0" w:lastRowFirstColumn="0" w:lastRowLastColumn="0"/>
          <w:trHeight w:val="530"/>
        </w:trPr>
        <w:tc>
          <w:tcPr>
            <w:tcW w:w="5580" w:type="dxa"/>
            <w:tcBorders>
              <w:top w:val="single" w:sz="4" w:space="0" w:color="auto"/>
              <w:left w:val="single" w:sz="4" w:space="0" w:color="auto"/>
              <w:bottom w:val="single" w:sz="4" w:space="0" w:color="auto"/>
            </w:tcBorders>
            <w:vAlign w:val="center"/>
          </w:tcPr>
          <w:p w14:paraId="5DEE665E" w14:textId="216F73CF" w:rsidR="00771CEF" w:rsidRPr="001B5C0A" w:rsidRDefault="00771CEF" w:rsidP="00C64F1B">
            <w:pPr>
              <w:jc w:val="center"/>
              <w:rPr>
                <w:b w:val="0"/>
              </w:rPr>
            </w:pPr>
            <w:r w:rsidRPr="001B5C0A">
              <w:t>Undesirable Outcome</w:t>
            </w:r>
          </w:p>
        </w:tc>
        <w:tc>
          <w:tcPr>
            <w:tcW w:w="4590" w:type="dxa"/>
            <w:tcBorders>
              <w:top w:val="single" w:sz="4" w:space="0" w:color="auto"/>
              <w:left w:val="single" w:sz="4" w:space="0" w:color="auto"/>
              <w:bottom w:val="single" w:sz="4" w:space="0" w:color="auto"/>
              <w:right w:val="single" w:sz="4" w:space="0" w:color="auto"/>
            </w:tcBorders>
            <w:vAlign w:val="center"/>
          </w:tcPr>
          <w:p w14:paraId="5221FFDA" w14:textId="77777777" w:rsidR="00771CEF" w:rsidRPr="001B5C0A" w:rsidRDefault="00771CEF" w:rsidP="00C64F1B">
            <w:pPr>
              <w:jc w:val="center"/>
              <w:rPr>
                <w:b w:val="0"/>
              </w:rPr>
            </w:pPr>
            <w:r w:rsidRPr="001B5C0A">
              <w:t>Source</w:t>
            </w:r>
          </w:p>
        </w:tc>
      </w:tr>
      <w:tr w:rsidR="001B5C0A" w:rsidRPr="001B5C0A" w14:paraId="4FF091D1" w14:textId="77777777" w:rsidTr="00364F44">
        <w:trPr>
          <w:cnfStyle w:val="000000100000" w:firstRow="0" w:lastRow="0" w:firstColumn="0" w:lastColumn="0" w:oddVBand="0" w:evenVBand="0" w:oddHBand="1" w:evenHBand="0" w:firstRowFirstColumn="0" w:firstRowLastColumn="0" w:lastRowFirstColumn="0" w:lastRowLastColumn="0"/>
          <w:trHeight w:val="980"/>
        </w:trPr>
        <w:tc>
          <w:tcPr>
            <w:tcW w:w="5580" w:type="dxa"/>
            <w:tcBorders>
              <w:top w:val="single" w:sz="4" w:space="0" w:color="auto"/>
              <w:left w:val="single" w:sz="4" w:space="0" w:color="auto"/>
              <w:bottom w:val="single" w:sz="4" w:space="0" w:color="auto"/>
            </w:tcBorders>
            <w:vAlign w:val="center"/>
          </w:tcPr>
          <w:p w14:paraId="160CD321" w14:textId="20500D19" w:rsidR="00771CEF" w:rsidRPr="001B5C0A" w:rsidRDefault="00771CEF" w:rsidP="003A719C">
            <w:pPr>
              <w:jc w:val="center"/>
            </w:pPr>
            <w:r w:rsidRPr="001B5C0A">
              <w:t>Infection</w:t>
            </w:r>
          </w:p>
        </w:tc>
        <w:tc>
          <w:tcPr>
            <w:tcW w:w="4590" w:type="dxa"/>
            <w:tcBorders>
              <w:top w:val="single" w:sz="4" w:space="0" w:color="auto"/>
              <w:left w:val="single" w:sz="4" w:space="0" w:color="auto"/>
              <w:bottom w:val="single" w:sz="4" w:space="0" w:color="auto"/>
              <w:right w:val="single" w:sz="4" w:space="0" w:color="auto"/>
            </w:tcBorders>
          </w:tcPr>
          <w:p w14:paraId="471A1DA8" w14:textId="77777777" w:rsidR="00771CEF" w:rsidRPr="001B5C0A" w:rsidRDefault="00771CEF" w:rsidP="00AC61E1">
            <w:r w:rsidRPr="001B5C0A">
              <w:t xml:space="preserve">Kempczinski, R. (1987). </w:t>
            </w:r>
            <w:r w:rsidRPr="001B5C0A">
              <w:rPr>
                <w:i/>
              </w:rPr>
              <w:t>Intravascular stents to prevent occlusion and restenosis after transluminal angioplasty.</w:t>
            </w:r>
            <w:r w:rsidRPr="001B5C0A">
              <w:t xml:space="preserve"> Journal of Vascular Surgery, 6(5), p.533.</w:t>
            </w:r>
          </w:p>
        </w:tc>
      </w:tr>
      <w:tr w:rsidR="001B5C0A" w:rsidRPr="001B5C0A" w14:paraId="16DBF17E" w14:textId="77777777" w:rsidTr="00364F44">
        <w:trPr>
          <w:trHeight w:val="864"/>
        </w:trPr>
        <w:tc>
          <w:tcPr>
            <w:tcW w:w="5580" w:type="dxa"/>
            <w:tcBorders>
              <w:top w:val="single" w:sz="4" w:space="0" w:color="auto"/>
              <w:left w:val="single" w:sz="4" w:space="0" w:color="auto"/>
              <w:bottom w:val="single" w:sz="4" w:space="0" w:color="auto"/>
            </w:tcBorders>
            <w:vAlign w:val="center"/>
          </w:tcPr>
          <w:p w14:paraId="5ECCD412" w14:textId="6DBC2179" w:rsidR="003A719C" w:rsidRPr="001B5C0A" w:rsidRDefault="003A719C" w:rsidP="003A719C">
            <w:pPr>
              <w:jc w:val="center"/>
            </w:pPr>
            <w:r w:rsidRPr="001B5C0A">
              <w:t>Delayed Restenosis</w:t>
            </w:r>
          </w:p>
        </w:tc>
        <w:tc>
          <w:tcPr>
            <w:tcW w:w="4590" w:type="dxa"/>
            <w:tcBorders>
              <w:top w:val="single" w:sz="4" w:space="0" w:color="auto"/>
              <w:left w:val="single" w:sz="4" w:space="0" w:color="auto"/>
              <w:bottom w:val="single" w:sz="4" w:space="0" w:color="auto"/>
              <w:right w:val="single" w:sz="4" w:space="0" w:color="auto"/>
            </w:tcBorders>
            <w:vAlign w:val="center"/>
          </w:tcPr>
          <w:p w14:paraId="72F0B1A5" w14:textId="6DC6E196" w:rsidR="003A719C" w:rsidRPr="001B5C0A" w:rsidRDefault="00C74F6C" w:rsidP="00AC61E1">
            <w:r w:rsidRPr="001B5C0A">
              <w:t xml:space="preserve">Virmani, R. (2002). </w:t>
            </w:r>
            <w:r w:rsidRPr="001B5C0A">
              <w:rPr>
                <w:i/>
              </w:rPr>
              <w:t xml:space="preserve">Mechanism of Late In-Stent Restenosis After Implantation of a Paclitaxel Derivate-Eluting Polymer Stent System in Humans. </w:t>
            </w:r>
            <w:r w:rsidRPr="001B5C0A">
              <w:t>Circulation, 106(21), pp.2649-2651.</w:t>
            </w:r>
          </w:p>
        </w:tc>
      </w:tr>
      <w:tr w:rsidR="001B5C0A" w:rsidRPr="001B5C0A" w14:paraId="5C38AD2D" w14:textId="77777777" w:rsidTr="00364F44">
        <w:trPr>
          <w:cnfStyle w:val="000000100000" w:firstRow="0" w:lastRow="0" w:firstColumn="0" w:lastColumn="0" w:oddVBand="0" w:evenVBand="0" w:oddHBand="1" w:evenHBand="0" w:firstRowFirstColumn="0" w:firstRowLastColumn="0" w:lastRowFirstColumn="0" w:lastRowLastColumn="0"/>
          <w:trHeight w:val="864"/>
        </w:trPr>
        <w:tc>
          <w:tcPr>
            <w:tcW w:w="5580" w:type="dxa"/>
            <w:tcBorders>
              <w:top w:val="single" w:sz="4" w:space="0" w:color="auto"/>
              <w:left w:val="single" w:sz="4" w:space="0" w:color="auto"/>
              <w:bottom w:val="single" w:sz="4" w:space="0" w:color="auto"/>
            </w:tcBorders>
            <w:vAlign w:val="center"/>
          </w:tcPr>
          <w:p w14:paraId="2D6C02CE" w14:textId="0F1B9AD7" w:rsidR="003A719C" w:rsidRPr="001B5C0A" w:rsidRDefault="003A719C" w:rsidP="003A719C">
            <w:pPr>
              <w:jc w:val="center"/>
            </w:pPr>
            <w:r w:rsidRPr="001B5C0A">
              <w:t>Stent Thrombosis</w:t>
            </w:r>
          </w:p>
        </w:tc>
        <w:tc>
          <w:tcPr>
            <w:tcW w:w="4590" w:type="dxa"/>
            <w:tcBorders>
              <w:top w:val="single" w:sz="4" w:space="0" w:color="auto"/>
              <w:left w:val="single" w:sz="4" w:space="0" w:color="auto"/>
              <w:bottom w:val="single" w:sz="4" w:space="0" w:color="auto"/>
              <w:right w:val="single" w:sz="4" w:space="0" w:color="auto"/>
            </w:tcBorders>
            <w:vAlign w:val="center"/>
          </w:tcPr>
          <w:p w14:paraId="23B46FFB" w14:textId="63FFD288" w:rsidR="003A719C" w:rsidRPr="001B5C0A" w:rsidRDefault="00C74F6C" w:rsidP="00AC61E1">
            <w:r w:rsidRPr="001B5C0A">
              <w:t xml:space="preserve">Daemen, J., Wenaweser, P., Tsuchida, K., Abrecht, L., Vaina, S., Morger, C., Kukreja, N., Jüni, P., Sianos, G., Hellige, G., van Domburg, R., Hess, O., Boersma, E., Meier, B., Windecker, S. and Serruys, P. (2007). </w:t>
            </w:r>
            <w:r w:rsidRPr="001B5C0A">
              <w:rPr>
                <w:i/>
              </w:rPr>
              <w:t>Early and late coronary stent thrombosis of sirolimus-eluting and paclitaxel-eluting stents in routine clinical practice: data from a large two-institutional cohort study</w:t>
            </w:r>
            <w:r w:rsidRPr="001B5C0A">
              <w:t>. The Lancet, 369(9562), pp.667-678.</w:t>
            </w:r>
          </w:p>
        </w:tc>
      </w:tr>
      <w:tr w:rsidR="001B5C0A" w:rsidRPr="001B5C0A" w14:paraId="15891D0B" w14:textId="77777777" w:rsidTr="00364F44">
        <w:trPr>
          <w:trHeight w:val="864"/>
        </w:trPr>
        <w:tc>
          <w:tcPr>
            <w:tcW w:w="5580" w:type="dxa"/>
            <w:tcBorders>
              <w:top w:val="single" w:sz="4" w:space="0" w:color="auto"/>
              <w:left w:val="single" w:sz="4" w:space="0" w:color="auto"/>
              <w:bottom w:val="single" w:sz="4" w:space="0" w:color="auto"/>
            </w:tcBorders>
            <w:vAlign w:val="center"/>
          </w:tcPr>
          <w:p w14:paraId="08BACA93" w14:textId="582F4536" w:rsidR="003A719C" w:rsidRPr="001B5C0A" w:rsidRDefault="003A719C" w:rsidP="003A719C">
            <w:pPr>
              <w:jc w:val="center"/>
            </w:pPr>
            <w:r w:rsidRPr="001B5C0A">
              <w:t>Late Thrombosis</w:t>
            </w:r>
          </w:p>
        </w:tc>
        <w:tc>
          <w:tcPr>
            <w:tcW w:w="4590" w:type="dxa"/>
            <w:tcBorders>
              <w:top w:val="single" w:sz="4" w:space="0" w:color="auto"/>
              <w:left w:val="single" w:sz="4" w:space="0" w:color="auto"/>
              <w:bottom w:val="single" w:sz="4" w:space="0" w:color="auto"/>
              <w:right w:val="single" w:sz="4" w:space="0" w:color="auto"/>
            </w:tcBorders>
            <w:vAlign w:val="center"/>
          </w:tcPr>
          <w:p w14:paraId="00FA1876" w14:textId="42FA4452" w:rsidR="003A719C" w:rsidRPr="001B5C0A" w:rsidRDefault="00AC61E1" w:rsidP="00AC61E1">
            <w:r w:rsidRPr="001B5C0A">
              <w:t xml:space="preserve">Otsuka, F., Nakano, M., Yazdani, S., Ladich, E., Kolodgie, F. and Virmani, R. (2011). </w:t>
            </w:r>
            <w:r w:rsidRPr="001B5C0A">
              <w:rPr>
                <w:i/>
              </w:rPr>
              <w:t>Pathology of First-generation Drug-eluting Stents in Humans</w:t>
            </w:r>
            <w:r w:rsidRPr="001B5C0A">
              <w:t>. Interventional Cardiology Review, 6(1), p.28.</w:t>
            </w:r>
          </w:p>
        </w:tc>
      </w:tr>
      <w:tr w:rsidR="001B5C0A" w:rsidRPr="001B5C0A" w14:paraId="3EC7EEAE" w14:textId="77777777" w:rsidTr="00364F44">
        <w:trPr>
          <w:cnfStyle w:val="000000100000" w:firstRow="0" w:lastRow="0" w:firstColumn="0" w:lastColumn="0" w:oddVBand="0" w:evenVBand="0" w:oddHBand="1" w:evenHBand="0" w:firstRowFirstColumn="0" w:firstRowLastColumn="0" w:lastRowFirstColumn="0" w:lastRowLastColumn="0"/>
          <w:trHeight w:val="864"/>
        </w:trPr>
        <w:tc>
          <w:tcPr>
            <w:tcW w:w="5580" w:type="dxa"/>
            <w:tcBorders>
              <w:top w:val="single" w:sz="4" w:space="0" w:color="auto"/>
              <w:left w:val="single" w:sz="4" w:space="0" w:color="auto"/>
              <w:bottom w:val="single" w:sz="4" w:space="0" w:color="auto"/>
            </w:tcBorders>
            <w:vAlign w:val="center"/>
          </w:tcPr>
          <w:p w14:paraId="4603167A" w14:textId="6E2D16A0" w:rsidR="00C74F6C" w:rsidRPr="001B5C0A" w:rsidRDefault="00C74F6C" w:rsidP="00C74F6C">
            <w:pPr>
              <w:jc w:val="center"/>
            </w:pPr>
            <w:r w:rsidRPr="001B5C0A">
              <w:t>Allergic Reaction</w:t>
            </w:r>
          </w:p>
        </w:tc>
        <w:tc>
          <w:tcPr>
            <w:tcW w:w="4590" w:type="dxa"/>
            <w:tcBorders>
              <w:top w:val="single" w:sz="4" w:space="0" w:color="auto"/>
              <w:left w:val="single" w:sz="4" w:space="0" w:color="auto"/>
              <w:bottom w:val="single" w:sz="4" w:space="0" w:color="auto"/>
              <w:right w:val="single" w:sz="4" w:space="0" w:color="auto"/>
            </w:tcBorders>
            <w:vAlign w:val="center"/>
          </w:tcPr>
          <w:p w14:paraId="7F8224BA" w14:textId="37FAA540" w:rsidR="00C74F6C" w:rsidRPr="001B5C0A" w:rsidRDefault="00C74F6C" w:rsidP="00C74F6C">
            <w:r w:rsidRPr="001B5C0A">
              <w:t xml:space="preserve">Koster, R., Vieluf, D. and Sommerauer, M. (2001). </w:t>
            </w:r>
            <w:r w:rsidRPr="001B5C0A">
              <w:rPr>
                <w:i/>
              </w:rPr>
              <w:t>Nickel and molybdenum contact allergies in patients with coronary in-stent restenosis.</w:t>
            </w:r>
            <w:r w:rsidRPr="001B5C0A">
              <w:t xml:space="preserve"> ACC Current Journal Review, 10(3), p.62.</w:t>
            </w:r>
          </w:p>
        </w:tc>
      </w:tr>
      <w:tr w:rsidR="001B5C0A" w:rsidRPr="001B5C0A" w14:paraId="02057F87" w14:textId="77777777" w:rsidTr="00364F44">
        <w:trPr>
          <w:trHeight w:val="864"/>
        </w:trPr>
        <w:tc>
          <w:tcPr>
            <w:tcW w:w="5580" w:type="dxa"/>
            <w:tcBorders>
              <w:top w:val="single" w:sz="4" w:space="0" w:color="auto"/>
              <w:left w:val="single" w:sz="4" w:space="0" w:color="auto"/>
              <w:bottom w:val="single" w:sz="4" w:space="0" w:color="auto"/>
            </w:tcBorders>
            <w:vAlign w:val="center"/>
          </w:tcPr>
          <w:p w14:paraId="2CF6515D" w14:textId="2B6AAE7A" w:rsidR="00C74F6C" w:rsidRPr="001B5C0A" w:rsidRDefault="00C74F6C" w:rsidP="00C74F6C">
            <w:pPr>
              <w:jc w:val="center"/>
            </w:pPr>
            <w:r w:rsidRPr="001B5C0A">
              <w:t>Medication Side effects</w:t>
            </w:r>
          </w:p>
        </w:tc>
        <w:tc>
          <w:tcPr>
            <w:tcW w:w="4590" w:type="dxa"/>
            <w:tcBorders>
              <w:top w:val="single" w:sz="4" w:space="0" w:color="auto"/>
              <w:left w:val="single" w:sz="4" w:space="0" w:color="auto"/>
              <w:bottom w:val="single" w:sz="4" w:space="0" w:color="auto"/>
              <w:right w:val="single" w:sz="4" w:space="0" w:color="auto"/>
            </w:tcBorders>
            <w:vAlign w:val="center"/>
          </w:tcPr>
          <w:p w14:paraId="009C2A0A" w14:textId="6498BCDA" w:rsidR="00C74F6C" w:rsidRPr="001B5C0A" w:rsidRDefault="003D7DAB" w:rsidP="00C74F6C">
            <w:r w:rsidRPr="001B5C0A">
              <w:t xml:space="preserve">Park, S., Lee, C., Kim, H., Lee, N., Nah, D., Hong, M., Kim, J. and Park, S. (2000). </w:t>
            </w:r>
            <w:r w:rsidRPr="001B5C0A">
              <w:rPr>
                <w:i/>
              </w:rPr>
              <w:t>Effects of cilostazol on angiographic restenosis after coronary stent placement</w:t>
            </w:r>
            <w:r w:rsidRPr="001B5C0A">
              <w:t>. The American Journal of Cardiology, 86(5), pp.499-503.</w:t>
            </w:r>
          </w:p>
        </w:tc>
      </w:tr>
    </w:tbl>
    <w:p w14:paraId="5E4EB7DA" w14:textId="77777777" w:rsidR="008D1166" w:rsidRPr="001B5C0A" w:rsidRDefault="008D1166" w:rsidP="004A2D18"/>
    <w:p w14:paraId="1F7B9E95" w14:textId="46D3AEA1" w:rsidR="006513EF" w:rsidRPr="001B5C0A" w:rsidRDefault="006513EF" w:rsidP="00E37D52">
      <w:pPr>
        <w:pStyle w:val="ListParagraph"/>
        <w:numPr>
          <w:ilvl w:val="0"/>
          <w:numId w:val="2"/>
        </w:numPr>
        <w:rPr>
          <w:b/>
        </w:rPr>
      </w:pPr>
      <w:r w:rsidRPr="001B5C0A">
        <w:rPr>
          <w:b/>
        </w:rPr>
        <w:t>“Negative” finding regarding the use of stents in patients with coronary artery disease:</w:t>
      </w:r>
    </w:p>
    <w:p w14:paraId="56E1D4F8" w14:textId="77777777" w:rsidR="00A51133" w:rsidRPr="001B5C0A" w:rsidRDefault="005611B9" w:rsidP="004A2D18">
      <w:r w:rsidRPr="001B5C0A">
        <w:t xml:space="preserve">There is no empirical evidence of the effectiveness of stents, specially when treating angina. Even after receiving their first stent and reporting and immediate pain relief, patients come back </w:t>
      </w:r>
      <w:r w:rsidR="00495C3D" w:rsidRPr="001B5C0A">
        <w:t xml:space="preserve">with chest pains. Because stents were so revolutionary in the field of interventional cardiology, </w:t>
      </w:r>
      <w:r w:rsidR="00495C3D" w:rsidRPr="001B5C0A">
        <w:lastRenderedPageBreak/>
        <w:t>many doctors think of them as the go-to approach against coronary artery diseases. This has led to the public believing stents are the only solution, when in reality their efficiency hasn’t be proven</w:t>
      </w:r>
      <w:r w:rsidR="008618C2" w:rsidRPr="001B5C0A">
        <w:t>.</w:t>
      </w:r>
      <w:r w:rsidR="00C170E3" w:rsidRPr="001B5C0A">
        <w:t xml:space="preserve"> </w:t>
      </w:r>
      <w:r w:rsidR="00A51133" w:rsidRPr="001B5C0A">
        <w:t xml:space="preserve">Moreover, this fact can alter how patients think about the procedure and the results: they may report relief because stents are supposed to relief pain. Current studies are investigating this placebo effect with un-stented and medicated control groups and will determine the efficiency of stents. </w:t>
      </w:r>
    </w:p>
    <w:p w14:paraId="424DA087" w14:textId="2C5869DC" w:rsidR="006513EF" w:rsidRPr="001B5C0A" w:rsidRDefault="00A51133" w:rsidP="004A2D18">
      <w:r w:rsidRPr="001B5C0A">
        <w:t>At the same time, n</w:t>
      </w:r>
      <w:r w:rsidR="00C170E3" w:rsidRPr="001B5C0A">
        <w:t>ew studies have shown that stents do not prevent heart attacks or deaths from heart disease, and that medications can be just as effective as stenting or coronary bypass in preventing heart attacks</w:t>
      </w:r>
      <w:r w:rsidR="00241978" w:rsidRPr="001B5C0A">
        <w:t xml:space="preserve">. This is due to the fact that even if an artery is </w:t>
      </w:r>
      <w:r w:rsidR="00AA3F63" w:rsidRPr="001B5C0A">
        <w:t>unclogged with a stent, other clogs could happen independently up or downstream of the stent</w:t>
      </w:r>
      <w:r w:rsidR="00BB5FBA" w:rsidRPr="001B5C0A">
        <w:t xml:space="preserve">, or even in the same part of the artery where the stent was placed. Now that the fields of pharmacokinetics and pharmacodynamics have advanced dramatically and more precise drugs and delivery tools are available to doctors, </w:t>
      </w:r>
      <w:r w:rsidR="00CB2CAF" w:rsidRPr="001B5C0A">
        <w:t xml:space="preserve">medications for treating coronary artery diseases might be a better option than stenting. </w:t>
      </w:r>
    </w:p>
    <w:p w14:paraId="6E8B24A6" w14:textId="50BA5899" w:rsidR="006513EF" w:rsidRPr="001B5C0A" w:rsidRDefault="006513EF" w:rsidP="004A2D18">
      <w:r w:rsidRPr="001B5C0A">
        <w:t>References:</w:t>
      </w:r>
    </w:p>
    <w:p w14:paraId="6917EBDD" w14:textId="1977CD45" w:rsidR="008D1166" w:rsidRPr="001B5C0A" w:rsidRDefault="006513EF" w:rsidP="006513EF">
      <w:pPr>
        <w:pStyle w:val="ListParagraph"/>
        <w:numPr>
          <w:ilvl w:val="0"/>
          <w:numId w:val="1"/>
        </w:numPr>
      </w:pPr>
      <w:r w:rsidRPr="001B5C0A">
        <w:t>Al-Lamee, R., Thompson, D., Dehbi, H., Sen, S., Tang, K., Davies, J., Keeble, T., Mielewczik, M., Kaprielian, R., Malik, I., Nijjer, S., Petraco, R., Cook, C., Ahmad, Y., Howard, J., Baker, C., Sharp, A., Gerber, R., Talwar, S., Assomull, R., Mayet, J., Wensel, R., Collier, D., Shun-Shin, M., Thom, S., Davies, J., Francis, D., Al-Lamee, R., Thompson, D., Sen, S., Tang, K., Davies, J., Keeble, T., Kaprielian, R., Malik, I., Nijjer, S., Petraco, R., Cook, C., Ahmad, Y., Howard, J., Shun-Shin, M., Sethi, A., Baker, C., Sharp, A., Ramrakha, P., Gerber, R., Talwar, S., Assomull, R., Foale, R., Mayet, J., Wensel, R., Thom, S., Davies, J., Francis, D., Khamis, R., Hadjiloizou, N., Khan, M., Kooner, J., Bellamy, M., Mikhail, G., Clifford, P., O'Kane, P., Levy, T. and Swallow, R. (2018). Percutaneous coronary intervention in stable angina (ORBITA): a double-blind, randomised controlled trial.</w:t>
      </w:r>
    </w:p>
    <w:p w14:paraId="240A81E5" w14:textId="77777777" w:rsidR="006513EF" w:rsidRPr="001B5C0A" w:rsidRDefault="006513EF" w:rsidP="006513EF">
      <w:pPr>
        <w:pStyle w:val="ListParagraph"/>
      </w:pPr>
    </w:p>
    <w:p w14:paraId="70E564B8" w14:textId="07CBE0AF" w:rsidR="006513EF" w:rsidRPr="001B5C0A" w:rsidRDefault="006513EF" w:rsidP="006513EF">
      <w:pPr>
        <w:pStyle w:val="ListParagraph"/>
        <w:numPr>
          <w:ilvl w:val="0"/>
          <w:numId w:val="1"/>
        </w:numPr>
      </w:pPr>
      <w:r w:rsidRPr="001B5C0A">
        <w:t>Kolata, G. (2018). ‘Unbelievable’: Heart Stents Fail to Ease Chest Pain. [online] Nytimes.com. Available at: https://www.nytimes.com/2017/11/02/health/heart-disease-stents.html [Accessed 22 Apr. 2018]</w:t>
      </w:r>
    </w:p>
    <w:p w14:paraId="03ED70B9" w14:textId="77777777" w:rsidR="00CF1CB7" w:rsidRPr="001B5C0A" w:rsidRDefault="00CF1CB7" w:rsidP="00CF1CB7">
      <w:pPr>
        <w:pStyle w:val="ListParagraph"/>
      </w:pPr>
    </w:p>
    <w:p w14:paraId="52D5D8A7" w14:textId="1B332C45" w:rsidR="006513EF" w:rsidRPr="001B5C0A" w:rsidRDefault="00CF1CB7" w:rsidP="006513EF">
      <w:pPr>
        <w:pStyle w:val="ListParagraph"/>
        <w:numPr>
          <w:ilvl w:val="0"/>
          <w:numId w:val="1"/>
        </w:numPr>
      </w:pPr>
      <w:r w:rsidRPr="001B5C0A">
        <w:t>New England Journal of Medicine. (2018). Optimal Medical Therapy with or without PCI for Stable Coronary Disease | NEJM. [online] Available at: http://www.nejm.org/doi/full/10.1056/NEJMoa070829#t=article [Accessed 22 Apr. 2018].</w:t>
      </w:r>
    </w:p>
    <w:p w14:paraId="15361E99" w14:textId="77777777" w:rsidR="00CF1CB7" w:rsidRPr="001B5C0A" w:rsidRDefault="00CF1CB7" w:rsidP="00CF1CB7">
      <w:pPr>
        <w:pStyle w:val="ListParagraph"/>
      </w:pPr>
    </w:p>
    <w:p w14:paraId="2501BF2C" w14:textId="79B82A79" w:rsidR="004A2D18" w:rsidRPr="001B5C0A" w:rsidRDefault="006513EF" w:rsidP="00CF1CB7">
      <w:pPr>
        <w:pStyle w:val="ListParagraph"/>
        <w:numPr>
          <w:ilvl w:val="0"/>
          <w:numId w:val="1"/>
        </w:numPr>
      </w:pPr>
      <w:r w:rsidRPr="001B5C0A">
        <w:t>Kolata, G. (2018). Putting Stents to the Test. [online] Nytimes.com. Available at: https://www.nytimes.com/2015/06/23/health/heart-attack-stent-angiogram-chest-pain-angina.html [Accessed 22 Apr. 2018]</w:t>
      </w:r>
    </w:p>
    <w:p w14:paraId="7DD44FBA" w14:textId="17E5B4DC" w:rsidR="009862FA" w:rsidRPr="001B5C0A" w:rsidRDefault="009862FA" w:rsidP="004A2D18"/>
    <w:p w14:paraId="62581624" w14:textId="57114735" w:rsidR="00E37D52" w:rsidRPr="001B5C0A" w:rsidRDefault="00E37D52" w:rsidP="00E37D52">
      <w:pPr>
        <w:pStyle w:val="ListParagraph"/>
        <w:numPr>
          <w:ilvl w:val="0"/>
          <w:numId w:val="2"/>
        </w:numPr>
        <w:rPr>
          <w:b/>
        </w:rPr>
      </w:pPr>
      <w:r w:rsidRPr="001B5C0A">
        <w:rPr>
          <w:b/>
        </w:rPr>
        <w:lastRenderedPageBreak/>
        <w:t xml:space="preserve">Estimated wing size for different animals based on the Canada goose. </w:t>
      </w:r>
    </w:p>
    <w:p w14:paraId="0598624E" w14:textId="0C894BDA" w:rsidR="009862FA" w:rsidRPr="001B5C0A" w:rsidRDefault="00EA32DA" w:rsidP="004A2D18">
      <w:r w:rsidRPr="001B5C0A">
        <w:t>Weight of Canada goose:</w:t>
      </w:r>
      <w:r w:rsidR="00D84169" w:rsidRPr="001B5C0A">
        <w:t xml:space="preserve"> </w:t>
      </w:r>
      <w:r w:rsidR="00D84169" w:rsidRPr="001B5C0A">
        <w:rPr>
          <w:b/>
        </w:rPr>
        <w:t>3.9 kg</w:t>
      </w:r>
      <w:r w:rsidR="00BB4AB9" w:rsidRPr="001B5C0A">
        <w:tab/>
        <w:t>Cruising speed = 25 m/s</w:t>
      </w:r>
    </w:p>
    <w:p w14:paraId="2ECC4E55" w14:textId="6F97AEBC" w:rsidR="00EA32DA" w:rsidRPr="001B5C0A" w:rsidRDefault="00EA32DA" w:rsidP="004A2D18">
      <w:r w:rsidRPr="001B5C0A">
        <w:t>Wingspan of Canada goose:</w:t>
      </w:r>
      <w:r w:rsidR="00D84169" w:rsidRPr="001B5C0A">
        <w:t xml:space="preserve"> 127 cm, </w:t>
      </w:r>
      <w:r w:rsidRPr="001B5C0A">
        <w:t>Win</w:t>
      </w:r>
      <w:r w:rsidR="00D84169" w:rsidRPr="001B5C0A">
        <w:t>g</w:t>
      </w:r>
      <w:r w:rsidRPr="001B5C0A">
        <w:t xml:space="preserve"> chord of goose:</w:t>
      </w:r>
      <w:r w:rsidR="00BC411C" w:rsidRPr="001B5C0A">
        <w:tab/>
      </w:r>
      <w:r w:rsidR="00D84169" w:rsidRPr="001B5C0A">
        <w:t>39 cm</w:t>
      </w:r>
      <w:r w:rsidR="00BC411C" w:rsidRPr="001B5C0A">
        <w:tab/>
        <w:t>Wing area =</w:t>
      </w:r>
      <w:r w:rsidR="00D84169" w:rsidRPr="001B5C0A">
        <w:t xml:space="preserve"> 0.4953 m^2</w:t>
      </w:r>
    </w:p>
    <w:p w14:paraId="37DD955D" w14:textId="30133AC0" w:rsidR="004E2E4E" w:rsidRPr="001B5C0A" w:rsidRDefault="00EA32DA" w:rsidP="004A2D18">
      <w:pPr>
        <w:rPr>
          <w:b/>
        </w:rPr>
      </w:pPr>
      <w:r w:rsidRPr="001B5C0A">
        <w:t>Wing-loading of Canada goose</w:t>
      </w:r>
      <w:r w:rsidR="004E2E4E" w:rsidRPr="001B5C0A">
        <w:t>: W/A =</w:t>
      </w:r>
      <w:r w:rsidR="00D84169" w:rsidRPr="001B5C0A">
        <w:t xml:space="preserve"> </w:t>
      </w:r>
      <w:r w:rsidR="00D84169" w:rsidRPr="001B5C0A">
        <w:rPr>
          <w:b/>
        </w:rPr>
        <w:t>52.18 N/m^2</w:t>
      </w:r>
    </w:p>
    <w:p w14:paraId="0D7CE49E" w14:textId="0EB021F7" w:rsidR="004E2E4E" w:rsidRPr="001B5C0A" w:rsidRDefault="004E2E4E" w:rsidP="00365543">
      <w:r w:rsidRPr="001B5C0A">
        <w:t xml:space="preserve">Weight of </w:t>
      </w:r>
      <w:r w:rsidR="00365543" w:rsidRPr="001B5C0A">
        <w:rPr>
          <w:i/>
        </w:rPr>
        <w:t>Argentavis Magnificens</w:t>
      </w:r>
      <w:r w:rsidR="00365543" w:rsidRPr="001B5C0A">
        <w:t xml:space="preserve">: </w:t>
      </w:r>
      <w:r w:rsidR="00365543" w:rsidRPr="001B5C0A">
        <w:rPr>
          <w:b/>
        </w:rPr>
        <w:t>70</w:t>
      </w:r>
      <w:r w:rsidR="006B0313" w:rsidRPr="001B5C0A">
        <w:rPr>
          <w:b/>
        </w:rPr>
        <w:t xml:space="preserve"> </w:t>
      </w:r>
      <w:r w:rsidR="00365543" w:rsidRPr="001B5C0A">
        <w:rPr>
          <w:b/>
        </w:rPr>
        <w:t>kg</w:t>
      </w:r>
      <w:r w:rsidR="00365543" w:rsidRPr="001B5C0A">
        <w:tab/>
      </w:r>
      <w:r w:rsidR="00365543" w:rsidRPr="001B5C0A">
        <w:tab/>
        <w:t xml:space="preserve">Wing size = </w:t>
      </w:r>
      <w:r w:rsidR="00D84169" w:rsidRPr="001B5C0A">
        <w:rPr>
          <w:b/>
        </w:rPr>
        <w:t>8.8 m^2</w:t>
      </w:r>
    </w:p>
    <w:p w14:paraId="10E2E46C" w14:textId="0CE37FF2" w:rsidR="00BC411C" w:rsidRPr="001B5C0A" w:rsidRDefault="00365543" w:rsidP="00365543">
      <w:r w:rsidRPr="001B5C0A">
        <w:t>Weight of male African Bull Elephant:</w:t>
      </w:r>
      <w:r w:rsidR="00D84169" w:rsidRPr="001B5C0A">
        <w:t xml:space="preserve"> </w:t>
      </w:r>
      <w:r w:rsidR="00D84169" w:rsidRPr="001B5C0A">
        <w:rPr>
          <w:b/>
        </w:rPr>
        <w:t>4700</w:t>
      </w:r>
      <w:r w:rsidR="006B0313" w:rsidRPr="001B5C0A">
        <w:rPr>
          <w:b/>
        </w:rPr>
        <w:t xml:space="preserve"> </w:t>
      </w:r>
      <w:r w:rsidR="00D84169" w:rsidRPr="001B5C0A">
        <w:rPr>
          <w:b/>
        </w:rPr>
        <w:t>kg</w:t>
      </w:r>
      <w:r w:rsidR="00BC411C" w:rsidRPr="001B5C0A">
        <w:tab/>
        <w:t>Wing size =</w:t>
      </w:r>
      <w:r w:rsidR="00D84169" w:rsidRPr="001B5C0A">
        <w:t xml:space="preserve"> </w:t>
      </w:r>
      <w:r w:rsidR="00D84169" w:rsidRPr="001B5C0A">
        <w:rPr>
          <w:b/>
        </w:rPr>
        <w:t>596 m^2</w:t>
      </w:r>
    </w:p>
    <w:p w14:paraId="2693437E" w14:textId="3C9250CF" w:rsidR="00D73CEF" w:rsidRPr="001B5C0A" w:rsidRDefault="00A9274A" w:rsidP="00365543">
      <w:r w:rsidRPr="001B5C0A">
        <w:t xml:space="preserve">If the </w:t>
      </w:r>
      <w:r w:rsidR="00D73CEF" w:rsidRPr="001B5C0A">
        <w:t>we are assuming the wing-loading is the same for both Canada goose and male elephant, then their cruise velocities will also be the same: (goose = 1, elephant = 2, Wl = wing loading)</w:t>
      </w:r>
    </w:p>
    <w:p w14:paraId="5E622725" w14:textId="453C14E2" w:rsidR="00D73CEF" w:rsidRPr="001B5C0A" w:rsidRDefault="00D73CEF" w:rsidP="00D73CEF">
      <w:pPr>
        <w:rPr>
          <w:rFonts w:eastAsiaTheme="minorEastAsia"/>
        </w:rPr>
      </w:pPr>
      <m:oMathPara>
        <m:oMath>
          <m:f>
            <m:fPr>
              <m:ctrlPr>
                <w:rPr>
                  <w:rFonts w:ascii="Cambria Math" w:hAnsi="Cambria Math"/>
                  <w:i/>
                </w:rPr>
              </m:ctrlPr>
            </m:fPr>
            <m:num>
              <m:r>
                <w:rPr>
                  <w:rFonts w:ascii="Cambria Math" w:hAnsi="Cambria Math"/>
                </w:rPr>
                <m:t>F1</m:t>
              </m:r>
            </m:num>
            <m:den>
              <m:r>
                <w:rPr>
                  <w:rFonts w:ascii="Cambria Math" w:hAnsi="Cambria Math"/>
                </w:rPr>
                <m:t>F2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Cl</m:t>
                  </m:r>
                </m:e>
                <m:sub>
                  <m:r>
                    <w:rPr>
                      <w:rFonts w:ascii="Cambria Math" w:hAnsi="Cambria Math"/>
                    </w:rPr>
                    <m:t>max</m:t>
                  </m:r>
                </m:sub>
              </m:sSub>
              <m:r>
                <w:rPr>
                  <w:rFonts w:ascii="Cambria Math" w:hAnsi="Cambria Math"/>
                </w:rPr>
                <m:t>*0.5*ρ*</m:t>
              </m:r>
              <m:sSup>
                <m:sSupPr>
                  <m:ctrlPr>
                    <w:rPr>
                      <w:rFonts w:ascii="Cambria Math" w:hAnsi="Cambria Math"/>
                      <w:i/>
                    </w:rPr>
                  </m:ctrlPr>
                </m:sSupPr>
                <m:e>
                  <m:r>
                    <w:rPr>
                      <w:rFonts w:ascii="Cambria Math" w:hAnsi="Cambria Math"/>
                    </w:rPr>
                    <m:t>V1</m:t>
                  </m:r>
                </m:e>
                <m:sup>
                  <m:r>
                    <w:rPr>
                      <w:rFonts w:ascii="Cambria Math" w:hAnsi="Cambria Math"/>
                    </w:rPr>
                    <m:t>2</m:t>
                  </m:r>
                </m:sup>
              </m:sSup>
              <m:r>
                <w:rPr>
                  <w:rFonts w:ascii="Cambria Math" w:hAnsi="Cambria Math"/>
                </w:rPr>
                <m:t>*A1</m:t>
              </m:r>
            </m:num>
            <m:den>
              <m:sSub>
                <m:sSubPr>
                  <m:ctrlPr>
                    <w:rPr>
                      <w:rFonts w:ascii="Cambria Math" w:hAnsi="Cambria Math"/>
                      <w:i/>
                    </w:rPr>
                  </m:ctrlPr>
                </m:sSubPr>
                <m:e>
                  <m:r>
                    <w:rPr>
                      <w:rFonts w:ascii="Cambria Math" w:hAnsi="Cambria Math"/>
                    </w:rPr>
                    <m:t>Cl</m:t>
                  </m:r>
                </m:e>
                <m:sub>
                  <m:r>
                    <w:rPr>
                      <w:rFonts w:ascii="Cambria Math" w:hAnsi="Cambria Math"/>
                    </w:rPr>
                    <m:t>max</m:t>
                  </m:r>
                </m:sub>
              </m:sSub>
              <m:r>
                <w:rPr>
                  <w:rFonts w:ascii="Cambria Math" w:hAnsi="Cambria Math"/>
                </w:rPr>
                <m:t>*0.5*ρ*</m:t>
              </m:r>
              <m:r>
                <w:rPr>
                  <w:rFonts w:ascii="Cambria Math" w:hAnsi="Cambria Math"/>
                </w:rPr>
                <m:t>V</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*A</m:t>
              </m:r>
              <m:r>
                <w:rPr>
                  <w:rFonts w:ascii="Cambria Math"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m1*g</m:t>
              </m:r>
            </m:num>
            <m:den>
              <m:r>
                <w:rPr>
                  <w:rFonts w:ascii="Cambria Math" w:eastAsiaTheme="minorEastAsia" w:hAnsi="Cambria Math"/>
                </w:rPr>
                <m:t>m</m:t>
              </m:r>
              <m:r>
                <w:rPr>
                  <w:rFonts w:ascii="Cambria Math" w:eastAsiaTheme="minorEastAsia" w:hAnsi="Cambria Math"/>
                </w:rPr>
                <m:t>2</m:t>
              </m:r>
              <m:r>
                <w:rPr>
                  <w:rFonts w:ascii="Cambria Math" w:eastAsiaTheme="minorEastAsia" w:hAnsi="Cambria Math"/>
                </w:rPr>
                <m:t>*g</m:t>
              </m:r>
            </m:den>
          </m:f>
          <m:r>
            <w:rPr>
              <w:rFonts w:ascii="Cambria Math" w:eastAsiaTheme="minorEastAsia" w:hAnsi="Cambria Math"/>
            </w:rPr>
            <m:t xml:space="preserve"> </m:t>
          </m:r>
          <m:r>
            <m:rPr>
              <m:sty m:val="bi"/>
            </m:rPr>
            <w:rPr>
              <w:rFonts w:ascii="Cambria Math" w:eastAsiaTheme="minorEastAsia" w:hAnsi="Cambria Math"/>
            </w:rPr>
            <m:t>⇒</m:t>
          </m:r>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r>
                <w:rPr>
                  <w:rFonts w:ascii="Cambria Math" w:eastAsiaTheme="minorEastAsia" w:hAnsi="Cambria Math"/>
                </w:rPr>
                <m:t>2</m:t>
              </m:r>
            </m:num>
            <m:den>
              <m:r>
                <w:rPr>
                  <w:rFonts w:ascii="Cambria Math" w:eastAsiaTheme="minorEastAsia" w:hAnsi="Cambria Math"/>
                </w:rPr>
                <m:t>m</m:t>
              </m:r>
              <m:r>
                <w:rPr>
                  <w:rFonts w:ascii="Cambria Math" w:eastAsiaTheme="minorEastAsia" w:hAnsi="Cambria Math"/>
                </w:rPr>
                <m:t>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r>
                <w:rPr>
                  <w:rFonts w:ascii="Cambria Math" w:eastAsiaTheme="minorEastAsia" w:hAnsi="Cambria Math"/>
                </w:rPr>
                <m:t>1</m:t>
              </m:r>
            </m:num>
            <m:den>
              <m:r>
                <w:rPr>
                  <w:rFonts w:ascii="Cambria Math" w:eastAsiaTheme="minorEastAsia" w:hAnsi="Cambria Math"/>
                </w:rPr>
                <m:t>A</m:t>
              </m:r>
              <m:r>
                <w:rPr>
                  <w:rFonts w:ascii="Cambria Math" w:eastAsiaTheme="minorEastAsia" w:hAnsi="Cambria Math"/>
                </w:rPr>
                <m:t>2</m:t>
              </m:r>
            </m:den>
          </m:f>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Wl</m:t>
              </m:r>
              <m:r>
                <w:rPr>
                  <w:rFonts w:ascii="Cambria Math" w:eastAsiaTheme="minorEastAsia" w:hAnsi="Cambria Math"/>
                </w:rPr>
                <m:t>2</m:t>
              </m:r>
            </m:num>
            <m:den>
              <m:r>
                <w:rPr>
                  <w:rFonts w:ascii="Cambria Math" w:eastAsiaTheme="minorEastAsia" w:hAnsi="Cambria Math"/>
                </w:rPr>
                <m:t>Wl</m:t>
              </m:r>
              <m:r>
                <w:rPr>
                  <w:rFonts w:ascii="Cambria Math" w:eastAsiaTheme="minorEastAsia" w:hAnsi="Cambria Math"/>
                </w:rPr>
                <m:t>1</m:t>
              </m:r>
            </m:den>
          </m:f>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oMath>
      </m:oMathPara>
    </w:p>
    <w:p w14:paraId="2223E6D9" w14:textId="59F57F38" w:rsidR="007A3E59" w:rsidRPr="001B5C0A" w:rsidRDefault="007A3E59" w:rsidP="00D73CEF">
      <w:r w:rsidRPr="001B5C0A">
        <w:t>However, if we don’t assume the same wing-loading</w:t>
      </w:r>
      <w:r w:rsidR="00E0097B" w:rsidRPr="001B5C0A">
        <w:t xml:space="preserve"> but that the wing area scales with body size (A α L^2), </w:t>
      </w:r>
      <w:r w:rsidR="009C5AFF" w:rsidRPr="001B5C0A">
        <w:t xml:space="preserve">and taking into account that m = </w:t>
      </w:r>
      <m:oMath>
        <m:r>
          <w:rPr>
            <w:rFonts w:ascii="Cambria Math" w:hAnsi="Cambria Math"/>
          </w:rPr>
          <m:t>ρ</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oMath>
      <w:r w:rsidR="009C5AFF" w:rsidRPr="001B5C0A">
        <w:t xml:space="preserve"> , </w:t>
      </w:r>
      <w:r w:rsidR="00E0097B" w:rsidRPr="001B5C0A">
        <w:t>then we can say that:</w:t>
      </w:r>
    </w:p>
    <w:p w14:paraId="483E9CBE" w14:textId="464132D5" w:rsidR="00E0097B" w:rsidRPr="001B5C0A" w:rsidRDefault="00E0097B" w:rsidP="00D73CEF">
      <w:pPr>
        <w:rPr>
          <w:rFonts w:eastAsiaTheme="minorEastAsia"/>
        </w:rPr>
      </w:pPr>
      <m:oMath>
        <m:r>
          <w:rPr>
            <w:rFonts w:ascii="Cambria Math" w:hAnsi="Cambria Math"/>
          </w:rPr>
          <m:t>F2=</m:t>
        </m:r>
        <m:sSub>
          <m:sSubPr>
            <m:ctrlPr>
              <w:rPr>
                <w:rFonts w:ascii="Cambria Math" w:hAnsi="Cambria Math"/>
                <w:i/>
              </w:rPr>
            </m:ctrlPr>
          </m:sSubPr>
          <m:e>
            <m:r>
              <w:rPr>
                <w:rFonts w:ascii="Cambria Math" w:hAnsi="Cambria Math"/>
              </w:rPr>
              <m:t>0.5</m:t>
            </m:r>
            <m:r>
              <w:rPr>
                <w:rFonts w:ascii="Cambria Math" w:hAnsi="Cambria Math"/>
              </w:rPr>
              <m:t>*ρ</m:t>
            </m:r>
            <m:r>
              <w:rPr>
                <w:rFonts w:ascii="Cambria Math" w:hAnsi="Cambria Math"/>
              </w:rPr>
              <m:t xml:space="preserve"> </m:t>
            </m:r>
            <m:r>
              <w:rPr>
                <w:rFonts w:ascii="Cambria Math" w:hAnsi="Cambria Math"/>
              </w:rPr>
              <m:t>Cl</m:t>
            </m:r>
          </m:e>
          <m:sub>
            <m:r>
              <w:rPr>
                <w:rFonts w:ascii="Cambria Math" w:hAnsi="Cambria Math"/>
              </w:rPr>
              <m:t>max</m:t>
            </m:r>
          </m:sub>
        </m:sSub>
        <m:r>
          <w:rPr>
            <w:rFonts w:ascii="Cambria Math" w:hAnsi="Cambria Math"/>
          </w:rPr>
          <m:t>*V</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=m2*g</m:t>
        </m:r>
        <m:r>
          <m:rPr>
            <m:sty m:val="bi"/>
          </m:rPr>
          <w:rPr>
            <w:rFonts w:ascii="Cambria Math" w:eastAsiaTheme="minorEastAsia" w:hAnsi="Cambria Math"/>
          </w:rPr>
          <m:t>⇒</m:t>
        </m:r>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hAnsi="Cambria Math"/>
          </w:rPr>
          <m:t>=K*</m:t>
        </m:r>
        <m:sSup>
          <m:sSupPr>
            <m:ctrlPr>
              <w:rPr>
                <w:rFonts w:ascii="Cambria Math" w:hAnsi="Cambria Math"/>
                <w:i/>
              </w:rPr>
            </m:ctrlPr>
          </m:sSupPr>
          <m:e>
            <m:r>
              <w:rPr>
                <w:rFonts w:ascii="Cambria Math" w:hAnsi="Cambria Math"/>
              </w:rPr>
              <m:t xml:space="preserve">m2 </m:t>
            </m:r>
          </m:e>
          <m:sup>
            <m:f>
              <m:fPr>
                <m:ctrlPr>
                  <w:rPr>
                    <w:rFonts w:ascii="Cambria Math" w:hAnsi="Cambria Math"/>
                    <w:i/>
                  </w:rPr>
                </m:ctrlPr>
              </m:fPr>
              <m:num>
                <m:r>
                  <w:rPr>
                    <w:rFonts w:ascii="Cambria Math" w:hAnsi="Cambria Math"/>
                  </w:rPr>
                  <m:t>1</m:t>
                </m:r>
              </m:num>
              <m:den>
                <m:r>
                  <w:rPr>
                    <w:rFonts w:ascii="Cambria Math" w:hAnsi="Cambria Math"/>
                  </w:rPr>
                  <m:t>3</m:t>
                </m:r>
              </m:den>
            </m:f>
          </m:sup>
        </m:sSup>
        <m:r>
          <m:rPr>
            <m:sty m:val="bi"/>
          </m:rPr>
          <w:rPr>
            <w:rFonts w:ascii="Cambria Math" w:eastAsiaTheme="minorEastAsia" w:hAnsi="Cambria Math"/>
          </w:rPr>
          <m:t>⇒</m:t>
        </m:r>
        <m:r>
          <w:rPr>
            <w:rFonts w:ascii="Cambria Math" w:eastAsiaTheme="minorEastAsia" w:hAnsi="Cambria Math"/>
          </w:rPr>
          <m:t>V2=</m:t>
        </m:r>
        <m:rad>
          <m:radPr>
            <m:degHide m:val="1"/>
            <m:ctrlPr>
              <w:rPr>
                <w:rFonts w:ascii="Cambria Math" w:eastAsiaTheme="minorEastAsia" w:hAnsi="Cambria Math"/>
                <w:i/>
              </w:rPr>
            </m:ctrlPr>
          </m:radPr>
          <m:deg/>
          <m:e>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m2</m:t>
                        </m:r>
                      </m:num>
                      <m:den>
                        <m:r>
                          <w:rPr>
                            <w:rFonts w:ascii="Cambria Math" w:eastAsiaTheme="minorEastAsia" w:hAnsi="Cambria Math"/>
                          </w:rPr>
                          <m:t>m1</m:t>
                        </m:r>
                      </m:den>
                    </m:f>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sup>
            </m:sSup>
          </m:e>
        </m:rad>
        <m:r>
          <w:rPr>
            <w:rFonts w:ascii="Cambria Math" w:eastAsiaTheme="minorEastAsia" w:hAnsi="Cambria Math"/>
          </w:rPr>
          <m:t xml:space="preserve"> ≈</m:t>
        </m:r>
        <m:r>
          <m:rPr>
            <m:sty m:val="bi"/>
          </m:rPr>
          <w:rPr>
            <w:rFonts w:ascii="Cambria Math" w:eastAsiaTheme="minorEastAsia" w:hAnsi="Cambria Math"/>
          </w:rPr>
          <m:t>80 m/s</m:t>
        </m:r>
      </m:oMath>
      <w:r w:rsidR="009C5AFF" w:rsidRPr="001B5C0A">
        <w:rPr>
          <w:rFonts w:eastAsiaTheme="minorEastAsia"/>
        </w:rPr>
        <w:t xml:space="preserve"> </w:t>
      </w:r>
    </w:p>
    <w:p w14:paraId="652BF418" w14:textId="3F12C25B" w:rsidR="00EE6FEA" w:rsidRPr="001B5C0A" w:rsidRDefault="00EE6FEA" w:rsidP="00365543">
      <w:r w:rsidRPr="001B5C0A">
        <w:t>References:</w:t>
      </w:r>
    </w:p>
    <w:p w14:paraId="35CC933D" w14:textId="5D2F31C6" w:rsidR="00EE6FEA" w:rsidRPr="001B5C0A" w:rsidRDefault="00E0097B" w:rsidP="00E0097B">
      <w:pPr>
        <w:pStyle w:val="ListParagraph"/>
        <w:numPr>
          <w:ilvl w:val="0"/>
          <w:numId w:val="10"/>
        </w:numPr>
      </w:pPr>
      <w:r w:rsidRPr="001B5C0A">
        <w:t>Madge, Steve; Burn, Hilary (1988). Waterfowl: An Identification Guide to the Ducks, Geese, and Swans of the World. Boston: Houghton Mifflin. ISBN 0-395-46727-6.</w:t>
      </w:r>
    </w:p>
    <w:p w14:paraId="544115BD" w14:textId="147EDE73" w:rsidR="00EE6FEA" w:rsidRPr="001B5C0A" w:rsidRDefault="00E0097B" w:rsidP="00E0097B">
      <w:pPr>
        <w:pStyle w:val="ListParagraph"/>
        <w:numPr>
          <w:ilvl w:val="0"/>
          <w:numId w:val="10"/>
        </w:numPr>
      </w:pPr>
      <w:r w:rsidRPr="001B5C0A">
        <w:t>Laurson, Barry; Bekoff, Marc (1978). "Loxodonta africana". Mammalian Species. 92 (92): 1–8. doi:10.2307/3503889. JSTOR 3503889.</w:t>
      </w:r>
      <w:r w:rsidR="00EE6FEA" w:rsidRPr="001B5C0A">
        <w:t>Something</w:t>
      </w:r>
    </w:p>
    <w:p w14:paraId="62289E9E" w14:textId="642745DC" w:rsidR="003F19A9" w:rsidRPr="001B5C0A" w:rsidRDefault="00BF4A23" w:rsidP="00E0097B">
      <w:pPr>
        <w:pStyle w:val="ListParagraph"/>
        <w:numPr>
          <w:ilvl w:val="0"/>
          <w:numId w:val="10"/>
        </w:numPr>
      </w:pPr>
      <w:r w:rsidRPr="001B5C0A">
        <w:t>Mittal, Rajat (2018); Biolocomotion [PowerPoint Slides]</w:t>
      </w:r>
    </w:p>
    <w:p w14:paraId="24E2EC62" w14:textId="77777777" w:rsidR="00EE6FEA" w:rsidRPr="001B5C0A" w:rsidRDefault="00EE6FEA" w:rsidP="00EE6FEA"/>
    <w:p w14:paraId="5EDB9FAC" w14:textId="209DBA4C" w:rsidR="00177438" w:rsidRPr="001B5C0A" w:rsidRDefault="00BC411C" w:rsidP="00177438">
      <w:pPr>
        <w:pStyle w:val="ListParagraph"/>
        <w:numPr>
          <w:ilvl w:val="0"/>
          <w:numId w:val="2"/>
        </w:numPr>
        <w:rPr>
          <w:b/>
        </w:rPr>
      </w:pPr>
      <w:r w:rsidRPr="001B5C0A">
        <w:rPr>
          <w:b/>
        </w:rPr>
        <w:t>Terminal velocity for different falling objects</w:t>
      </w:r>
    </w:p>
    <w:tbl>
      <w:tblPr>
        <w:tblStyle w:val="PlainTable1"/>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7"/>
        <w:gridCol w:w="2588"/>
        <w:gridCol w:w="2587"/>
        <w:gridCol w:w="2588"/>
      </w:tblGrid>
      <w:tr w:rsidR="001B5C0A" w:rsidRPr="001B5C0A" w14:paraId="08531FFC" w14:textId="5EA60CD0" w:rsidTr="006831E0">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64773056" w14:textId="311A1C1F" w:rsidR="006831E0" w:rsidRPr="001B5C0A" w:rsidRDefault="006831E0" w:rsidP="00E85513">
            <w:pPr>
              <w:jc w:val="center"/>
            </w:pPr>
            <w:r w:rsidRPr="001B5C0A">
              <w:t>OBJECT</w:t>
            </w:r>
          </w:p>
        </w:tc>
        <w:tc>
          <w:tcPr>
            <w:tcW w:w="2588" w:type="dxa"/>
            <w:vAlign w:val="center"/>
          </w:tcPr>
          <w:p w14:paraId="4B8648BB" w14:textId="5E962FAB" w:rsidR="006831E0" w:rsidRPr="001B5C0A" w:rsidRDefault="006831E0" w:rsidP="00E85513">
            <w:pPr>
              <w:jc w:val="center"/>
              <w:cnfStyle w:val="100000000000" w:firstRow="1" w:lastRow="0" w:firstColumn="0" w:lastColumn="0" w:oddVBand="0" w:evenVBand="0" w:oddHBand="0" w:evenHBand="0" w:firstRowFirstColumn="0" w:firstRowLastColumn="0" w:lastRowFirstColumn="0" w:lastRowLastColumn="0"/>
            </w:pPr>
            <w:r w:rsidRPr="001B5C0A">
              <w:t>MASS</w:t>
            </w:r>
          </w:p>
        </w:tc>
        <w:tc>
          <w:tcPr>
            <w:tcW w:w="2587" w:type="dxa"/>
            <w:vAlign w:val="center"/>
          </w:tcPr>
          <w:p w14:paraId="2FD78007" w14:textId="49D593E7" w:rsidR="006831E0" w:rsidRPr="001B5C0A" w:rsidRDefault="006831E0" w:rsidP="00E85513">
            <w:pPr>
              <w:jc w:val="center"/>
              <w:cnfStyle w:val="100000000000" w:firstRow="1" w:lastRow="0" w:firstColumn="0" w:lastColumn="0" w:oddVBand="0" w:evenVBand="0" w:oddHBand="0" w:evenHBand="0" w:firstRowFirstColumn="0" w:firstRowLastColumn="0" w:lastRowFirstColumn="0" w:lastRowLastColumn="0"/>
              <w:rPr>
                <w:b w:val="0"/>
                <w:bCs w:val="0"/>
              </w:rPr>
            </w:pPr>
            <w:r w:rsidRPr="001B5C0A">
              <w:t>PROJECTED</w:t>
            </w:r>
          </w:p>
          <w:p w14:paraId="30A01505" w14:textId="1054BDF3" w:rsidR="006831E0" w:rsidRPr="001B5C0A" w:rsidRDefault="006831E0" w:rsidP="00E85513">
            <w:pPr>
              <w:jc w:val="center"/>
              <w:cnfStyle w:val="100000000000" w:firstRow="1" w:lastRow="0" w:firstColumn="0" w:lastColumn="0" w:oddVBand="0" w:evenVBand="0" w:oddHBand="0" w:evenHBand="0" w:firstRowFirstColumn="0" w:firstRowLastColumn="0" w:lastRowFirstColumn="0" w:lastRowLastColumn="0"/>
            </w:pPr>
            <w:r w:rsidRPr="001B5C0A">
              <w:t>AREA</w:t>
            </w:r>
          </w:p>
        </w:tc>
        <w:tc>
          <w:tcPr>
            <w:tcW w:w="2588" w:type="dxa"/>
            <w:vAlign w:val="center"/>
          </w:tcPr>
          <w:p w14:paraId="072027F9" w14:textId="77777777" w:rsidR="006831E0" w:rsidRPr="001B5C0A" w:rsidRDefault="006831E0" w:rsidP="00E85513">
            <w:pPr>
              <w:jc w:val="center"/>
              <w:cnfStyle w:val="100000000000" w:firstRow="1" w:lastRow="0" w:firstColumn="0" w:lastColumn="0" w:oddVBand="0" w:evenVBand="0" w:oddHBand="0" w:evenHBand="0" w:firstRowFirstColumn="0" w:firstRowLastColumn="0" w:lastRowFirstColumn="0" w:lastRowLastColumn="0"/>
              <w:rPr>
                <w:b w:val="0"/>
                <w:bCs w:val="0"/>
              </w:rPr>
            </w:pPr>
            <w:r w:rsidRPr="001B5C0A">
              <w:t>TERMINAL</w:t>
            </w:r>
          </w:p>
          <w:p w14:paraId="23467A94" w14:textId="294B4185" w:rsidR="006831E0" w:rsidRPr="001B5C0A" w:rsidRDefault="006831E0" w:rsidP="00E85513">
            <w:pPr>
              <w:jc w:val="center"/>
              <w:cnfStyle w:val="100000000000" w:firstRow="1" w:lastRow="0" w:firstColumn="0" w:lastColumn="0" w:oddVBand="0" w:evenVBand="0" w:oddHBand="0" w:evenHBand="0" w:firstRowFirstColumn="0" w:firstRowLastColumn="0" w:lastRowFirstColumn="0" w:lastRowLastColumn="0"/>
            </w:pPr>
            <w:r w:rsidRPr="001B5C0A">
              <w:t>VELOCITY</w:t>
            </w:r>
          </w:p>
        </w:tc>
      </w:tr>
      <w:tr w:rsidR="001B5C0A" w:rsidRPr="001B5C0A" w14:paraId="77BE18BC" w14:textId="61D952A2" w:rsidTr="006831E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77FEBEBD" w14:textId="39CC7E04" w:rsidR="006831E0" w:rsidRPr="001B5C0A" w:rsidRDefault="006831E0" w:rsidP="00E85513">
            <w:pPr>
              <w:jc w:val="center"/>
            </w:pPr>
            <w:r w:rsidRPr="001B5C0A">
              <w:t>Dust Particle</w:t>
            </w:r>
          </w:p>
        </w:tc>
        <w:tc>
          <w:tcPr>
            <w:tcW w:w="2588" w:type="dxa"/>
            <w:vAlign w:val="center"/>
          </w:tcPr>
          <w:p w14:paraId="02E861B5" w14:textId="375A5578" w:rsidR="006831E0" w:rsidRPr="001B5C0A" w:rsidRDefault="00C610E2" w:rsidP="00E85513">
            <w:pPr>
              <w:jc w:val="center"/>
              <w:cnfStyle w:val="000000100000" w:firstRow="0" w:lastRow="0" w:firstColumn="0" w:lastColumn="0" w:oddVBand="0" w:evenVBand="0" w:oddHBand="1" w:evenHBand="0" w:firstRowFirstColumn="0" w:firstRowLastColumn="0" w:lastRowFirstColumn="0" w:lastRowLastColumn="0"/>
            </w:pPr>
            <w:r w:rsidRPr="001B5C0A">
              <w:t>124*E-9 g</w:t>
            </w:r>
          </w:p>
        </w:tc>
        <w:tc>
          <w:tcPr>
            <w:tcW w:w="2587" w:type="dxa"/>
            <w:vAlign w:val="center"/>
          </w:tcPr>
          <w:p w14:paraId="1A382A5E" w14:textId="1EF7DC43" w:rsidR="006831E0" w:rsidRPr="001B5C0A" w:rsidRDefault="00C610E2" w:rsidP="00E85513">
            <w:pPr>
              <w:jc w:val="center"/>
              <w:cnfStyle w:val="000000100000" w:firstRow="0" w:lastRow="0" w:firstColumn="0" w:lastColumn="0" w:oddVBand="0" w:evenVBand="0" w:oddHBand="1" w:evenHBand="0" w:firstRowFirstColumn="0" w:firstRowLastColumn="0" w:lastRowFirstColumn="0" w:lastRowLastColumn="0"/>
            </w:pPr>
            <w:r w:rsidRPr="001B5C0A">
              <w:t>7.068*E-10 m^2</w:t>
            </w:r>
          </w:p>
        </w:tc>
        <w:tc>
          <w:tcPr>
            <w:tcW w:w="2588" w:type="dxa"/>
            <w:vAlign w:val="center"/>
          </w:tcPr>
          <w:p w14:paraId="69440D01" w14:textId="5EB34A39" w:rsidR="006831E0" w:rsidRPr="001B5C0A" w:rsidRDefault="00E77DF9" w:rsidP="00E85513">
            <w:pPr>
              <w:jc w:val="center"/>
              <w:cnfStyle w:val="000000100000" w:firstRow="0" w:lastRow="0" w:firstColumn="0" w:lastColumn="0" w:oddVBand="0" w:evenVBand="0" w:oddHBand="1" w:evenHBand="0" w:firstRowFirstColumn="0" w:firstRowLastColumn="0" w:lastRowFirstColumn="0" w:lastRowLastColumn="0"/>
            </w:pPr>
            <w:r w:rsidRPr="001B5C0A">
              <w:t>0.0233 m/s</w:t>
            </w:r>
          </w:p>
        </w:tc>
      </w:tr>
      <w:tr w:rsidR="001B5C0A" w:rsidRPr="001B5C0A" w14:paraId="50CA4509" w14:textId="72B3DEBD" w:rsidTr="006831E0">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52C7D42A" w14:textId="4C756076" w:rsidR="006831E0" w:rsidRPr="001B5C0A" w:rsidRDefault="006831E0" w:rsidP="00E85513">
            <w:pPr>
              <w:jc w:val="center"/>
            </w:pPr>
            <w:r w:rsidRPr="001B5C0A">
              <w:t>Pollen</w:t>
            </w:r>
          </w:p>
        </w:tc>
        <w:tc>
          <w:tcPr>
            <w:tcW w:w="2588" w:type="dxa"/>
            <w:vAlign w:val="center"/>
          </w:tcPr>
          <w:p w14:paraId="57233070" w14:textId="2F99F62B" w:rsidR="006831E0" w:rsidRPr="001B5C0A" w:rsidRDefault="007F23D2" w:rsidP="00E85513">
            <w:pPr>
              <w:jc w:val="center"/>
              <w:cnfStyle w:val="000000000000" w:firstRow="0" w:lastRow="0" w:firstColumn="0" w:lastColumn="0" w:oddVBand="0" w:evenVBand="0" w:oddHBand="0" w:evenHBand="0" w:firstRowFirstColumn="0" w:firstRowLastColumn="0" w:lastRowFirstColumn="0" w:lastRowLastColumn="0"/>
            </w:pPr>
            <w:r w:rsidRPr="001B5C0A">
              <w:t>247*E-9 g</w:t>
            </w:r>
          </w:p>
        </w:tc>
        <w:tc>
          <w:tcPr>
            <w:tcW w:w="2587" w:type="dxa"/>
            <w:vAlign w:val="center"/>
          </w:tcPr>
          <w:p w14:paraId="1362CFCA" w14:textId="3B5284F8" w:rsidR="006831E0" w:rsidRPr="001B5C0A" w:rsidRDefault="007F23D2" w:rsidP="00E85513">
            <w:pPr>
              <w:jc w:val="center"/>
              <w:cnfStyle w:val="000000000000" w:firstRow="0" w:lastRow="0" w:firstColumn="0" w:lastColumn="0" w:oddVBand="0" w:evenVBand="0" w:oddHBand="0" w:evenHBand="0" w:firstRowFirstColumn="0" w:firstRowLastColumn="0" w:lastRowFirstColumn="0" w:lastRowLastColumn="0"/>
            </w:pPr>
            <w:r w:rsidRPr="001B5C0A">
              <w:t>6.361*E-9 m^2</w:t>
            </w:r>
          </w:p>
        </w:tc>
        <w:tc>
          <w:tcPr>
            <w:tcW w:w="2588" w:type="dxa"/>
            <w:vAlign w:val="center"/>
          </w:tcPr>
          <w:p w14:paraId="7974F0C4" w14:textId="18FC48D6" w:rsidR="006831E0" w:rsidRPr="001B5C0A" w:rsidRDefault="00E77DF9" w:rsidP="00E85513">
            <w:pPr>
              <w:jc w:val="center"/>
              <w:cnfStyle w:val="000000000000" w:firstRow="0" w:lastRow="0" w:firstColumn="0" w:lastColumn="0" w:oddVBand="0" w:evenVBand="0" w:oddHBand="0" w:evenHBand="0" w:firstRowFirstColumn="0" w:firstRowLastColumn="0" w:lastRowFirstColumn="0" w:lastRowLastColumn="0"/>
            </w:pPr>
            <w:r w:rsidRPr="001B5C0A">
              <w:t>0.1358 m/s</w:t>
            </w:r>
          </w:p>
        </w:tc>
      </w:tr>
      <w:tr w:rsidR="001B5C0A" w:rsidRPr="001B5C0A" w14:paraId="40C25A22" w14:textId="16459601" w:rsidTr="006831E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7AC73D23" w14:textId="34BA2280" w:rsidR="006831E0" w:rsidRPr="001B5C0A" w:rsidRDefault="006831E0" w:rsidP="00E85513">
            <w:pPr>
              <w:jc w:val="center"/>
            </w:pPr>
            <w:r w:rsidRPr="001B5C0A">
              <w:t>Rain Drop</w:t>
            </w:r>
          </w:p>
        </w:tc>
        <w:tc>
          <w:tcPr>
            <w:tcW w:w="2588" w:type="dxa"/>
            <w:vAlign w:val="center"/>
          </w:tcPr>
          <w:p w14:paraId="488163DF" w14:textId="1862469D" w:rsidR="006831E0" w:rsidRPr="001B5C0A" w:rsidRDefault="007F23D2" w:rsidP="00E85513">
            <w:pPr>
              <w:jc w:val="center"/>
              <w:cnfStyle w:val="000000100000" w:firstRow="0" w:lastRow="0" w:firstColumn="0" w:lastColumn="0" w:oddVBand="0" w:evenVBand="0" w:oddHBand="1" w:evenHBand="0" w:firstRowFirstColumn="0" w:firstRowLastColumn="0" w:lastRowFirstColumn="0" w:lastRowLastColumn="0"/>
            </w:pPr>
            <w:r w:rsidRPr="001B5C0A">
              <w:t>70 mg</w:t>
            </w:r>
          </w:p>
        </w:tc>
        <w:tc>
          <w:tcPr>
            <w:tcW w:w="2587" w:type="dxa"/>
            <w:vAlign w:val="center"/>
          </w:tcPr>
          <w:p w14:paraId="29A52D29" w14:textId="3B02A84B" w:rsidR="006831E0" w:rsidRPr="001B5C0A" w:rsidRDefault="007F23D2" w:rsidP="00E85513">
            <w:pPr>
              <w:jc w:val="center"/>
              <w:cnfStyle w:val="000000100000" w:firstRow="0" w:lastRow="0" w:firstColumn="0" w:lastColumn="0" w:oddVBand="0" w:evenVBand="0" w:oddHBand="1" w:evenHBand="0" w:firstRowFirstColumn="0" w:firstRowLastColumn="0" w:lastRowFirstColumn="0" w:lastRowLastColumn="0"/>
            </w:pPr>
            <w:r w:rsidRPr="001B5C0A">
              <w:t>1.963*E-5 m^2</w:t>
            </w:r>
          </w:p>
        </w:tc>
        <w:tc>
          <w:tcPr>
            <w:tcW w:w="2588" w:type="dxa"/>
            <w:vAlign w:val="center"/>
          </w:tcPr>
          <w:p w14:paraId="06984F27" w14:textId="0CFA1E91" w:rsidR="006831E0" w:rsidRPr="001B5C0A" w:rsidRDefault="0099194C" w:rsidP="00E85513">
            <w:pPr>
              <w:jc w:val="center"/>
              <w:cnfStyle w:val="000000100000" w:firstRow="0" w:lastRow="0" w:firstColumn="0" w:lastColumn="0" w:oddVBand="0" w:evenVBand="0" w:oddHBand="1" w:evenHBand="0" w:firstRowFirstColumn="0" w:firstRowLastColumn="0" w:lastRowFirstColumn="0" w:lastRowLastColumn="0"/>
            </w:pPr>
            <w:r w:rsidRPr="001B5C0A">
              <w:t>9.1822 m/s</w:t>
            </w:r>
          </w:p>
        </w:tc>
      </w:tr>
      <w:tr w:rsidR="001B5C0A" w:rsidRPr="001B5C0A" w14:paraId="628C04F2" w14:textId="1C2133C8" w:rsidTr="006831E0">
        <w:trPr>
          <w:trHeight w:val="720"/>
        </w:trPr>
        <w:tc>
          <w:tcPr>
            <w:cnfStyle w:val="001000000000" w:firstRow="0" w:lastRow="0" w:firstColumn="1" w:lastColumn="0" w:oddVBand="0" w:evenVBand="0" w:oddHBand="0" w:evenHBand="0" w:firstRowFirstColumn="0" w:firstRowLastColumn="0" w:lastRowFirstColumn="0" w:lastRowLastColumn="0"/>
            <w:tcW w:w="2587" w:type="dxa"/>
            <w:vAlign w:val="center"/>
          </w:tcPr>
          <w:p w14:paraId="7B0894D4" w14:textId="49F3FB36" w:rsidR="006831E0" w:rsidRPr="001B5C0A" w:rsidRDefault="006831E0" w:rsidP="00E85513">
            <w:pPr>
              <w:jc w:val="center"/>
            </w:pPr>
            <w:r w:rsidRPr="001B5C0A">
              <w:t>Golf Ball</w:t>
            </w:r>
          </w:p>
        </w:tc>
        <w:tc>
          <w:tcPr>
            <w:tcW w:w="2588" w:type="dxa"/>
            <w:vAlign w:val="center"/>
          </w:tcPr>
          <w:p w14:paraId="134277FD" w14:textId="454FB998" w:rsidR="006831E0" w:rsidRPr="001B5C0A" w:rsidRDefault="006831E0" w:rsidP="00E85513">
            <w:pPr>
              <w:jc w:val="center"/>
              <w:cnfStyle w:val="000000000000" w:firstRow="0" w:lastRow="0" w:firstColumn="0" w:lastColumn="0" w:oddVBand="0" w:evenVBand="0" w:oddHBand="0" w:evenHBand="0" w:firstRowFirstColumn="0" w:firstRowLastColumn="0" w:lastRowFirstColumn="0" w:lastRowLastColumn="0"/>
            </w:pPr>
            <w:r w:rsidRPr="001B5C0A">
              <w:t>45.93 g</w:t>
            </w:r>
          </w:p>
        </w:tc>
        <w:tc>
          <w:tcPr>
            <w:tcW w:w="2587" w:type="dxa"/>
            <w:vAlign w:val="center"/>
          </w:tcPr>
          <w:p w14:paraId="79E85EDC" w14:textId="210CD364" w:rsidR="006831E0" w:rsidRPr="001B5C0A" w:rsidRDefault="006831E0" w:rsidP="00E85513">
            <w:pPr>
              <w:jc w:val="center"/>
              <w:cnfStyle w:val="000000000000" w:firstRow="0" w:lastRow="0" w:firstColumn="0" w:lastColumn="0" w:oddVBand="0" w:evenVBand="0" w:oddHBand="0" w:evenHBand="0" w:firstRowFirstColumn="0" w:firstRowLastColumn="0" w:lastRowFirstColumn="0" w:lastRowLastColumn="0"/>
            </w:pPr>
            <w:r w:rsidRPr="001B5C0A">
              <w:t>1.429*E-3 m^2</w:t>
            </w:r>
          </w:p>
        </w:tc>
        <w:tc>
          <w:tcPr>
            <w:tcW w:w="2588" w:type="dxa"/>
            <w:vAlign w:val="center"/>
          </w:tcPr>
          <w:p w14:paraId="40CC445E" w14:textId="7A3C6DFA" w:rsidR="006831E0" w:rsidRPr="001B5C0A" w:rsidRDefault="0099194C" w:rsidP="00E85513">
            <w:pPr>
              <w:jc w:val="center"/>
              <w:cnfStyle w:val="000000000000" w:firstRow="0" w:lastRow="0" w:firstColumn="0" w:lastColumn="0" w:oddVBand="0" w:evenVBand="0" w:oddHBand="0" w:evenHBand="0" w:firstRowFirstColumn="0" w:firstRowLastColumn="0" w:lastRowFirstColumn="0" w:lastRowLastColumn="0"/>
            </w:pPr>
            <w:r w:rsidRPr="001B5C0A">
              <w:t>32.4105 m/s</w:t>
            </w:r>
          </w:p>
        </w:tc>
      </w:tr>
    </w:tbl>
    <w:p w14:paraId="47F92B65" w14:textId="1A76D76B" w:rsidR="00BD12CF" w:rsidRPr="001B5C0A" w:rsidRDefault="00BD12CF" w:rsidP="004A2D18"/>
    <w:p w14:paraId="5C32F30D" w14:textId="6CD9FAB6" w:rsidR="00870807" w:rsidRPr="001B5C0A" w:rsidRDefault="00870807" w:rsidP="004A2D18">
      <w:pPr>
        <w:rPr>
          <w:b/>
          <w:u w:val="single"/>
        </w:rPr>
      </w:pPr>
      <w:r w:rsidRPr="001B5C0A">
        <w:rPr>
          <w:b/>
          <w:u w:val="single"/>
        </w:rPr>
        <w:t>Data</w:t>
      </w:r>
    </w:p>
    <w:p w14:paraId="332050B8" w14:textId="60A2FE54" w:rsidR="00870807" w:rsidRPr="001B5C0A" w:rsidRDefault="00870807" w:rsidP="00870807">
      <w:pPr>
        <w:pStyle w:val="ListParagraph"/>
        <w:numPr>
          <w:ilvl w:val="0"/>
          <w:numId w:val="6"/>
        </w:numPr>
      </w:pPr>
      <w:r w:rsidRPr="001B5C0A">
        <w:t>Kinematic viscosity of Air: 14.88*E-6 m^2/s (at 18ºC</w:t>
      </w:r>
      <w:r w:rsidR="00DA3888" w:rsidRPr="001B5C0A">
        <w:t>, 1atm</w:t>
      </w:r>
      <w:r w:rsidRPr="001B5C0A">
        <w:t>)</w:t>
      </w:r>
    </w:p>
    <w:p w14:paraId="1F24A2CC" w14:textId="6803C9C2" w:rsidR="00DA3888" w:rsidRPr="001B5C0A" w:rsidRDefault="00DA3888" w:rsidP="00DA3888">
      <w:pPr>
        <w:pStyle w:val="ListParagraph"/>
        <w:numPr>
          <w:ilvl w:val="0"/>
          <w:numId w:val="6"/>
        </w:numPr>
      </w:pPr>
      <w:r w:rsidRPr="001B5C0A">
        <w:t>Density of Air: 1.212 kg/m^3 (at 18ºC, 1atm)</w:t>
      </w:r>
    </w:p>
    <w:p w14:paraId="182886ED" w14:textId="5B72FA15" w:rsidR="00544D33" w:rsidRPr="001B5C0A" w:rsidRDefault="00A43EE4" w:rsidP="00544D33">
      <w:pPr>
        <w:pStyle w:val="ListParagraph"/>
        <w:numPr>
          <w:ilvl w:val="0"/>
          <w:numId w:val="6"/>
        </w:numPr>
        <w:rPr>
          <w:rStyle w:val="Hyperlink"/>
          <w:color w:val="auto"/>
          <w:u w:val="none"/>
        </w:rPr>
      </w:pPr>
      <w:hyperlink r:id="rId7" w:history="1">
        <w:r w:rsidR="00870807" w:rsidRPr="001B5C0A">
          <w:rPr>
            <w:rStyle w:val="Hyperlink"/>
            <w:color w:val="auto"/>
          </w:rPr>
          <w:t>https://www.engineeringtoolbox.com/air-absolute-kinematic-viscosity-d_601.html</w:t>
        </w:r>
      </w:hyperlink>
    </w:p>
    <w:p w14:paraId="64F0EA88" w14:textId="77777777" w:rsidR="00544D33" w:rsidRPr="001B5C0A" w:rsidRDefault="00544D33" w:rsidP="00544D33">
      <w:pPr>
        <w:pStyle w:val="ListParagraph"/>
      </w:pPr>
    </w:p>
    <w:p w14:paraId="4E87C19B" w14:textId="409CF064" w:rsidR="00870807" w:rsidRPr="001B5C0A" w:rsidRDefault="001067EE" w:rsidP="00544D33">
      <w:pPr>
        <w:pStyle w:val="ListParagraph"/>
      </w:pPr>
      <m:oMath>
        <m:r>
          <w:rPr>
            <w:rFonts w:ascii="Cambria Math" w:hAnsi="Cambria Math"/>
            <w:sz w:val="36"/>
          </w:rPr>
          <m:t>Cd=</m:t>
        </m:r>
        <m:f>
          <m:fPr>
            <m:ctrlPr>
              <w:rPr>
                <w:rFonts w:ascii="Cambria Math" w:hAnsi="Cambria Math"/>
                <w:i/>
                <w:sz w:val="36"/>
              </w:rPr>
            </m:ctrlPr>
          </m:fPr>
          <m:num>
            <m:r>
              <w:rPr>
                <w:rFonts w:ascii="Cambria Math" w:hAnsi="Cambria Math"/>
                <w:sz w:val="36"/>
              </w:rPr>
              <m:t>24</m:t>
            </m:r>
          </m:num>
          <m:den>
            <m:r>
              <w:rPr>
                <w:rFonts w:ascii="Cambria Math" w:hAnsi="Cambria Math"/>
                <w:sz w:val="36"/>
              </w:rPr>
              <m:t>Re</m:t>
            </m:r>
          </m:den>
        </m:f>
        <m:r>
          <w:rPr>
            <w:rFonts w:ascii="Cambria Math" w:hAnsi="Cambria Math"/>
            <w:sz w:val="36"/>
          </w:rPr>
          <m:t>*</m:t>
        </m:r>
        <m:d>
          <m:dPr>
            <m:ctrlPr>
              <w:rPr>
                <w:rFonts w:ascii="Cambria Math" w:hAnsi="Cambria Math"/>
                <w:i/>
                <w:sz w:val="36"/>
              </w:rPr>
            </m:ctrlPr>
          </m:dPr>
          <m:e>
            <m:r>
              <w:rPr>
                <w:rFonts w:ascii="Cambria Math" w:hAnsi="Cambria Math"/>
                <w:sz w:val="36"/>
              </w:rPr>
              <m:t>1+0.173*</m:t>
            </m:r>
            <m:sSup>
              <m:sSupPr>
                <m:ctrlPr>
                  <w:rPr>
                    <w:rFonts w:ascii="Cambria Math" w:hAnsi="Cambria Math"/>
                    <w:i/>
                    <w:sz w:val="36"/>
                  </w:rPr>
                </m:ctrlPr>
              </m:sSupPr>
              <m:e>
                <m:r>
                  <w:rPr>
                    <w:rFonts w:ascii="Cambria Math" w:hAnsi="Cambria Math"/>
                    <w:sz w:val="36"/>
                  </w:rPr>
                  <m:t>Re</m:t>
                </m:r>
              </m:e>
              <m:sup>
                <m:r>
                  <w:rPr>
                    <w:rFonts w:ascii="Cambria Math" w:hAnsi="Cambria Math"/>
                    <w:sz w:val="36"/>
                  </w:rPr>
                  <m:t>0.657</m:t>
                </m:r>
              </m:sup>
            </m:sSup>
          </m:e>
        </m:d>
        <m:r>
          <w:rPr>
            <w:rFonts w:ascii="Cambria Math" w:hAnsi="Cambria Math"/>
            <w:sz w:val="36"/>
          </w:rPr>
          <m:t xml:space="preserve">+ </m:t>
        </m:r>
        <m:f>
          <m:fPr>
            <m:ctrlPr>
              <w:rPr>
                <w:rFonts w:ascii="Cambria Math" w:hAnsi="Cambria Math"/>
                <w:i/>
                <w:sz w:val="36"/>
              </w:rPr>
            </m:ctrlPr>
          </m:fPr>
          <m:num>
            <m:r>
              <w:rPr>
                <w:rFonts w:ascii="Cambria Math" w:hAnsi="Cambria Math"/>
                <w:sz w:val="36"/>
              </w:rPr>
              <m:t>0.413</m:t>
            </m:r>
          </m:num>
          <m:den>
            <m:r>
              <w:rPr>
                <w:rFonts w:ascii="Cambria Math" w:hAnsi="Cambria Math"/>
                <w:sz w:val="36"/>
              </w:rPr>
              <m:t>1+1.63*</m:t>
            </m:r>
            <m:sSup>
              <m:sSupPr>
                <m:ctrlPr>
                  <w:rPr>
                    <w:rFonts w:ascii="Cambria Math" w:hAnsi="Cambria Math"/>
                    <w:i/>
                    <w:sz w:val="36"/>
                  </w:rPr>
                </m:ctrlPr>
              </m:sSupPr>
              <m:e>
                <m:r>
                  <w:rPr>
                    <w:rFonts w:ascii="Cambria Math" w:hAnsi="Cambria Math"/>
                    <w:sz w:val="36"/>
                  </w:rPr>
                  <m:t>10</m:t>
                </m:r>
              </m:e>
              <m:sup>
                <m:r>
                  <w:rPr>
                    <w:rFonts w:ascii="Cambria Math" w:hAnsi="Cambria Math"/>
                    <w:sz w:val="36"/>
                  </w:rPr>
                  <m:t>-4</m:t>
                </m:r>
              </m:sup>
            </m:sSup>
            <m:r>
              <w:rPr>
                <w:rFonts w:ascii="Cambria Math" w:hAnsi="Cambria Math"/>
                <w:sz w:val="36"/>
              </w:rPr>
              <m:t>*</m:t>
            </m:r>
            <m:sSup>
              <m:sSupPr>
                <m:ctrlPr>
                  <w:rPr>
                    <w:rFonts w:ascii="Cambria Math" w:hAnsi="Cambria Math"/>
                    <w:i/>
                    <w:sz w:val="36"/>
                  </w:rPr>
                </m:ctrlPr>
              </m:sSupPr>
              <m:e>
                <m:r>
                  <w:rPr>
                    <w:rFonts w:ascii="Cambria Math" w:hAnsi="Cambria Math"/>
                    <w:sz w:val="36"/>
                  </w:rPr>
                  <m:t>Re</m:t>
                </m:r>
              </m:e>
              <m:sup>
                <m:r>
                  <w:rPr>
                    <w:rFonts w:ascii="Cambria Math" w:hAnsi="Cambria Math"/>
                    <w:sz w:val="36"/>
                  </w:rPr>
                  <m:t>-1.09</m:t>
                </m:r>
              </m:sup>
            </m:sSup>
          </m:den>
        </m:f>
      </m:oMath>
      <w:r w:rsidR="00544D33" w:rsidRPr="001B5C0A">
        <w:t xml:space="preserve"> </w:t>
      </w:r>
    </w:p>
    <w:p w14:paraId="5FBEFC5A" w14:textId="77777777" w:rsidR="00032CAB" w:rsidRPr="001B5C0A" w:rsidRDefault="00032CAB" w:rsidP="00544D33">
      <w:pPr>
        <w:pStyle w:val="ListParagraph"/>
      </w:pPr>
    </w:p>
    <w:p w14:paraId="3169F48B" w14:textId="0B95B646" w:rsidR="00544D33" w:rsidRPr="001B5C0A" w:rsidRDefault="00544D33" w:rsidP="00544D33">
      <w:pPr>
        <w:pStyle w:val="ListParagraph"/>
        <w:numPr>
          <w:ilvl w:val="0"/>
          <w:numId w:val="6"/>
        </w:numPr>
      </w:pPr>
      <w:r w:rsidRPr="001B5C0A">
        <w:t>Wilson, K. (2006). Slurry transport using centrifugal pumps. Boston, MA: Springer Science+Business Media, Inc.</w:t>
      </w:r>
    </w:p>
    <w:p w14:paraId="6197A1D6" w14:textId="33C662C7" w:rsidR="006831E0" w:rsidRPr="001B5C0A" w:rsidRDefault="006831E0" w:rsidP="004A2D18">
      <w:pPr>
        <w:rPr>
          <w:b/>
        </w:rPr>
      </w:pPr>
      <w:r w:rsidRPr="001B5C0A">
        <w:rPr>
          <w:b/>
        </w:rPr>
        <w:t>Dust</w:t>
      </w:r>
    </w:p>
    <w:p w14:paraId="63393206" w14:textId="2ADF9B9E" w:rsidR="00C610E2" w:rsidRPr="001B5C0A" w:rsidRDefault="00C610E2" w:rsidP="00C610E2">
      <w:pPr>
        <w:pStyle w:val="ListParagraph"/>
        <w:numPr>
          <w:ilvl w:val="0"/>
          <w:numId w:val="8"/>
        </w:numPr>
        <w:rPr>
          <w:b/>
        </w:rPr>
      </w:pPr>
      <w:r w:rsidRPr="001B5C0A">
        <w:t xml:space="preserve">Diameter = 30 um, Area </w:t>
      </w:r>
      <w:r w:rsidRPr="001B5C0A">
        <w:t>= Pi*R^2</w:t>
      </w:r>
    </w:p>
    <w:p w14:paraId="5CC8412F" w14:textId="0BDAC80C" w:rsidR="006831E0" w:rsidRPr="001B5C0A" w:rsidRDefault="00C610E2" w:rsidP="00C610E2">
      <w:pPr>
        <w:pStyle w:val="ListParagraph"/>
        <w:numPr>
          <w:ilvl w:val="0"/>
          <w:numId w:val="9"/>
        </w:numPr>
      </w:pPr>
      <w:r w:rsidRPr="001B5C0A">
        <w:t>Lanzerstorfer, C. (2017). Variations in the composition of house dust by particle size. Journal of Environmental Science and Health, Part A, 52(8), pp.770-777.</w:t>
      </w:r>
    </w:p>
    <w:p w14:paraId="7FA1C2EC" w14:textId="7BBFCD85" w:rsidR="007F23D2" w:rsidRPr="001B5C0A" w:rsidRDefault="006831E0" w:rsidP="004A2D18">
      <w:pPr>
        <w:rPr>
          <w:b/>
        </w:rPr>
      </w:pPr>
      <w:r w:rsidRPr="001B5C0A">
        <w:rPr>
          <w:b/>
        </w:rPr>
        <w:t>Pollen</w:t>
      </w:r>
    </w:p>
    <w:p w14:paraId="0DB5C996" w14:textId="2CFB760B" w:rsidR="007F23D2" w:rsidRPr="001B5C0A" w:rsidRDefault="007F23D2" w:rsidP="007F23D2">
      <w:pPr>
        <w:pStyle w:val="ListParagraph"/>
        <w:numPr>
          <w:ilvl w:val="0"/>
          <w:numId w:val="8"/>
        </w:numPr>
        <w:rPr>
          <w:b/>
        </w:rPr>
      </w:pPr>
      <w:r w:rsidRPr="001B5C0A">
        <w:t>Diameter = 0.09 mm, Area = Pi*R^2</w:t>
      </w:r>
    </w:p>
    <w:p w14:paraId="667C3113" w14:textId="083C55D7" w:rsidR="007F23D2" w:rsidRPr="001B5C0A" w:rsidRDefault="007F23D2" w:rsidP="007F23D2">
      <w:pPr>
        <w:pStyle w:val="ListParagraph"/>
        <w:numPr>
          <w:ilvl w:val="0"/>
          <w:numId w:val="8"/>
        </w:numPr>
      </w:pPr>
      <w:r w:rsidRPr="001B5C0A">
        <w:t>Pleasants, J. M.; Hellmich, R. L.; Dively, G. P.; Sears, M. K.; Stanley-Horn, D. E.; Mattila, H. R.; Foster, J. E.; Clark, P.; Jones, G. D. (2001). "Corn pollen deposition on milkweeds in and near cornfields". Proceedings of the National Academy of Sciences of the United States of America. 98 (21): 11919–24.</w:t>
      </w:r>
    </w:p>
    <w:p w14:paraId="5F9F7265" w14:textId="3C4C6DF0" w:rsidR="006831E0" w:rsidRPr="001B5C0A" w:rsidRDefault="007F23D2" w:rsidP="007F23D2">
      <w:pPr>
        <w:pStyle w:val="ListParagraph"/>
        <w:numPr>
          <w:ilvl w:val="0"/>
          <w:numId w:val="8"/>
        </w:numPr>
      </w:pPr>
      <w:r w:rsidRPr="001B5C0A">
        <w:t>http://www.bio.net/mm/maize/1999-November/000599.html</w:t>
      </w:r>
    </w:p>
    <w:p w14:paraId="7686D022" w14:textId="07181666" w:rsidR="006831E0" w:rsidRPr="001B5C0A" w:rsidRDefault="006831E0" w:rsidP="004A2D18">
      <w:pPr>
        <w:rPr>
          <w:b/>
        </w:rPr>
      </w:pPr>
      <w:r w:rsidRPr="001B5C0A">
        <w:rPr>
          <w:b/>
        </w:rPr>
        <w:t>Rain Drop</w:t>
      </w:r>
    </w:p>
    <w:p w14:paraId="421FFBBB" w14:textId="5FADFD6C" w:rsidR="00A51133" w:rsidRPr="001B5C0A" w:rsidRDefault="00A51133" w:rsidP="00A51133">
      <w:pPr>
        <w:pStyle w:val="ListParagraph"/>
        <w:numPr>
          <w:ilvl w:val="0"/>
          <w:numId w:val="7"/>
        </w:numPr>
        <w:rPr>
          <w:b/>
        </w:rPr>
      </w:pPr>
      <w:r w:rsidRPr="001B5C0A">
        <w:t>Diameter = 0.5cm, Area = Pi*R^2</w:t>
      </w:r>
    </w:p>
    <w:p w14:paraId="30DFF539" w14:textId="5CECA207" w:rsidR="00A51133" w:rsidRPr="001B5C0A" w:rsidRDefault="00A51133" w:rsidP="00A51133">
      <w:pPr>
        <w:pStyle w:val="ListParagraph"/>
        <w:numPr>
          <w:ilvl w:val="0"/>
          <w:numId w:val="7"/>
        </w:numPr>
        <w:rPr>
          <w:b/>
        </w:rPr>
      </w:pPr>
      <w:r w:rsidRPr="001B5C0A">
        <w:t>Mass for 0.5cm drop: 70mg</w:t>
      </w:r>
    </w:p>
    <w:p w14:paraId="2604E6A6" w14:textId="7A77F844" w:rsidR="006831E0" w:rsidRPr="001B5C0A" w:rsidRDefault="00A51133" w:rsidP="004A2D18">
      <w:pPr>
        <w:pStyle w:val="ListParagraph"/>
        <w:numPr>
          <w:ilvl w:val="0"/>
          <w:numId w:val="7"/>
        </w:numPr>
        <w:rPr>
          <w:b/>
        </w:rPr>
      </w:pPr>
      <w:r w:rsidRPr="001B5C0A">
        <w:t xml:space="preserve">"Liquid-Water Precipitation." </w:t>
      </w:r>
      <w:r w:rsidRPr="001B5C0A">
        <w:rPr>
          <w:i/>
          <w:iCs/>
        </w:rPr>
        <w:t>New Book of Popular Science, Deluxe Library ed. vol. 2</w:t>
      </w:r>
      <w:r w:rsidRPr="001B5C0A">
        <w:t>. Danbury, CT: Grolier, 1998: 167.</w:t>
      </w:r>
    </w:p>
    <w:p w14:paraId="0E1B3E77" w14:textId="16F90E74" w:rsidR="006831E0" w:rsidRPr="001B5C0A" w:rsidRDefault="006831E0" w:rsidP="006831E0">
      <w:pPr>
        <w:rPr>
          <w:b/>
        </w:rPr>
      </w:pPr>
      <w:r w:rsidRPr="001B5C0A">
        <w:rPr>
          <w:b/>
        </w:rPr>
        <w:t>Golf Ball</w:t>
      </w:r>
    </w:p>
    <w:p w14:paraId="6BAC3F78" w14:textId="0CB42133" w:rsidR="006831E0" w:rsidRPr="001B5C0A" w:rsidRDefault="006831E0" w:rsidP="006831E0">
      <w:pPr>
        <w:pStyle w:val="ListParagraph"/>
        <w:numPr>
          <w:ilvl w:val="0"/>
          <w:numId w:val="5"/>
        </w:numPr>
        <w:rPr>
          <w:b/>
        </w:rPr>
      </w:pPr>
      <w:r w:rsidRPr="001B5C0A">
        <w:t>Diameter = 42.67mm, Area = Pi*R^2</w:t>
      </w:r>
    </w:p>
    <w:p w14:paraId="6467775F" w14:textId="192D7C13" w:rsidR="0099194C" w:rsidRPr="001B5C0A" w:rsidRDefault="0099194C" w:rsidP="0099194C">
      <w:pPr>
        <w:pStyle w:val="ListParagraph"/>
        <w:numPr>
          <w:ilvl w:val="0"/>
          <w:numId w:val="3"/>
        </w:numPr>
      </w:pPr>
      <w:hyperlink r:id="rId8" w:history="1">
        <w:r w:rsidRPr="001B5C0A">
          <w:rPr>
            <w:rStyle w:val="Hyperlink"/>
            <w:color w:val="auto"/>
          </w:rPr>
          <w:t>https://www.usga.org/content/dam/usga/pdf/2015/2016%20Rules/2016-rulesofgolf-USGAfinal.pdf</w:t>
        </w:r>
      </w:hyperlink>
    </w:p>
    <w:p w14:paraId="00FD99E1" w14:textId="77777777" w:rsidR="0085052A" w:rsidRPr="001B5C0A" w:rsidRDefault="0085052A" w:rsidP="00D73CEF">
      <w:pPr>
        <w:pStyle w:val="ListParagraph"/>
      </w:pPr>
    </w:p>
    <w:p w14:paraId="36A3E0C0" w14:textId="7350843D" w:rsidR="0099194C" w:rsidRPr="001B5C0A" w:rsidRDefault="0099194C" w:rsidP="0099194C">
      <w:r w:rsidRPr="001B5C0A">
        <w:t>MATLAB Code to calculate Terminal Velocity:</w:t>
      </w:r>
    </w:p>
    <w:p w14:paraId="4408A2EE"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m = [</w:t>
      </w:r>
    </w:p>
    <w:p w14:paraId="1A5F5696"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124*10^(-12)</w:t>
      </w:r>
    </w:p>
    <w:p w14:paraId="56896EF7"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247*10^(-12);</w:t>
      </w:r>
    </w:p>
    <w:p w14:paraId="7172D597"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lastRenderedPageBreak/>
        <w:t xml:space="preserve">    70/1000000;</w:t>
      </w:r>
    </w:p>
    <w:p w14:paraId="5D78F638"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45.93/1000];</w:t>
      </w:r>
    </w:p>
    <w:p w14:paraId="048A9FA2"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w:t>
      </w:r>
    </w:p>
    <w:p w14:paraId="551AC2CC"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A = [</w:t>
      </w:r>
    </w:p>
    <w:p w14:paraId="7EAFE7BE"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7.068*10^(-9);</w:t>
      </w:r>
    </w:p>
    <w:p w14:paraId="3D5A69D9"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6.361*10^(-9);</w:t>
      </w:r>
    </w:p>
    <w:p w14:paraId="509B6D31"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1.963*10^(-5);</w:t>
      </w:r>
    </w:p>
    <w:p w14:paraId="4EF4D3B9" w14:textId="1EAD43DF"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1.429*10^(-3)];</w:t>
      </w:r>
    </w:p>
    <w:p w14:paraId="216B3135"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w:t>
      </w:r>
    </w:p>
    <w:p w14:paraId="284B7F4B"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L = [</w:t>
      </w:r>
    </w:p>
    <w:p w14:paraId="735F2D32"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30/1000000;</w:t>
      </w:r>
    </w:p>
    <w:p w14:paraId="2555C5E9"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0.09/1000;</w:t>
      </w:r>
    </w:p>
    <w:p w14:paraId="6696411A"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0.5/100;</w:t>
      </w:r>
    </w:p>
    <w:p w14:paraId="67ADB4F9" w14:textId="0A2F962F"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42.67/1000];</w:t>
      </w:r>
    </w:p>
    <w:p w14:paraId="5EA12E16" w14:textId="77777777" w:rsidR="00BB4AB9" w:rsidRPr="001B5C0A" w:rsidRDefault="00BB4AB9" w:rsidP="0099194C">
      <w:pPr>
        <w:autoSpaceDE w:val="0"/>
        <w:autoSpaceDN w:val="0"/>
        <w:adjustRightInd w:val="0"/>
        <w:spacing w:after="0" w:line="240" w:lineRule="auto"/>
        <w:rPr>
          <w:rFonts w:ascii="Courier New" w:hAnsi="Courier New" w:cs="Courier New"/>
        </w:rPr>
      </w:pPr>
    </w:p>
    <w:p w14:paraId="0E048FDF"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v = 14.88*10^(-6);</w:t>
      </w:r>
    </w:p>
    <w:p w14:paraId="60102890"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g = 9.81;</w:t>
      </w:r>
    </w:p>
    <w:p w14:paraId="66F1123F"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rho = 1.212;</w:t>
      </w:r>
    </w:p>
    <w:p w14:paraId="4955F758"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w:t>
      </w:r>
    </w:p>
    <w:p w14:paraId="01FEB97F" w14:textId="7FC63391" w:rsidR="0099194C"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Re =@(u) u.*L/v;</w:t>
      </w:r>
    </w:p>
    <w:p w14:paraId="71B53E81" w14:textId="77777777" w:rsidR="001B5C0A" w:rsidRPr="001B5C0A" w:rsidRDefault="001B5C0A" w:rsidP="0099194C">
      <w:pPr>
        <w:autoSpaceDE w:val="0"/>
        <w:autoSpaceDN w:val="0"/>
        <w:adjustRightInd w:val="0"/>
        <w:spacing w:after="0" w:line="240" w:lineRule="auto"/>
        <w:rPr>
          <w:rFonts w:ascii="Courier New" w:hAnsi="Courier New" w:cs="Courier New"/>
        </w:rPr>
      </w:pPr>
    </w:p>
    <w:p w14:paraId="241EFE67" w14:textId="5FBEAAEF" w:rsidR="0099194C"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Cd =@(Re) 24./Re.*(1+0.173.*(Re).^0.657</w:t>
      </w:r>
      <w:r w:rsidR="001B5C0A">
        <w:rPr>
          <w:rFonts w:ascii="Courier New" w:hAnsi="Courier New" w:cs="Courier New"/>
        </w:rPr>
        <w:t xml:space="preserve">) </w:t>
      </w:r>
      <w:r w:rsidRPr="001B5C0A">
        <w:rPr>
          <w:rFonts w:ascii="Courier New" w:hAnsi="Courier New" w:cs="Courier New"/>
        </w:rPr>
        <w:t>+0.413./(1+1.63.*(10)^(-4).*(Re).^(-1.09));</w:t>
      </w:r>
    </w:p>
    <w:p w14:paraId="30B08AB6" w14:textId="77777777" w:rsidR="001B5C0A" w:rsidRPr="001B5C0A" w:rsidRDefault="001B5C0A" w:rsidP="0099194C">
      <w:pPr>
        <w:autoSpaceDE w:val="0"/>
        <w:autoSpaceDN w:val="0"/>
        <w:adjustRightInd w:val="0"/>
        <w:spacing w:after="0" w:line="240" w:lineRule="auto"/>
        <w:rPr>
          <w:rFonts w:ascii="Courier New" w:hAnsi="Courier New" w:cs="Courier New"/>
        </w:rPr>
      </w:pPr>
    </w:p>
    <w:p w14:paraId="541270EA"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U =@(Cd)sqrt(2.*m*g./(rho.*A.*Cd));</w:t>
      </w:r>
    </w:p>
    <w:p w14:paraId="62829407" w14:textId="77777777"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 xml:space="preserve"> </w:t>
      </w:r>
    </w:p>
    <w:p w14:paraId="4675B446" w14:textId="4AC7E786" w:rsidR="0099194C" w:rsidRPr="001B5C0A" w:rsidRDefault="0099194C" w:rsidP="0099194C">
      <w:pPr>
        <w:autoSpaceDE w:val="0"/>
        <w:autoSpaceDN w:val="0"/>
        <w:adjustRightInd w:val="0"/>
        <w:spacing w:after="0" w:line="240" w:lineRule="auto"/>
        <w:rPr>
          <w:rFonts w:ascii="Courier New" w:hAnsi="Courier New" w:cs="Courier New"/>
        </w:rPr>
      </w:pPr>
      <w:r w:rsidRPr="001B5C0A">
        <w:rPr>
          <w:rFonts w:ascii="Courier New" w:hAnsi="Courier New" w:cs="Courier New"/>
        </w:rPr>
        <w:t>fsolve(@(u) u - U(Cd(Re(u))),[10 10 10</w:t>
      </w:r>
      <w:r w:rsidR="001B5C0A">
        <w:rPr>
          <w:rFonts w:ascii="Courier New" w:hAnsi="Courier New" w:cs="Courier New"/>
        </w:rPr>
        <w:t xml:space="preserve"> </w:t>
      </w:r>
      <w:r w:rsidRPr="001B5C0A">
        <w:rPr>
          <w:rFonts w:ascii="Courier New" w:hAnsi="Courier New" w:cs="Courier New"/>
        </w:rPr>
        <w:t>10]',</w:t>
      </w:r>
      <w:r w:rsidR="001B5C0A">
        <w:rPr>
          <w:rFonts w:ascii="Courier New" w:hAnsi="Courier New" w:cs="Courier New"/>
        </w:rPr>
        <w:t xml:space="preserve"> </w:t>
      </w:r>
      <w:r w:rsidRPr="001B5C0A">
        <w:rPr>
          <w:rFonts w:ascii="Courier New" w:hAnsi="Courier New" w:cs="Courier New"/>
        </w:rPr>
        <w:t>optimset('Display','off')')</w:t>
      </w:r>
    </w:p>
    <w:p w14:paraId="725E8E69" w14:textId="360A5AFB" w:rsidR="0099194C" w:rsidRPr="001B5C0A" w:rsidRDefault="0099194C" w:rsidP="0099194C"/>
    <w:p w14:paraId="0ED13E12" w14:textId="77777777" w:rsidR="0085052A" w:rsidRPr="001B5C0A" w:rsidRDefault="0085052A" w:rsidP="0085052A">
      <w:r w:rsidRPr="00B73086">
        <w:t>ans</w:t>
      </w:r>
      <w:r w:rsidRPr="001B5C0A">
        <w:t xml:space="preserve"> =</w:t>
      </w:r>
    </w:p>
    <w:p w14:paraId="0C46E1D4" w14:textId="77777777" w:rsidR="0085052A" w:rsidRPr="001B5C0A" w:rsidRDefault="0085052A" w:rsidP="0085052A">
      <w:r w:rsidRPr="001B5C0A">
        <w:t xml:space="preserve">    0.0233</w:t>
      </w:r>
    </w:p>
    <w:p w14:paraId="165238B7" w14:textId="77777777" w:rsidR="0085052A" w:rsidRPr="001B5C0A" w:rsidRDefault="0085052A" w:rsidP="0085052A">
      <w:r w:rsidRPr="001B5C0A">
        <w:t xml:space="preserve">    0.1358</w:t>
      </w:r>
      <w:bookmarkStart w:id="0" w:name="_GoBack"/>
      <w:bookmarkEnd w:id="0"/>
    </w:p>
    <w:p w14:paraId="6B568EE2" w14:textId="77777777" w:rsidR="0085052A" w:rsidRPr="001B5C0A" w:rsidRDefault="0085052A" w:rsidP="0085052A">
      <w:r w:rsidRPr="001B5C0A">
        <w:t xml:space="preserve">    9.1822</w:t>
      </w:r>
    </w:p>
    <w:p w14:paraId="465132D7" w14:textId="72B45C19" w:rsidR="0085052A" w:rsidRPr="001B5C0A" w:rsidRDefault="0085052A" w:rsidP="0085052A">
      <w:r w:rsidRPr="001B5C0A">
        <w:t xml:space="preserve">   32.4105</w:t>
      </w:r>
    </w:p>
    <w:sectPr w:rsidR="0085052A" w:rsidRPr="001B5C0A" w:rsidSect="004A2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6846A5" w14:textId="77777777" w:rsidR="00A43EE4" w:rsidRDefault="00A43EE4" w:rsidP="00191150">
      <w:pPr>
        <w:spacing w:after="0" w:line="240" w:lineRule="auto"/>
      </w:pPr>
      <w:r>
        <w:separator/>
      </w:r>
    </w:p>
  </w:endnote>
  <w:endnote w:type="continuationSeparator" w:id="0">
    <w:p w14:paraId="40E59633" w14:textId="77777777" w:rsidR="00A43EE4" w:rsidRDefault="00A43EE4" w:rsidP="00191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EB998D" w14:textId="77777777" w:rsidR="00A43EE4" w:rsidRDefault="00A43EE4" w:rsidP="00191150">
      <w:pPr>
        <w:spacing w:after="0" w:line="240" w:lineRule="auto"/>
      </w:pPr>
      <w:r>
        <w:separator/>
      </w:r>
    </w:p>
  </w:footnote>
  <w:footnote w:type="continuationSeparator" w:id="0">
    <w:p w14:paraId="1EA48497" w14:textId="77777777" w:rsidR="00A43EE4" w:rsidRDefault="00A43EE4" w:rsidP="00191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73351"/>
    <w:multiLevelType w:val="hybridMultilevel"/>
    <w:tmpl w:val="AA4EF9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7850600"/>
    <w:multiLevelType w:val="hybridMultilevel"/>
    <w:tmpl w:val="73CCD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0B43FB"/>
    <w:multiLevelType w:val="hybridMultilevel"/>
    <w:tmpl w:val="6FB0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0854C4"/>
    <w:multiLevelType w:val="hybridMultilevel"/>
    <w:tmpl w:val="5EC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FE2915"/>
    <w:multiLevelType w:val="hybridMultilevel"/>
    <w:tmpl w:val="AC5A6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533C54"/>
    <w:multiLevelType w:val="hybridMultilevel"/>
    <w:tmpl w:val="4C468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E63898"/>
    <w:multiLevelType w:val="hybridMultilevel"/>
    <w:tmpl w:val="B3EC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150226"/>
    <w:multiLevelType w:val="hybridMultilevel"/>
    <w:tmpl w:val="5040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C4286C"/>
    <w:multiLevelType w:val="hybridMultilevel"/>
    <w:tmpl w:val="DB0E3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FF68E6"/>
    <w:multiLevelType w:val="hybridMultilevel"/>
    <w:tmpl w:val="02F6F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7"/>
  </w:num>
  <w:num w:numId="4">
    <w:abstractNumId w:val="0"/>
  </w:num>
  <w:num w:numId="5">
    <w:abstractNumId w:val="2"/>
  </w:num>
  <w:num w:numId="6">
    <w:abstractNumId w:val="8"/>
  </w:num>
  <w:num w:numId="7">
    <w:abstractNumId w:val="3"/>
  </w:num>
  <w:num w:numId="8">
    <w:abstractNumId w:val="4"/>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05"/>
    <w:rsid w:val="00030905"/>
    <w:rsid w:val="00032CAB"/>
    <w:rsid w:val="000B1AA6"/>
    <w:rsid w:val="000D2FBE"/>
    <w:rsid w:val="001067EE"/>
    <w:rsid w:val="00177438"/>
    <w:rsid w:val="00191150"/>
    <w:rsid w:val="001B5C0A"/>
    <w:rsid w:val="00241978"/>
    <w:rsid w:val="00266B01"/>
    <w:rsid w:val="00282A21"/>
    <w:rsid w:val="002A2843"/>
    <w:rsid w:val="002B1EA1"/>
    <w:rsid w:val="002F4358"/>
    <w:rsid w:val="00332E63"/>
    <w:rsid w:val="00364F44"/>
    <w:rsid w:val="00365543"/>
    <w:rsid w:val="003A719C"/>
    <w:rsid w:val="003B4D59"/>
    <w:rsid w:val="003D7DAB"/>
    <w:rsid w:val="003F19A9"/>
    <w:rsid w:val="00495C3D"/>
    <w:rsid w:val="004A2D18"/>
    <w:rsid w:val="004E2E4E"/>
    <w:rsid w:val="00544D33"/>
    <w:rsid w:val="005611B9"/>
    <w:rsid w:val="005914D5"/>
    <w:rsid w:val="0059685E"/>
    <w:rsid w:val="006041E0"/>
    <w:rsid w:val="006513EF"/>
    <w:rsid w:val="006831E0"/>
    <w:rsid w:val="006B0313"/>
    <w:rsid w:val="00771CEF"/>
    <w:rsid w:val="007A20DA"/>
    <w:rsid w:val="007A3E59"/>
    <w:rsid w:val="007E0B55"/>
    <w:rsid w:val="007E7CD1"/>
    <w:rsid w:val="007F23D2"/>
    <w:rsid w:val="0085052A"/>
    <w:rsid w:val="008618C2"/>
    <w:rsid w:val="00870807"/>
    <w:rsid w:val="008D1166"/>
    <w:rsid w:val="009862FA"/>
    <w:rsid w:val="0099194C"/>
    <w:rsid w:val="009C5AFF"/>
    <w:rsid w:val="00A43EE4"/>
    <w:rsid w:val="00A51133"/>
    <w:rsid w:val="00A9274A"/>
    <w:rsid w:val="00AA3F63"/>
    <w:rsid w:val="00AB4548"/>
    <w:rsid w:val="00AC61E1"/>
    <w:rsid w:val="00AF6C4B"/>
    <w:rsid w:val="00B73086"/>
    <w:rsid w:val="00BB4AB9"/>
    <w:rsid w:val="00BB5FBA"/>
    <w:rsid w:val="00BC411C"/>
    <w:rsid w:val="00BD12CF"/>
    <w:rsid w:val="00BF4A23"/>
    <w:rsid w:val="00C170E3"/>
    <w:rsid w:val="00C346AF"/>
    <w:rsid w:val="00C610E2"/>
    <w:rsid w:val="00C74F6C"/>
    <w:rsid w:val="00CA7070"/>
    <w:rsid w:val="00CB2CAF"/>
    <w:rsid w:val="00CF1CB7"/>
    <w:rsid w:val="00D4112E"/>
    <w:rsid w:val="00D73CEF"/>
    <w:rsid w:val="00D84169"/>
    <w:rsid w:val="00DA3888"/>
    <w:rsid w:val="00DD50AE"/>
    <w:rsid w:val="00E0097B"/>
    <w:rsid w:val="00E37D52"/>
    <w:rsid w:val="00E77DF9"/>
    <w:rsid w:val="00E85513"/>
    <w:rsid w:val="00EA32DA"/>
    <w:rsid w:val="00EE196E"/>
    <w:rsid w:val="00EE6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3DA3"/>
  <w15:chartTrackingRefBased/>
  <w15:docId w15:val="{3C811314-CBE8-4AF0-BE0C-AC7A173C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0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2D18"/>
    <w:rPr>
      <w:color w:val="0563C1" w:themeColor="hyperlink"/>
      <w:u w:val="single"/>
    </w:rPr>
  </w:style>
  <w:style w:type="character" w:styleId="UnresolvedMention">
    <w:name w:val="Unresolved Mention"/>
    <w:basedOn w:val="DefaultParagraphFont"/>
    <w:uiPriority w:val="99"/>
    <w:semiHidden/>
    <w:unhideWhenUsed/>
    <w:rsid w:val="004A2D18"/>
    <w:rPr>
      <w:color w:val="808080"/>
      <w:shd w:val="clear" w:color="auto" w:fill="E6E6E6"/>
    </w:rPr>
  </w:style>
  <w:style w:type="paragraph" w:styleId="Header">
    <w:name w:val="header"/>
    <w:basedOn w:val="Normal"/>
    <w:link w:val="HeaderChar"/>
    <w:uiPriority w:val="99"/>
    <w:unhideWhenUsed/>
    <w:rsid w:val="001911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150"/>
  </w:style>
  <w:style w:type="paragraph" w:styleId="Footer">
    <w:name w:val="footer"/>
    <w:basedOn w:val="Normal"/>
    <w:link w:val="FooterChar"/>
    <w:uiPriority w:val="99"/>
    <w:unhideWhenUsed/>
    <w:rsid w:val="001911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150"/>
  </w:style>
  <w:style w:type="table" w:styleId="PlainTable3">
    <w:name w:val="Plain Table 3"/>
    <w:basedOn w:val="TableNormal"/>
    <w:uiPriority w:val="43"/>
    <w:rsid w:val="001911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7E0B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611B9"/>
    <w:rPr>
      <w:color w:val="954F72" w:themeColor="followedHyperlink"/>
      <w:u w:val="single"/>
    </w:rPr>
  </w:style>
  <w:style w:type="paragraph" w:styleId="ListParagraph">
    <w:name w:val="List Paragraph"/>
    <w:basedOn w:val="Normal"/>
    <w:uiPriority w:val="34"/>
    <w:qFormat/>
    <w:rsid w:val="006513EF"/>
    <w:pPr>
      <w:ind w:left="720"/>
      <w:contextualSpacing/>
    </w:pPr>
  </w:style>
  <w:style w:type="character" w:styleId="PlaceholderText">
    <w:name w:val="Placeholder Text"/>
    <w:basedOn w:val="DefaultParagraphFont"/>
    <w:uiPriority w:val="99"/>
    <w:semiHidden/>
    <w:rsid w:val="001067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952275">
      <w:bodyDiv w:val="1"/>
      <w:marLeft w:val="0"/>
      <w:marRight w:val="0"/>
      <w:marTop w:val="0"/>
      <w:marBottom w:val="0"/>
      <w:divBdr>
        <w:top w:val="none" w:sz="0" w:space="0" w:color="auto"/>
        <w:left w:val="none" w:sz="0" w:space="0" w:color="auto"/>
        <w:bottom w:val="none" w:sz="0" w:space="0" w:color="auto"/>
        <w:right w:val="none" w:sz="0" w:space="0" w:color="auto"/>
      </w:divBdr>
    </w:div>
    <w:div w:id="833953891">
      <w:bodyDiv w:val="1"/>
      <w:marLeft w:val="0"/>
      <w:marRight w:val="0"/>
      <w:marTop w:val="0"/>
      <w:marBottom w:val="0"/>
      <w:divBdr>
        <w:top w:val="none" w:sz="0" w:space="0" w:color="auto"/>
        <w:left w:val="none" w:sz="0" w:space="0" w:color="auto"/>
        <w:bottom w:val="none" w:sz="0" w:space="0" w:color="auto"/>
        <w:right w:val="none" w:sz="0" w:space="0" w:color="auto"/>
      </w:divBdr>
    </w:div>
    <w:div w:id="961037846">
      <w:bodyDiv w:val="1"/>
      <w:marLeft w:val="0"/>
      <w:marRight w:val="0"/>
      <w:marTop w:val="0"/>
      <w:marBottom w:val="0"/>
      <w:divBdr>
        <w:top w:val="none" w:sz="0" w:space="0" w:color="auto"/>
        <w:left w:val="none" w:sz="0" w:space="0" w:color="auto"/>
        <w:bottom w:val="none" w:sz="0" w:space="0" w:color="auto"/>
        <w:right w:val="none" w:sz="0" w:space="0" w:color="auto"/>
      </w:divBdr>
      <w:divsChild>
        <w:div w:id="1445422340">
          <w:marLeft w:val="0"/>
          <w:marRight w:val="0"/>
          <w:marTop w:val="0"/>
          <w:marBottom w:val="0"/>
          <w:divBdr>
            <w:top w:val="none" w:sz="0" w:space="0" w:color="auto"/>
            <w:left w:val="none" w:sz="0" w:space="0" w:color="auto"/>
            <w:bottom w:val="none" w:sz="0" w:space="0" w:color="auto"/>
            <w:right w:val="none" w:sz="0" w:space="0" w:color="auto"/>
          </w:divBdr>
        </w:div>
        <w:div w:id="1637175616">
          <w:marLeft w:val="0"/>
          <w:marRight w:val="0"/>
          <w:marTop w:val="0"/>
          <w:marBottom w:val="0"/>
          <w:divBdr>
            <w:top w:val="none" w:sz="0" w:space="0" w:color="auto"/>
            <w:left w:val="none" w:sz="0" w:space="0" w:color="auto"/>
            <w:bottom w:val="none" w:sz="0" w:space="0" w:color="auto"/>
            <w:right w:val="none" w:sz="0" w:space="0" w:color="auto"/>
          </w:divBdr>
        </w:div>
        <w:div w:id="424961453">
          <w:marLeft w:val="0"/>
          <w:marRight w:val="0"/>
          <w:marTop w:val="0"/>
          <w:marBottom w:val="0"/>
          <w:divBdr>
            <w:top w:val="none" w:sz="0" w:space="0" w:color="auto"/>
            <w:left w:val="none" w:sz="0" w:space="0" w:color="auto"/>
            <w:bottom w:val="none" w:sz="0" w:space="0" w:color="auto"/>
            <w:right w:val="none" w:sz="0" w:space="0" w:color="auto"/>
          </w:divBdr>
        </w:div>
      </w:divsChild>
    </w:div>
    <w:div w:id="1317877979">
      <w:bodyDiv w:val="1"/>
      <w:marLeft w:val="0"/>
      <w:marRight w:val="0"/>
      <w:marTop w:val="0"/>
      <w:marBottom w:val="0"/>
      <w:divBdr>
        <w:top w:val="none" w:sz="0" w:space="0" w:color="auto"/>
        <w:left w:val="none" w:sz="0" w:space="0" w:color="auto"/>
        <w:bottom w:val="none" w:sz="0" w:space="0" w:color="auto"/>
        <w:right w:val="none" w:sz="0" w:space="0" w:color="auto"/>
      </w:divBdr>
      <w:divsChild>
        <w:div w:id="267780295">
          <w:marLeft w:val="0"/>
          <w:marRight w:val="0"/>
          <w:marTop w:val="0"/>
          <w:marBottom w:val="0"/>
          <w:divBdr>
            <w:top w:val="none" w:sz="0" w:space="0" w:color="auto"/>
            <w:left w:val="none" w:sz="0" w:space="0" w:color="auto"/>
            <w:bottom w:val="none" w:sz="0" w:space="0" w:color="auto"/>
            <w:right w:val="none" w:sz="0" w:space="0" w:color="auto"/>
          </w:divBdr>
          <w:divsChild>
            <w:div w:id="3237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7739">
      <w:bodyDiv w:val="1"/>
      <w:marLeft w:val="0"/>
      <w:marRight w:val="0"/>
      <w:marTop w:val="0"/>
      <w:marBottom w:val="0"/>
      <w:divBdr>
        <w:top w:val="none" w:sz="0" w:space="0" w:color="auto"/>
        <w:left w:val="none" w:sz="0" w:space="0" w:color="auto"/>
        <w:bottom w:val="none" w:sz="0" w:space="0" w:color="auto"/>
        <w:right w:val="none" w:sz="0" w:space="0" w:color="auto"/>
      </w:divBdr>
      <w:divsChild>
        <w:div w:id="1714423758">
          <w:marLeft w:val="0"/>
          <w:marRight w:val="0"/>
          <w:marTop w:val="0"/>
          <w:marBottom w:val="0"/>
          <w:divBdr>
            <w:top w:val="none" w:sz="0" w:space="0" w:color="auto"/>
            <w:left w:val="none" w:sz="0" w:space="0" w:color="auto"/>
            <w:bottom w:val="none" w:sz="0" w:space="0" w:color="auto"/>
            <w:right w:val="none" w:sz="0" w:space="0" w:color="auto"/>
          </w:divBdr>
        </w:div>
        <w:div w:id="2098476506">
          <w:marLeft w:val="0"/>
          <w:marRight w:val="0"/>
          <w:marTop w:val="0"/>
          <w:marBottom w:val="0"/>
          <w:divBdr>
            <w:top w:val="none" w:sz="0" w:space="0" w:color="auto"/>
            <w:left w:val="none" w:sz="0" w:space="0" w:color="auto"/>
            <w:bottom w:val="none" w:sz="0" w:space="0" w:color="auto"/>
            <w:right w:val="none" w:sz="0" w:space="0" w:color="auto"/>
          </w:divBdr>
        </w:div>
        <w:div w:id="349330965">
          <w:marLeft w:val="0"/>
          <w:marRight w:val="0"/>
          <w:marTop w:val="0"/>
          <w:marBottom w:val="0"/>
          <w:divBdr>
            <w:top w:val="none" w:sz="0" w:space="0" w:color="auto"/>
            <w:left w:val="none" w:sz="0" w:space="0" w:color="auto"/>
            <w:bottom w:val="none" w:sz="0" w:space="0" w:color="auto"/>
            <w:right w:val="none" w:sz="0" w:space="0" w:color="auto"/>
          </w:divBdr>
        </w:div>
      </w:divsChild>
    </w:div>
    <w:div w:id="1798790698">
      <w:bodyDiv w:val="1"/>
      <w:marLeft w:val="0"/>
      <w:marRight w:val="0"/>
      <w:marTop w:val="0"/>
      <w:marBottom w:val="0"/>
      <w:divBdr>
        <w:top w:val="none" w:sz="0" w:space="0" w:color="auto"/>
        <w:left w:val="none" w:sz="0" w:space="0" w:color="auto"/>
        <w:bottom w:val="none" w:sz="0" w:space="0" w:color="auto"/>
        <w:right w:val="none" w:sz="0" w:space="0" w:color="auto"/>
      </w:divBdr>
    </w:div>
    <w:div w:id="2010019965">
      <w:bodyDiv w:val="1"/>
      <w:marLeft w:val="0"/>
      <w:marRight w:val="0"/>
      <w:marTop w:val="0"/>
      <w:marBottom w:val="0"/>
      <w:divBdr>
        <w:top w:val="none" w:sz="0" w:space="0" w:color="auto"/>
        <w:left w:val="none" w:sz="0" w:space="0" w:color="auto"/>
        <w:bottom w:val="none" w:sz="0" w:space="0" w:color="auto"/>
        <w:right w:val="none" w:sz="0" w:space="0" w:color="auto"/>
      </w:divBdr>
    </w:div>
    <w:div w:id="214272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ga.org/content/dam/usga/pdf/2015/2016%20Rules/2016-rulesofgolf-USGAfinal.pdf" TargetMode="External"/><Relationship Id="rId3" Type="http://schemas.openxmlformats.org/officeDocument/2006/relationships/settings" Target="settings.xml"/><Relationship Id="rId7" Type="http://schemas.openxmlformats.org/officeDocument/2006/relationships/hyperlink" Target="https://www.engineeringtoolbox.com/air-absolute-kinematic-viscosity-d_60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2411</TotalTime>
  <Pages>7</Pages>
  <Words>1798</Words>
  <Characters>10251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Alba Burbano</dc:creator>
  <cp:keywords/>
  <dc:description/>
  <cp:lastModifiedBy>Diego Alba Burbano</cp:lastModifiedBy>
  <cp:revision>32</cp:revision>
  <dcterms:created xsi:type="dcterms:W3CDTF">2018-04-16T00:43:00Z</dcterms:created>
  <dcterms:modified xsi:type="dcterms:W3CDTF">2018-04-24T05:38:00Z</dcterms:modified>
</cp:coreProperties>
</file>