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3FC7" w14:textId="77777777" w:rsidR="00946985" w:rsidRPr="009D1712" w:rsidRDefault="00946985" w:rsidP="003E1D3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712">
        <w:rPr>
          <w:rFonts w:ascii="Times New Roman" w:hAnsi="Times New Roman" w:cs="Times New Roman"/>
          <w:b/>
          <w:sz w:val="24"/>
          <w:szCs w:val="24"/>
        </w:rPr>
        <w:t xml:space="preserve">Acord de </w:t>
      </w:r>
      <w:proofErr w:type="spellStart"/>
      <w:r w:rsidRPr="009D1712">
        <w:rPr>
          <w:rFonts w:ascii="Times New Roman" w:hAnsi="Times New Roman" w:cs="Times New Roman"/>
          <w:b/>
          <w:sz w:val="24"/>
          <w:szCs w:val="24"/>
        </w:rPr>
        <w:t>confidentialitate</w:t>
      </w:r>
      <w:proofErr w:type="spellEnd"/>
    </w:p>
    <w:p w14:paraId="50503FC8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C9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CA" w14:textId="6BFB1D9B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Acord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Confidențialitate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820AD8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875175" w:rsidRPr="00820AD8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B91F60" w:rsidRPr="00B91F60">
        <w:rPr>
          <w:rFonts w:ascii="Times New Roman" w:hAnsi="Times New Roman" w:cs="Times New Roman"/>
          <w:sz w:val="24"/>
          <w:szCs w:val="24"/>
          <w:highlight w:val="red"/>
          <w:lang w:val="ro-RO"/>
        </w:rPr>
        <w:t>{{</w:t>
      </w:r>
      <w:r w:rsidR="00B91F60" w:rsidRPr="00B91F60">
        <w:rPr>
          <w:rFonts w:ascii="Times New Roman" w:hAnsi="Times New Roman" w:cs="Times New Roman"/>
          <w:sz w:val="24"/>
          <w:szCs w:val="24"/>
          <w:highlight w:val="red"/>
          <w:lang w:val="en-US"/>
        </w:rPr>
        <w:t>DATA_INCEP_ACTIV</w:t>
      </w:r>
      <w:r w:rsidR="00B91F60" w:rsidRPr="00B91F60">
        <w:rPr>
          <w:rFonts w:ascii="Times New Roman" w:hAnsi="Times New Roman" w:cs="Times New Roman"/>
          <w:sz w:val="24"/>
          <w:szCs w:val="24"/>
          <w:highlight w:val="red"/>
          <w:lang w:val="ro-RO"/>
        </w:rPr>
        <w:t>}}</w:t>
      </w:r>
      <w:r w:rsidRPr="00820AD8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î</w:t>
      </w:r>
      <w:r w:rsidR="003C502A" w:rsidRPr="008D7950">
        <w:rPr>
          <w:rFonts w:ascii="Times New Roman" w:hAnsi="Times New Roman" w:cs="Times New Roman"/>
          <w:sz w:val="24"/>
          <w:szCs w:val="24"/>
          <w:highlight w:val="red"/>
        </w:rPr>
        <w:t>n</w:t>
      </w:r>
      <w:proofErr w:type="spellEnd"/>
      <w:r w:rsidR="003C502A" w:rsidRPr="008D7950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8D7950" w:rsidRPr="008D7950">
        <w:rPr>
          <w:rFonts w:ascii="Times New Roman" w:hAnsi="Times New Roman" w:cs="Times New Roman"/>
          <w:sz w:val="24"/>
          <w:szCs w:val="24"/>
          <w:highlight w:val="red"/>
          <w:lang w:val="ro-RO"/>
        </w:rPr>
        <w:t>{{LOC_SED}}</w:t>
      </w:r>
      <w:r w:rsidR="003C502A" w:rsidRPr="008D7950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:</w:t>
      </w:r>
    </w:p>
    <w:p w14:paraId="50503FCB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CC" w14:textId="5880414C" w:rsidR="00946985" w:rsidRPr="009D1712" w:rsidRDefault="00E97E67" w:rsidP="00861FEA">
      <w:pPr>
        <w:pStyle w:val="NoSpacing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601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{{ANG_NUME}}</w:t>
      </w:r>
      <w:r w:rsidR="006E3187" w:rsidRPr="00D92601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="00946985" w:rsidRPr="00D92601">
        <w:rPr>
          <w:rFonts w:ascii="Times New Roman" w:hAnsi="Times New Roman" w:cs="Times New Roman"/>
          <w:sz w:val="24"/>
          <w:szCs w:val="24"/>
          <w:highlight w:val="red"/>
        </w:rPr>
        <w:t>a</w:t>
      </w:r>
      <w:r w:rsidR="00946985" w:rsidRPr="009D1712">
        <w:rPr>
          <w:rFonts w:ascii="Times New Roman" w:hAnsi="Times New Roman" w:cs="Times New Roman"/>
          <w:sz w:val="24"/>
          <w:szCs w:val="24"/>
        </w:rPr>
        <w:t>ngajat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a</w:t>
      </w:r>
      <w:r w:rsidR="00946985" w:rsidRPr="00D92601">
        <w:rPr>
          <w:rFonts w:ascii="Times New Roman" w:hAnsi="Times New Roman" w:cs="Times New Roman"/>
          <w:sz w:val="24"/>
          <w:szCs w:val="24"/>
          <w:highlight w:val="red"/>
        </w:rPr>
        <w:t xml:space="preserve">l </w:t>
      </w:r>
      <w:r w:rsidRPr="00D92601">
        <w:rPr>
          <w:rFonts w:ascii="Times New Roman" w:hAnsi="Times New Roman" w:cs="Times New Roman"/>
          <w:sz w:val="24"/>
          <w:szCs w:val="24"/>
          <w:highlight w:val="red"/>
        </w:rPr>
        <w:t xml:space="preserve">{{COMPANIE}} </w:t>
      </w:r>
      <w:r w:rsidR="003E1D3F" w:rsidRPr="00D92601">
        <w:rPr>
          <w:rFonts w:ascii="Times New Roman" w:hAnsi="Times New Roman" w:cs="Times New Roman"/>
          <w:sz w:val="24"/>
          <w:szCs w:val="24"/>
          <w:highlight w:val="red"/>
        </w:rPr>
        <w:t>S</w:t>
      </w:r>
      <w:r w:rsidR="003E1D3F" w:rsidRPr="009D1712">
        <w:rPr>
          <w:rFonts w:ascii="Times New Roman" w:hAnsi="Times New Roman" w:cs="Times New Roman"/>
          <w:sz w:val="24"/>
          <w:szCs w:val="24"/>
        </w:rPr>
        <w:t>RL</w:t>
      </w:r>
      <w:r w:rsidR="00946985" w:rsidRPr="009D17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>")</w:t>
      </w:r>
    </w:p>
    <w:p w14:paraId="50503FCD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CE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</w:p>
    <w:p w14:paraId="50503FCF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0" w14:textId="0C83D6E6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>b)</w:t>
      </w:r>
      <w:r w:rsidR="008D6F20">
        <w:rPr>
          <w:rFonts w:ascii="Times New Roman" w:hAnsi="Times New Roman" w:cs="Times New Roman"/>
          <w:sz w:val="24"/>
          <w:szCs w:val="24"/>
        </w:rPr>
        <w:t xml:space="preserve"> </w:t>
      </w:r>
      <w:r w:rsidR="007F7109" w:rsidRPr="007F7109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US"/>
        </w:rPr>
        <w:t>{{COMPANIE}} S</w:t>
      </w:r>
      <w:r w:rsidR="007F7109" w:rsidRPr="007F71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.R.L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>înmatriculata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>Registrul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>Comertului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 nr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. {{J}},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cod fisca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l {{CUI}},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>sediul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>localitate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a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 xml:space="preserve"> {{LOC_SED}}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>str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STR_SED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>nr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NR_SED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>bl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BL_SED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>sc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SC_SED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et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ET_SED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ap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. {{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AP_SED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>cam</w:t>
      </w:r>
      <w:proofErr w:type="spellEnd"/>
      <w:r w:rsidR="007014B1">
        <w:rPr>
          <w:rFonts w:ascii="Times New Roman" w:eastAsia="Times New Roman" w:hAnsi="Times New Roman" w:cs="Times New Roman"/>
          <w:sz w:val="24"/>
          <w:szCs w:val="24"/>
          <w:lang w:val="es-ES"/>
        </w:rPr>
        <w:t>/</w:t>
      </w:r>
      <w:proofErr w:type="spellStart"/>
      <w:r w:rsidR="00DF7240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biro</w:t>
      </w:r>
      <w:r w:rsidR="007014B1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u</w:t>
      </w:r>
      <w:r w:rsidR="00DF7240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l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CAM_SED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s-ES"/>
        </w:rPr>
        <w:t>jude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ț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JUD_SED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>reprezentată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legal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>pri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n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 xml:space="preserve"> {{ADM_NUME}},</w:t>
      </w:r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>calitate</w:t>
      </w:r>
      <w:proofErr w:type="spellEnd"/>
      <w:r w:rsidR="007F7109" w:rsidRPr="007F71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Administrator</w:t>
      </w:r>
      <w:r w:rsidR="007F7109" w:rsidRPr="009D1712">
        <w:rPr>
          <w:rFonts w:ascii="Times New Roman" w:hAnsi="Times New Roman" w:cs="Times New Roman"/>
          <w:sz w:val="24"/>
          <w:szCs w:val="24"/>
        </w:rPr>
        <w:t xml:space="preserve"> </w:t>
      </w:r>
      <w:r w:rsidRPr="009D1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denumi</w:t>
      </w:r>
      <w:r w:rsidR="003E1D3F" w:rsidRPr="009D1712">
        <w:rPr>
          <w:rFonts w:ascii="Times New Roman" w:hAnsi="Times New Roman" w:cs="Times New Roman"/>
          <w:sz w:val="24"/>
          <w:szCs w:val="24"/>
        </w:rPr>
        <w:t>tă</w:t>
      </w:r>
      <w:proofErr w:type="spellEnd"/>
      <w:r w:rsidR="003E1D3F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3F"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E1D3F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D3F" w:rsidRPr="009D1712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="003E1D3F" w:rsidRPr="009D17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3E1D3F" w:rsidRPr="009D1712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").</w:t>
      </w:r>
    </w:p>
    <w:p w14:paraId="50503FD1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2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3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:</w:t>
      </w:r>
    </w:p>
    <w:p w14:paraId="50503FD4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5" w14:textId="77777777" w:rsidR="00946985" w:rsidRPr="009D1712" w:rsidRDefault="003E1D3F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1. Pe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derulării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contractului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individual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dispoziția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B</w:t>
      </w:r>
      <w:r w:rsidR="00946985" w:rsidRPr="009D1712">
        <w:rPr>
          <w:rFonts w:ascii="Times New Roman" w:hAnsi="Times New Roman" w:cs="Times New Roman"/>
          <w:sz w:val="24"/>
          <w:szCs w:val="24"/>
        </w:rPr>
        <w:t>eneficiarului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1712">
        <w:rPr>
          <w:rFonts w:ascii="Times New Roman" w:hAnsi="Times New Roman" w:cs="Times New Roman"/>
          <w:sz w:val="24"/>
          <w:szCs w:val="24"/>
        </w:rPr>
        <w:t>(”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proofErr w:type="gram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”)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să-și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îndeplini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.</w:t>
      </w:r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d</w:t>
      </w:r>
      <w:r w:rsidRPr="009D1712">
        <w:rPr>
          <w:rFonts w:ascii="Times New Roman" w:hAnsi="Times New Roman" w:cs="Times New Roman"/>
          <w:sz w:val="24"/>
          <w:szCs w:val="24"/>
        </w:rPr>
        <w:t>ezvăluite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Beneficiarului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17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r w:rsidR="003C502A" w:rsidRPr="009D1712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prestatori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r w:rsidR="00946985" w:rsidRPr="009D1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6985" w:rsidRPr="009D171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946985" w:rsidRPr="009D1712">
        <w:rPr>
          <w:rFonts w:ascii="Times New Roman" w:hAnsi="Times New Roman" w:cs="Times New Roman"/>
          <w:sz w:val="24"/>
          <w:szCs w:val="24"/>
        </w:rPr>
        <w:t>).</w:t>
      </w:r>
    </w:p>
    <w:p w14:paraId="50503FD6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7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angajează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folosească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alt scop, cu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Scopului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17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acordul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.</w:t>
      </w:r>
    </w:p>
    <w:p w14:paraId="50503FD8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9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angajează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păstreze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siguranță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nu le divulge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terțe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consilieri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profesioniști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aprobați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mo</w:t>
      </w:r>
      <w:r w:rsidR="003C502A" w:rsidRPr="009D1712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expres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) care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dețină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atingerea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Scopului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cunosc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supuși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confidenț</w:t>
      </w:r>
      <w:r w:rsidR="003C502A" w:rsidRPr="009D1712">
        <w:rPr>
          <w:rFonts w:ascii="Times New Roman" w:hAnsi="Times New Roman" w:cs="Times New Roman"/>
          <w:sz w:val="24"/>
          <w:szCs w:val="24"/>
        </w:rPr>
        <w:t>ialitate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fată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supuși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echivalente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din art. 2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art. 3.</w:t>
      </w:r>
    </w:p>
    <w:p w14:paraId="50503FDA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B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Angajamentele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clauzele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3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sus se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aplică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</w:t>
      </w:r>
      <w:r w:rsidR="003C502A" w:rsidRPr="009D1712">
        <w:rPr>
          <w:rFonts w:ascii="Times New Roman" w:hAnsi="Times New Roman" w:cs="Times New Roman"/>
          <w:sz w:val="24"/>
          <w:szCs w:val="24"/>
        </w:rPr>
        <w:t>ațiilor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dezvăluite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Beneficiarului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dezvăluite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consemnate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aplicabilitate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:</w:t>
      </w:r>
    </w:p>
    <w:p w14:paraId="50503FDC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public (cu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survine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încălcării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50503FDD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cunoscută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care nu 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supusă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confidențialitate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dezvăluită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Beneficiarului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</w:t>
      </w:r>
      <w:r w:rsidR="003C502A" w:rsidRPr="009D171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.</w:t>
      </w:r>
    </w:p>
    <w:p w14:paraId="50503FDE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DF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5. Nici o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împiedica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la 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divulga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solicitate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lege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autoritățile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competente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.</w:t>
      </w:r>
    </w:p>
    <w:p w14:paraId="50503FE0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E1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Beneficiarul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restitui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,</w:t>
      </w:r>
      <w:r w:rsidR="003C502A" w:rsidRPr="009D171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solicitarea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copiile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consemnările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reține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vreo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copie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consemnare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.</w:t>
      </w:r>
    </w:p>
    <w:p w14:paraId="50503FE2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E3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7. Nici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furnizarea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oricărei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171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 nu</w:t>
      </w:r>
      <w:proofErr w:type="gram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acordă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Beneficiarului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r w:rsidR="00AD2E28" w:rsidRPr="009D1712">
        <w:rPr>
          <w:rFonts w:ascii="Times New Roman" w:hAnsi="Times New Roman" w:cs="Times New Roman"/>
          <w:sz w:val="24"/>
          <w:szCs w:val="24"/>
          <w:lang w:val="ro-RO"/>
        </w:rPr>
        <w:t xml:space="preserve">Informației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vreo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licență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vreun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intelectuală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Societății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>,</w:t>
      </w:r>
      <w:r w:rsidRPr="009D171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excepția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Scopului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.</w:t>
      </w:r>
    </w:p>
    <w:p w14:paraId="50503FE4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03FE5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Angajamentele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asumate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articolele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B</w:t>
      </w:r>
      <w:r w:rsidRPr="009D1712">
        <w:rPr>
          <w:rFonts w:ascii="Times New Roman" w:hAnsi="Times New Roman" w:cs="Times New Roman"/>
          <w:sz w:val="24"/>
          <w:szCs w:val="24"/>
        </w:rPr>
        <w:t>eneficiarul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Informației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întreruptă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.</w:t>
      </w:r>
    </w:p>
    <w:p w14:paraId="50503FE6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E7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guvernat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interpretat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română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special,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art. 26 din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Instanțele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competente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jurisdicție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exclusivă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soluționa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litigiu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gramStart"/>
      <w:r w:rsidRPr="009D17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apărut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apărea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legătură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.</w:t>
      </w:r>
    </w:p>
    <w:p w14:paraId="50503FE8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E9" w14:textId="77777777" w:rsidR="00946985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10. O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încălcare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17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oricăreia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promisiunile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angajamentele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conținute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duce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daune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ireparabile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</w:t>
      </w:r>
      <w:r w:rsidR="003C502A" w:rsidRPr="009D1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Societatea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daune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monetare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reparații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similare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adecvate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.</w:t>
      </w:r>
    </w:p>
    <w:p w14:paraId="50503FEA" w14:textId="77777777" w:rsidR="003C502A" w:rsidRPr="009D1712" w:rsidRDefault="003C502A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503FEB" w14:textId="77777777" w:rsidR="00271E34" w:rsidRPr="009D1712" w:rsidRDefault="00946985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1712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1712"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înțeleg</w:t>
      </w:r>
      <w:r w:rsidR="003C502A" w:rsidRPr="009D1712">
        <w:rPr>
          <w:rFonts w:ascii="Times New Roman" w:hAnsi="Times New Roman" w:cs="Times New Roman"/>
          <w:sz w:val="24"/>
          <w:szCs w:val="24"/>
        </w:rPr>
        <w:t>ere</w:t>
      </w:r>
      <w:proofErr w:type="spellEnd"/>
      <w:proofErr w:type="gram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="003C502A"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2A" w:rsidRPr="009D1712">
        <w:rPr>
          <w:rFonts w:ascii="Times New Roman" w:hAnsi="Times New Roman" w:cs="Times New Roman"/>
          <w:sz w:val="24"/>
          <w:szCs w:val="24"/>
        </w:rPr>
        <w:t>C</w:t>
      </w:r>
      <w:r w:rsidRPr="009D1712">
        <w:rPr>
          <w:rFonts w:ascii="Times New Roman" w:hAnsi="Times New Roman" w:cs="Times New Roman"/>
          <w:sz w:val="24"/>
          <w:szCs w:val="24"/>
        </w:rPr>
        <w:t>onfidențiale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înlocuiește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acordurile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orale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Confidențiale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reprezentanții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autorizați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712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9D1712">
        <w:rPr>
          <w:rFonts w:ascii="Times New Roman" w:hAnsi="Times New Roman" w:cs="Times New Roman"/>
          <w:sz w:val="24"/>
          <w:szCs w:val="24"/>
        </w:rPr>
        <w:t>.</w:t>
      </w:r>
    </w:p>
    <w:p w14:paraId="50503FEC" w14:textId="77777777" w:rsidR="003C502A" w:rsidRPr="009D1712" w:rsidRDefault="003C502A" w:rsidP="003E1D3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04F80F0" w14:textId="77777777" w:rsidR="00BD67BC" w:rsidRDefault="00BD67BC" w:rsidP="003C502A">
      <w:pPr>
        <w:spacing w:after="364" w:line="276" w:lineRule="auto"/>
        <w:ind w:right="24"/>
        <w:rPr>
          <w:b/>
          <w:sz w:val="24"/>
          <w:szCs w:val="24"/>
          <w:lang w:val="fr-FR"/>
        </w:rPr>
      </w:pPr>
    </w:p>
    <w:p w14:paraId="19A5F652" w14:textId="715ED3E2" w:rsidR="00297B0F" w:rsidRPr="00297B0F" w:rsidRDefault="00297B0F" w:rsidP="00297B0F">
      <w:pPr>
        <w:spacing w:after="364" w:line="276" w:lineRule="auto"/>
        <w:ind w:right="24"/>
        <w:rPr>
          <w:b/>
          <w:bCs/>
          <w:sz w:val="24"/>
          <w:szCs w:val="24"/>
          <w:highlight w:val="yellow"/>
        </w:rPr>
      </w:pPr>
      <w:r w:rsidRPr="00297B0F">
        <w:rPr>
          <w:b/>
          <w:bCs/>
          <w:sz w:val="24"/>
          <w:szCs w:val="24"/>
          <w:highlight w:val="yellow"/>
        </w:rPr>
        <w:t xml:space="preserve"> 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6"/>
        <w:gridCol w:w="4616"/>
      </w:tblGrid>
      <w:tr w:rsidR="007F4F94" w14:paraId="51A36312" w14:textId="77777777" w:rsidTr="00F30C2A">
        <w:tc>
          <w:tcPr>
            <w:tcW w:w="4621" w:type="dxa"/>
          </w:tcPr>
          <w:p w14:paraId="534C9605" w14:textId="5C4646E6" w:rsidR="007F4F94" w:rsidRDefault="006C0B73" w:rsidP="007F4F94">
            <w:pPr>
              <w:spacing w:after="0" w:line="240" w:lineRule="auto"/>
              <w:ind w:left="0" w:right="24" w:firstLine="0"/>
              <w:rPr>
                <w:sz w:val="24"/>
                <w:szCs w:val="24"/>
                <w:lang w:val="fr-FR"/>
              </w:rPr>
            </w:pPr>
            <w:r w:rsidRPr="006F0342">
              <w:rPr>
                <w:b/>
                <w:bCs/>
                <w:sz w:val="24"/>
                <w:szCs w:val="24"/>
                <w:highlight w:val="red"/>
              </w:rPr>
              <w:t>{{COMPANIE}}</w:t>
            </w:r>
            <w:r w:rsidRPr="006F0342">
              <w:rPr>
                <w:b/>
                <w:sz w:val="24"/>
                <w:szCs w:val="24"/>
                <w:highlight w:val="red"/>
                <w:lang w:val="fr-FR"/>
              </w:rPr>
              <w:t xml:space="preserve"> S.</w:t>
            </w:r>
            <w:r w:rsidRPr="006C0B73">
              <w:rPr>
                <w:b/>
                <w:sz w:val="24"/>
                <w:szCs w:val="24"/>
                <w:lang w:val="fr-FR"/>
              </w:rPr>
              <w:t>R.L.,</w:t>
            </w:r>
          </w:p>
        </w:tc>
        <w:tc>
          <w:tcPr>
            <w:tcW w:w="4621" w:type="dxa"/>
          </w:tcPr>
          <w:p w14:paraId="3C2424C5" w14:textId="70BBC303" w:rsidR="007F4F94" w:rsidRDefault="006F0342" w:rsidP="006F0342">
            <w:pPr>
              <w:spacing w:after="0" w:line="240" w:lineRule="auto"/>
              <w:ind w:left="0" w:right="24" w:firstLine="0"/>
              <w:jc w:val="center"/>
              <w:rPr>
                <w:sz w:val="24"/>
                <w:szCs w:val="24"/>
                <w:lang w:val="fr-FR"/>
              </w:rPr>
            </w:pPr>
            <w:r w:rsidRPr="006F0342">
              <w:rPr>
                <w:b/>
                <w:sz w:val="24"/>
                <w:szCs w:val="24"/>
                <w:highlight w:val="red"/>
              </w:rPr>
              <w:t>{{ANG_NUME}},</w:t>
            </w:r>
          </w:p>
        </w:tc>
      </w:tr>
      <w:tr w:rsidR="007F4F94" w14:paraId="5043706D" w14:textId="77777777" w:rsidTr="00F30C2A">
        <w:tc>
          <w:tcPr>
            <w:tcW w:w="4621" w:type="dxa"/>
          </w:tcPr>
          <w:p w14:paraId="041C8AA6" w14:textId="7B7F3FA9" w:rsidR="007F4F94" w:rsidRDefault="006A3E84" w:rsidP="007F4F94">
            <w:pPr>
              <w:spacing w:after="0" w:line="240" w:lineRule="auto"/>
              <w:ind w:left="0" w:right="24" w:firstLine="0"/>
              <w:rPr>
                <w:sz w:val="24"/>
                <w:szCs w:val="24"/>
                <w:lang w:val="fr-FR"/>
              </w:rPr>
            </w:pPr>
            <w:r w:rsidRPr="006F0342">
              <w:rPr>
                <w:bCs/>
                <w:sz w:val="24"/>
                <w:szCs w:val="24"/>
                <w:highlight w:val="red"/>
              </w:rPr>
              <w:t xml:space="preserve">{{ADM_NUME}} </w:t>
            </w:r>
            <w:r w:rsidRPr="006F0342">
              <w:rPr>
                <w:sz w:val="24"/>
                <w:szCs w:val="24"/>
                <w:highlight w:val="red"/>
              </w:rPr>
              <w:t>- A</w:t>
            </w:r>
            <w:r w:rsidRPr="006A3E84">
              <w:rPr>
                <w:sz w:val="24"/>
                <w:szCs w:val="24"/>
              </w:rPr>
              <w:t>dministrator</w:t>
            </w:r>
          </w:p>
        </w:tc>
        <w:tc>
          <w:tcPr>
            <w:tcW w:w="4621" w:type="dxa"/>
          </w:tcPr>
          <w:p w14:paraId="55FFC55D" w14:textId="77777777" w:rsidR="007F4F94" w:rsidRDefault="007F4F94" w:rsidP="007F4F94">
            <w:pPr>
              <w:spacing w:after="0" w:line="240" w:lineRule="auto"/>
              <w:ind w:left="0" w:right="24" w:firstLine="0"/>
              <w:rPr>
                <w:sz w:val="24"/>
                <w:szCs w:val="24"/>
                <w:lang w:val="fr-FR"/>
              </w:rPr>
            </w:pPr>
          </w:p>
        </w:tc>
      </w:tr>
      <w:tr w:rsidR="007F4F94" w14:paraId="77EA2BBA" w14:textId="77777777" w:rsidTr="00F30C2A">
        <w:tc>
          <w:tcPr>
            <w:tcW w:w="4621" w:type="dxa"/>
          </w:tcPr>
          <w:p w14:paraId="463CF82A" w14:textId="77777777" w:rsidR="007F4F94" w:rsidRDefault="007F4F94" w:rsidP="007F4F94">
            <w:pPr>
              <w:spacing w:after="0" w:line="240" w:lineRule="auto"/>
              <w:ind w:left="0" w:right="24" w:firstLine="0"/>
              <w:rPr>
                <w:sz w:val="24"/>
                <w:szCs w:val="24"/>
                <w:lang w:val="fr-FR"/>
              </w:rPr>
            </w:pPr>
          </w:p>
        </w:tc>
        <w:tc>
          <w:tcPr>
            <w:tcW w:w="4621" w:type="dxa"/>
          </w:tcPr>
          <w:p w14:paraId="2C0932AF" w14:textId="77777777" w:rsidR="007F4F94" w:rsidRDefault="007F4F94" w:rsidP="007F4F94">
            <w:pPr>
              <w:spacing w:after="0" w:line="240" w:lineRule="auto"/>
              <w:ind w:left="0" w:right="24" w:firstLine="0"/>
              <w:rPr>
                <w:sz w:val="24"/>
                <w:szCs w:val="24"/>
                <w:lang w:val="fr-FR"/>
              </w:rPr>
            </w:pPr>
          </w:p>
        </w:tc>
      </w:tr>
    </w:tbl>
    <w:p w14:paraId="50503FEE" w14:textId="77777777" w:rsidR="003C502A" w:rsidRPr="009D1712" w:rsidRDefault="003C502A" w:rsidP="003C502A">
      <w:pPr>
        <w:spacing w:after="364" w:line="276" w:lineRule="auto"/>
        <w:ind w:right="24"/>
        <w:rPr>
          <w:sz w:val="24"/>
          <w:szCs w:val="24"/>
          <w:lang w:val="fr-FR"/>
        </w:rPr>
      </w:pPr>
    </w:p>
    <w:sectPr w:rsidR="003C502A" w:rsidRPr="009D171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BC95A" w14:textId="77777777" w:rsidR="00FF7CEE" w:rsidRDefault="00FF7CEE" w:rsidP="00F22C58">
      <w:pPr>
        <w:spacing w:after="0" w:line="240" w:lineRule="auto"/>
      </w:pPr>
      <w:r>
        <w:separator/>
      </w:r>
    </w:p>
  </w:endnote>
  <w:endnote w:type="continuationSeparator" w:id="0">
    <w:p w14:paraId="18EF291B" w14:textId="77777777" w:rsidR="00FF7CEE" w:rsidRDefault="00FF7CEE" w:rsidP="00F2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3330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89E5" w14:textId="4CC8FCC0" w:rsidR="00F22C58" w:rsidRDefault="00F22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434BA9" w14:textId="77777777" w:rsidR="00F22C58" w:rsidRDefault="00F22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2C684" w14:textId="77777777" w:rsidR="00FF7CEE" w:rsidRDefault="00FF7CEE" w:rsidP="00F22C58">
      <w:pPr>
        <w:spacing w:after="0" w:line="240" w:lineRule="auto"/>
      </w:pPr>
      <w:r>
        <w:separator/>
      </w:r>
    </w:p>
  </w:footnote>
  <w:footnote w:type="continuationSeparator" w:id="0">
    <w:p w14:paraId="2F866953" w14:textId="77777777" w:rsidR="00FF7CEE" w:rsidRDefault="00FF7CEE" w:rsidP="00F22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C5B72"/>
    <w:multiLevelType w:val="hybridMultilevel"/>
    <w:tmpl w:val="BB2616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85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985"/>
    <w:rsid w:val="000E073A"/>
    <w:rsid w:val="000F126F"/>
    <w:rsid w:val="001979E9"/>
    <w:rsid w:val="001C19CE"/>
    <w:rsid w:val="00271E34"/>
    <w:rsid w:val="00297B0F"/>
    <w:rsid w:val="002D18C2"/>
    <w:rsid w:val="00306C89"/>
    <w:rsid w:val="00370F26"/>
    <w:rsid w:val="003C502A"/>
    <w:rsid w:val="003E1D3F"/>
    <w:rsid w:val="004F0430"/>
    <w:rsid w:val="004F0A42"/>
    <w:rsid w:val="005E7353"/>
    <w:rsid w:val="0062506B"/>
    <w:rsid w:val="00677CC1"/>
    <w:rsid w:val="006A3E84"/>
    <w:rsid w:val="006C0B73"/>
    <w:rsid w:val="006E3187"/>
    <w:rsid w:val="006F0342"/>
    <w:rsid w:val="007014B1"/>
    <w:rsid w:val="00751AE7"/>
    <w:rsid w:val="007F4F94"/>
    <w:rsid w:val="007F7109"/>
    <w:rsid w:val="00820AD8"/>
    <w:rsid w:val="00861FEA"/>
    <w:rsid w:val="00875175"/>
    <w:rsid w:val="008D6F20"/>
    <w:rsid w:val="008D7950"/>
    <w:rsid w:val="00946985"/>
    <w:rsid w:val="009D1712"/>
    <w:rsid w:val="009E60A6"/>
    <w:rsid w:val="00AD2E28"/>
    <w:rsid w:val="00B91F60"/>
    <w:rsid w:val="00BD67BC"/>
    <w:rsid w:val="00C049A8"/>
    <w:rsid w:val="00C30147"/>
    <w:rsid w:val="00C33AB5"/>
    <w:rsid w:val="00D5293D"/>
    <w:rsid w:val="00D92601"/>
    <w:rsid w:val="00DF7240"/>
    <w:rsid w:val="00E64FA9"/>
    <w:rsid w:val="00E97E67"/>
    <w:rsid w:val="00F22C58"/>
    <w:rsid w:val="00F30C2A"/>
    <w:rsid w:val="00FC28D4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FC7"/>
  <w15:docId w15:val="{22E441BE-8657-4722-B824-B86A2DD5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02A"/>
    <w:pPr>
      <w:spacing w:after="288" w:line="247" w:lineRule="auto"/>
      <w:ind w:left="10" w:hanging="8"/>
      <w:jc w:val="both"/>
    </w:pPr>
    <w:rPr>
      <w:rFonts w:ascii="Times New Roman" w:eastAsia="Times New Roman" w:hAnsi="Times New Roman" w:cs="Times New Roman"/>
      <w:color w:val="1A171B"/>
      <w:sz w:val="17"/>
      <w:lang w:val="ro-RO" w:eastAsia="ro-RO"/>
    </w:rPr>
  </w:style>
  <w:style w:type="paragraph" w:styleId="Heading1">
    <w:name w:val="heading 1"/>
    <w:next w:val="Normal"/>
    <w:link w:val="Heading1Char"/>
    <w:uiPriority w:val="9"/>
    <w:unhideWhenUsed/>
    <w:qFormat/>
    <w:rsid w:val="003C502A"/>
    <w:pPr>
      <w:keepNext/>
      <w:keepLines/>
      <w:spacing w:after="104" w:line="259" w:lineRule="auto"/>
      <w:ind w:left="2757" w:hanging="10"/>
      <w:jc w:val="center"/>
      <w:outlineLvl w:val="0"/>
    </w:pPr>
    <w:rPr>
      <w:rFonts w:ascii="Times New Roman" w:eastAsia="Times New Roman" w:hAnsi="Times New Roman" w:cs="Times New Roman"/>
      <w:i/>
      <w:color w:val="1A171B"/>
      <w:sz w:val="19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D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502A"/>
    <w:rPr>
      <w:rFonts w:ascii="Times New Roman" w:eastAsia="Times New Roman" w:hAnsi="Times New Roman" w:cs="Times New Roman"/>
      <w:i/>
      <w:color w:val="1A171B"/>
      <w:sz w:val="19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F2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C58"/>
    <w:rPr>
      <w:rFonts w:ascii="Times New Roman" w:eastAsia="Times New Roman" w:hAnsi="Times New Roman" w:cs="Times New Roman"/>
      <w:color w:val="1A171B"/>
      <w:sz w:val="17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F2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C58"/>
    <w:rPr>
      <w:rFonts w:ascii="Times New Roman" w:eastAsia="Times New Roman" w:hAnsi="Times New Roman" w:cs="Times New Roman"/>
      <w:color w:val="1A171B"/>
      <w:sz w:val="17"/>
      <w:lang w:val="ro-RO" w:eastAsia="ro-RO"/>
    </w:rPr>
  </w:style>
  <w:style w:type="table" w:styleId="TableGrid">
    <w:name w:val="Table Grid"/>
    <w:basedOn w:val="TableNormal"/>
    <w:uiPriority w:val="59"/>
    <w:rsid w:val="007F4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Daniel Aldea</cp:lastModifiedBy>
  <cp:revision>42</cp:revision>
  <cp:lastPrinted>2020-03-31T16:24:00Z</cp:lastPrinted>
  <dcterms:created xsi:type="dcterms:W3CDTF">2020-02-17T12:02:00Z</dcterms:created>
  <dcterms:modified xsi:type="dcterms:W3CDTF">2024-03-11T13:48:00Z</dcterms:modified>
</cp:coreProperties>
</file>