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78C5" w14:textId="26659143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ACT CONSTITUTIV</w:t>
      </w:r>
    </w:p>
    <w:p w14:paraId="746A1B12" w14:textId="3BA898C8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Pr="00254042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i</w:t>
      </w:r>
      <w:proofErr w:type="spellEnd"/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6E246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76533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6E246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</w:t>
      </w:r>
      <w:r w:rsidRPr="00F87A4B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259D705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C45C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9A4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345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507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5B65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EF99B7" w14:textId="1D44C51B" w:rsidR="00D50989" w:rsidRPr="00B728CB" w:rsidRDefault="008C56BE" w:rsidP="00023F3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r w:rsidR="00C538B2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as1_nume</w:t>
      </w: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6B3BDE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{{</w:t>
      </w:r>
      <w:r w:rsidR="00C538B2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as1_prenume</w:t>
      </w:r>
      <w:r w:rsidR="006B3BDE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D50989"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,</w:t>
      </w:r>
      <w:r w:rsidR="00D50989"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</w:t>
      </w:r>
      <w:r w:rsidR="00241BE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</w:t>
      </w:r>
      <w:r w:rsidR="007B64F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C538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as1_cetatean</w:t>
      </w:r>
      <w:r w:rsidR="007B64F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685E3E"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="00685E3E"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de </w:t>
      </w:r>
      <w:r w:rsidR="00E409C4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C538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as1_data_n</w:t>
      </w:r>
      <w:r w:rsidR="00E409C4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în </w:t>
      </w:r>
      <w:r w:rsidR="00BF23B8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as1_loc_n</w:t>
      </w:r>
      <w:r w:rsidR="00BF23B8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J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>ud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. </w:t>
      </w:r>
      <w:r w:rsidR="00EC3F4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as1_jud_n</w:t>
      </w:r>
      <w:r w:rsidR="00EC3F4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7E4B05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7E4B0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as1_tara_n</w:t>
      </w:r>
      <w:r w:rsidR="007E4B0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685E3E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</w:t>
      </w:r>
      <w:r w:rsidR="00E81EB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c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u domiciliul </w:t>
      </w:r>
      <w:r w:rsidR="00EC3F4E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81EB2">
        <w:rPr>
          <w:rFonts w:ascii="Times New Roman" w:hAnsi="Times New Roman"/>
          <w:bCs/>
          <w:sz w:val="24"/>
          <w:szCs w:val="24"/>
          <w:lang w:val="ro-RO"/>
        </w:rPr>
        <w:t xml:space="preserve">n </w:t>
      </w:r>
      <w:r w:rsidR="005D286F">
        <w:rPr>
          <w:rFonts w:ascii="Times New Roman" w:hAnsi="Times New Roman"/>
          <w:bCs/>
          <w:sz w:val="24"/>
          <w:szCs w:val="24"/>
          <w:lang w:val="ro-RO"/>
        </w:rPr>
        <w:t>localitate</w:t>
      </w:r>
      <w:r w:rsidR="005D286F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</w:t>
      </w:r>
      <w:r w:rsidR="004D7285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as1_loc_dom</w:t>
      </w:r>
      <w:r w:rsidR="005D286F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B81AD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B81AD9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3B4FFA">
        <w:rPr>
          <w:rFonts w:ascii="Times New Roman" w:hAnsi="Times New Roman"/>
          <w:bCs/>
          <w:sz w:val="24"/>
          <w:szCs w:val="24"/>
          <w:lang w:val="ro-RO"/>
        </w:rPr>
        <w:t>st</w:t>
      </w:r>
      <w:r w:rsidR="003B4FF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r.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835C7A" w:rsidRPr="00035670">
        <w:rPr>
          <w:rFonts w:ascii="Times New Roman" w:hAnsi="Times New Roman"/>
          <w:bCs/>
          <w:sz w:val="24"/>
          <w:szCs w:val="24"/>
          <w:highlight w:val="magenta"/>
        </w:rPr>
        <w:t>as1_str_dom</w:t>
      </w:r>
      <w:r w:rsidR="003B4FF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A22051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A22051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="00A22051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835C7A" w:rsidRPr="00035670">
        <w:rPr>
          <w:rFonts w:ascii="Times New Roman" w:hAnsi="Times New Roman"/>
          <w:bCs/>
          <w:sz w:val="24"/>
          <w:szCs w:val="24"/>
          <w:highlight w:val="magenta"/>
        </w:rPr>
        <w:t>as1_nr_dom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as1_bl_dom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c.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as1_sc_dom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>e</w:t>
      </w:r>
      <w:r w:rsidR="00655B5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t.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A289F" w:rsidRPr="00035670">
        <w:rPr>
          <w:rFonts w:ascii="Times New Roman" w:hAnsi="Times New Roman"/>
          <w:bCs/>
          <w:sz w:val="24"/>
          <w:szCs w:val="24"/>
          <w:highlight w:val="magenta"/>
        </w:rPr>
        <w:t>as1_et_dom</w:t>
      </w:r>
      <w:r w:rsidR="00655B5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655B5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910310">
        <w:rPr>
          <w:rFonts w:ascii="Times New Roman" w:hAnsi="Times New Roman"/>
          <w:bCs/>
          <w:sz w:val="24"/>
          <w:szCs w:val="24"/>
          <w:lang w:val="ro-RO"/>
        </w:rPr>
        <w:t>a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p. </w:t>
      </w:r>
      <w:r w:rsidR="000E0F8D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as1_ap_dom</w:t>
      </w:r>
      <w:r w:rsidR="0091031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D47A4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D47A4B">
        <w:rPr>
          <w:rFonts w:ascii="Times New Roman" w:hAnsi="Times New Roman"/>
          <w:bCs/>
          <w:sz w:val="24"/>
          <w:szCs w:val="24"/>
          <w:lang w:val="ro-RO"/>
        </w:rPr>
        <w:t xml:space="preserve"> ju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>d./secto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as1_jud_dom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 w:rsidR="00B728CB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4C37AB" w:rsidRPr="00035670">
        <w:rPr>
          <w:rFonts w:ascii="Times New Roman" w:hAnsi="Times New Roman"/>
          <w:bCs/>
          <w:sz w:val="24"/>
          <w:szCs w:val="24"/>
          <w:highlight w:val="magenta"/>
        </w:rPr>
        <w:t>as1_tara_dom</w:t>
      </w:r>
      <w:r w:rsidR="00B728C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F9239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i</w:t>
      </w:r>
      <w:r w:rsidR="00F9239B"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="00F9239B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 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as1_cnp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 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as1_tip_act</w:t>
      </w:r>
      <w:r w:rsidR="00E30A93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s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eri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a </w:t>
      </w:r>
      <w:r w:rsidR="00443E5C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AC51C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as1_serie_act</w:t>
      </w:r>
      <w:r w:rsidR="00443E5C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n</w:t>
      </w:r>
      <w:r w:rsidR="006E6E37">
        <w:rPr>
          <w:rFonts w:ascii="Times New Roman" w:hAnsi="Times New Roman"/>
          <w:bCs/>
          <w:sz w:val="24"/>
          <w:szCs w:val="24"/>
          <w:lang w:val="ro-RO"/>
        </w:rPr>
        <w:t>um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6E6E37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r </w:t>
      </w:r>
      <w:r w:rsidR="00263B4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1305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as1_nr_act</w:t>
      </w:r>
      <w:r w:rsidR="00263B4A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}} 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e </w:t>
      </w:r>
      <w:r w:rsidR="0090040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613050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as1_act_elib_d</w:t>
      </w:r>
      <w:r w:rsidR="0090040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l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e </w:t>
      </w:r>
      <w:r w:rsidR="00BF406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25404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as1_data_elib</w:t>
      </w:r>
      <w:r w:rsidR="00BF4069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 c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u valabilitate p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â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>n</w:t>
      </w:r>
      <w:r w:rsidR="00B93D29">
        <w:rPr>
          <w:rFonts w:ascii="Times New Roman" w:hAnsi="Times New Roman"/>
          <w:bCs/>
          <w:sz w:val="24"/>
          <w:szCs w:val="24"/>
          <w:lang w:val="ro-RO"/>
        </w:rPr>
        <w:t>ă</w:t>
      </w:r>
      <w:r w:rsidR="00E95832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="004E216C">
        <w:rPr>
          <w:rFonts w:ascii="Times New Roman" w:hAnsi="Times New Roman"/>
          <w:bCs/>
          <w:sz w:val="24"/>
          <w:szCs w:val="24"/>
          <w:lang w:val="ro-RO"/>
        </w:rPr>
        <w:t>î</w:t>
      </w:r>
      <w:r w:rsidR="00E9583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n </w:t>
      </w:r>
      <w:r w:rsidR="0025658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="00254042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as1_data_exp</w:t>
      </w:r>
      <w:r w:rsidR="00256583"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}}.</w:t>
      </w:r>
    </w:p>
    <w:p w14:paraId="69F44015" w14:textId="2A0FBFC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Legii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care s-a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hotărât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înființarea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</w:t>
      </w:r>
      <w:r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i</w:t>
      </w:r>
      <w:proofErr w:type="spellEnd"/>
      <w:r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605CEB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254042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605CEB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="00D002FF" w:rsidRPr="002117A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.R.L.</w:t>
      </w:r>
    </w:p>
    <w:p w14:paraId="05006D0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81968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A1050" w14:textId="77777777" w:rsidR="008607C6" w:rsidRDefault="008607C6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CEFB" w14:textId="0C96F6D6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</w:t>
      </w:r>
    </w:p>
    <w:p w14:paraId="5EED32DF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Forma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</w:t>
      </w:r>
    </w:p>
    <w:p w14:paraId="193272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57D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0FE1C30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titulară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F18BE" w14:textId="28D7081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: </w:t>
      </w:r>
      <w:r w:rsidR="00324A9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r w:rsidR="002117A6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companie</w:t>
      </w:r>
      <w:r w:rsidR="00324A9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 xml:space="preserve">}} </w:t>
      </w:r>
      <w:r w:rsidR="00D002FF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S.</w:t>
      </w:r>
      <w:r w:rsidR="00D002FF" w:rsidRPr="00D002FF">
        <w:rPr>
          <w:rFonts w:ascii="Times New Roman" w:hAnsi="Times New Roman" w:cs="Times New Roman"/>
          <w:b/>
          <w:bCs/>
          <w:sz w:val="24"/>
          <w:szCs w:val="24"/>
        </w:rPr>
        <w:t>R.L</w:t>
      </w:r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., conform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dovezii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privind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disponibilitatea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Pr="001D01D5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2117A6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rez_denum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,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E515F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oferte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tarife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prospecte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întrebuințate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electronice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487FED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internet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04775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1D5">
        <w:rPr>
          <w:rFonts w:ascii="Times New Roman" w:hAnsi="Times New Roman" w:cs="Times New Roman"/>
          <w:b/>
          <w:bCs/>
          <w:sz w:val="24"/>
          <w:szCs w:val="24"/>
        </w:rPr>
        <w:t>nedeterminată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6877ED" w14:textId="37CD12B2" w:rsidR="006C390A" w:rsidRPr="00984833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D3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206">
        <w:rPr>
          <w:rFonts w:ascii="Times New Roman" w:hAnsi="Times New Roman" w:cs="Times New Roman"/>
          <w:sz w:val="24"/>
          <w:szCs w:val="24"/>
        </w:rPr>
        <w:t>locatitate</w:t>
      </w:r>
      <w:r w:rsidR="00BD3206" w:rsidRPr="00786116">
        <w:rPr>
          <w:rFonts w:ascii="Times New Roman" w:hAnsi="Times New Roman" w:cs="Times New Roman"/>
          <w:sz w:val="24"/>
          <w:szCs w:val="24"/>
          <w:highlight w:val="magenta"/>
        </w:rPr>
        <w:t>a</w:t>
      </w:r>
      <w:proofErr w:type="spellEnd"/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loc_sed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1683B">
        <w:rPr>
          <w:rFonts w:ascii="Times New Roman" w:hAnsi="Times New Roman" w:cs="Times New Roman"/>
          <w:sz w:val="24"/>
          <w:szCs w:val="24"/>
        </w:rPr>
        <w:t xml:space="preserve"> st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str_sed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1683B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1683B">
        <w:rPr>
          <w:rFonts w:ascii="Times New Roman" w:hAnsi="Times New Roman" w:cs="Times New Roman"/>
          <w:sz w:val="24"/>
          <w:szCs w:val="24"/>
        </w:rPr>
        <w:t xml:space="preserve"> </w:t>
      </w:r>
      <w:r w:rsidR="000923A3">
        <w:rPr>
          <w:rFonts w:ascii="Times New Roman" w:hAnsi="Times New Roman" w:cs="Times New Roman"/>
          <w:sz w:val="24"/>
          <w:szCs w:val="24"/>
        </w:rPr>
        <w:t>n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nr_sed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bl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bl_sed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s</w:t>
      </w:r>
      <w:r w:rsidR="000923A3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c.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sc_sed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0923A3">
        <w:rPr>
          <w:rFonts w:ascii="Times New Roman" w:hAnsi="Times New Roman" w:cs="Times New Roman"/>
          <w:sz w:val="24"/>
          <w:szCs w:val="24"/>
        </w:rPr>
        <w:t xml:space="preserve"> </w:t>
      </w:r>
      <w:r w:rsidR="006D206C">
        <w:rPr>
          <w:rFonts w:ascii="Times New Roman" w:hAnsi="Times New Roman" w:cs="Times New Roman"/>
          <w:sz w:val="24"/>
          <w:szCs w:val="24"/>
        </w:rPr>
        <w:t>e</w:t>
      </w:r>
      <w:r w:rsidR="000923A3">
        <w:rPr>
          <w:rFonts w:ascii="Times New Roman" w:hAnsi="Times New Roman" w:cs="Times New Roman"/>
          <w:sz w:val="24"/>
          <w:szCs w:val="24"/>
        </w:rPr>
        <w:t>t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5F7052" w:rsidRPr="00786116">
        <w:rPr>
          <w:rFonts w:ascii="Times New Roman" w:hAnsi="Times New Roman" w:cs="Times New Roman"/>
          <w:sz w:val="24"/>
          <w:szCs w:val="24"/>
          <w:highlight w:val="magenta"/>
        </w:rPr>
        <w:t>et_sed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D206C">
        <w:rPr>
          <w:rFonts w:ascii="Times New Roman" w:hAnsi="Times New Roman" w:cs="Times New Roman"/>
          <w:sz w:val="24"/>
          <w:szCs w:val="24"/>
        </w:rPr>
        <w:t xml:space="preserve"> ap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.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ap_sed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6D206C">
        <w:rPr>
          <w:rFonts w:ascii="Times New Roman" w:hAnsi="Times New Roman" w:cs="Times New Roman"/>
          <w:sz w:val="24"/>
          <w:szCs w:val="24"/>
        </w:rPr>
        <w:t xml:space="preserve"> camer</w:t>
      </w:r>
      <w:r w:rsidR="006D206C" w:rsidRPr="00786116">
        <w:rPr>
          <w:rFonts w:ascii="Times New Roman" w:hAnsi="Times New Roman" w:cs="Times New Roman"/>
          <w:sz w:val="24"/>
          <w:szCs w:val="24"/>
          <w:highlight w:val="magenta"/>
        </w:rPr>
        <w:t>a</w:t>
      </w:r>
      <w:r w:rsidR="00D950D2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cam_sed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D950D2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D9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D2">
        <w:rPr>
          <w:rFonts w:ascii="Times New Roman" w:hAnsi="Times New Roman" w:cs="Times New Roman"/>
          <w:sz w:val="24"/>
          <w:szCs w:val="24"/>
        </w:rPr>
        <w:t>județ</w:t>
      </w:r>
      <w:proofErr w:type="spellEnd"/>
      <w:r w:rsidR="001F6E5A">
        <w:rPr>
          <w:rFonts w:ascii="Times New Roman" w:hAnsi="Times New Roman" w:cs="Times New Roman"/>
          <w:sz w:val="24"/>
          <w:szCs w:val="24"/>
        </w:rPr>
        <w:t>/secto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r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jud_sed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="0051596D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4267A5" w:rsidRPr="00786116">
        <w:rPr>
          <w:rFonts w:ascii="Times New Roman" w:hAnsi="Times New Roman" w:cs="Times New Roman"/>
          <w:sz w:val="24"/>
          <w:szCs w:val="24"/>
          <w:highlight w:val="magenta"/>
        </w:rPr>
        <w:t>tara_sed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="001F6E5A" w:rsidRPr="007861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02CD9ABD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înființa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sucursale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agenții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localități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state,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materie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2A3806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99A4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7A5B2" w14:textId="77777777" w:rsidR="00331853" w:rsidRPr="006C390A" w:rsidRDefault="0033185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5FDC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4D4BEB0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93ADD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4542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2363836" w14:textId="4889C4C9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DFD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principal de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est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>e</w:t>
      </w:r>
      <w:proofErr w:type="spellEnd"/>
      <w:r w:rsidR="00D056B7"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sz w:val="24"/>
          <w:szCs w:val="24"/>
          <w:highlight w:val="magenta"/>
        </w:rPr>
        <w:t>dom_activ</w:t>
      </w:r>
      <w:proofErr w:type="spellEnd"/>
      <w:r w:rsidR="00E30A93" w:rsidRPr="00786116">
        <w:rPr>
          <w:rFonts w:ascii="Times New Roman" w:hAnsi="Times New Roman" w:cs="Times New Roman"/>
          <w:sz w:val="24"/>
          <w:szCs w:val="24"/>
          <w:highlight w:val="magenta"/>
        </w:rPr>
        <w:t>}}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r w:rsidR="006623DC">
        <w:rPr>
          <w:rFonts w:ascii="Times New Roman" w:hAnsi="Times New Roman" w:cs="Times New Roman"/>
          <w:sz w:val="24"/>
          <w:szCs w:val="24"/>
          <w:lang w:val="ro-RO"/>
        </w:rPr>
        <w:t>î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N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cod_caen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</w:p>
    <w:p w14:paraId="01CF0175" w14:textId="477AE86E" w:rsidR="00F63DFD" w:rsidRPr="00F63DFD" w:rsidRDefault="00F63DFD" w:rsidP="00F63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DFD">
        <w:rPr>
          <w:rFonts w:ascii="Times New Roman" w:hAnsi="Times New Roman" w:cs="Times New Roman"/>
          <w:sz w:val="24"/>
          <w:szCs w:val="24"/>
        </w:rPr>
        <w:t>–</w:t>
      </w:r>
      <w:r w:rsidR="001E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3DF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63DFD">
        <w:rPr>
          <w:rFonts w:ascii="Times New Roman" w:hAnsi="Times New Roman" w:cs="Times New Roman"/>
          <w:sz w:val="24"/>
          <w:szCs w:val="24"/>
        </w:rPr>
        <w:t xml:space="preserve"> CAE</w:t>
      </w:r>
      <w:r w:rsidRPr="00786116">
        <w:rPr>
          <w:rFonts w:ascii="Times New Roman" w:hAnsi="Times New Roman" w:cs="Times New Roman"/>
          <w:sz w:val="24"/>
          <w:szCs w:val="24"/>
          <w:highlight w:val="magenta"/>
        </w:rPr>
        <w:t xml:space="preserve">N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031E1D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cod_activ_p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2E6C1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CF3882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activ_princip</w:t>
      </w:r>
      <w:proofErr w:type="spellEnd"/>
      <w:r w:rsidR="00E30A93" w:rsidRPr="00786116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</w:p>
    <w:p w14:paraId="48A6553E" w14:textId="51405C3F" w:rsidR="001312D1" w:rsidRPr="00CE7CA5" w:rsidRDefault="006C390A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Activități</w:t>
      </w:r>
      <w:proofErr w:type="spellEnd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secundare</w:t>
      </w:r>
      <w:proofErr w:type="spellEnd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56"/>
        <w:gridCol w:w="7585"/>
      </w:tblGrid>
      <w:tr w:rsidR="003E1949" w:rsidRPr="00BB57B7" w14:paraId="08AE8054" w14:textId="77777777" w:rsidTr="00CD70E8">
        <w:tc>
          <w:tcPr>
            <w:tcW w:w="864" w:type="pct"/>
          </w:tcPr>
          <w:p w14:paraId="2F828367" w14:textId="46C8F5A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CF7C788" w14:textId="1B30D24E" w:rsidR="003E1949" w:rsidRPr="00BB57B7" w:rsidRDefault="008D434F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FD752CF" w14:textId="77777777" w:rsidTr="00CD70E8">
        <w:tc>
          <w:tcPr>
            <w:tcW w:w="864" w:type="pct"/>
          </w:tcPr>
          <w:p w14:paraId="297DDAC7" w14:textId="5B65E6D5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5C3EC9FA" w14:textId="1AB4FFED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9450832" w14:textId="77777777" w:rsidTr="00CD70E8">
        <w:tc>
          <w:tcPr>
            <w:tcW w:w="864" w:type="pct"/>
          </w:tcPr>
          <w:p w14:paraId="3290CAFB" w14:textId="3B712E75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7C7DBB8" w14:textId="00C7E1B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1B903CF" w14:textId="77777777" w:rsidTr="00CD70E8">
        <w:tc>
          <w:tcPr>
            <w:tcW w:w="864" w:type="pct"/>
          </w:tcPr>
          <w:p w14:paraId="785844CC" w14:textId="7195F5BC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CD70E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6D542FC1" w14:textId="5B73995B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662DB63D" w14:textId="77777777" w:rsidTr="00CD70E8">
        <w:tc>
          <w:tcPr>
            <w:tcW w:w="864" w:type="pct"/>
          </w:tcPr>
          <w:p w14:paraId="41D4106A" w14:textId="42B77637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B57B7" w:rsidRPr="00BB57B7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F8681C7" w14:textId="3223215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6F47D39" w14:textId="77777777" w:rsidTr="00CD70E8">
        <w:tc>
          <w:tcPr>
            <w:tcW w:w="864" w:type="pct"/>
          </w:tcPr>
          <w:p w14:paraId="02B52140" w14:textId="065A246F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9C9349E" w14:textId="398AABAB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1FE28E3" w14:textId="77777777" w:rsidTr="00CD70E8">
        <w:tc>
          <w:tcPr>
            <w:tcW w:w="864" w:type="pct"/>
          </w:tcPr>
          <w:p w14:paraId="5C74CCCC" w14:textId="36EDE43B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7E186D4" w14:textId="527D18D0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9A0324B" w14:textId="77777777" w:rsidTr="00CD70E8">
        <w:tc>
          <w:tcPr>
            <w:tcW w:w="864" w:type="pct"/>
          </w:tcPr>
          <w:p w14:paraId="3E737D4F" w14:textId="051625BD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6F9B0874" w14:textId="0AC4DEB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0C7B205" w14:textId="77777777" w:rsidTr="00CD70E8">
        <w:tc>
          <w:tcPr>
            <w:tcW w:w="864" w:type="pct"/>
          </w:tcPr>
          <w:p w14:paraId="01B62D4F" w14:textId="03FE5AF7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44F4DCCE" w14:textId="592AF874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2D26702" w14:textId="77777777" w:rsidTr="00CD70E8">
        <w:tc>
          <w:tcPr>
            <w:tcW w:w="864" w:type="pct"/>
          </w:tcPr>
          <w:p w14:paraId="08051282" w14:textId="7071B10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45A3AA8B" w14:textId="608A694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3774D0FB" w14:textId="77777777" w:rsidTr="00CD70E8">
        <w:tc>
          <w:tcPr>
            <w:tcW w:w="864" w:type="pct"/>
          </w:tcPr>
          <w:p w14:paraId="4CC6850D" w14:textId="529725AD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6EB2EF1" w14:textId="38F4F12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277C62A7" w14:textId="77777777" w:rsidTr="00CD70E8">
        <w:tc>
          <w:tcPr>
            <w:tcW w:w="864" w:type="pct"/>
          </w:tcPr>
          <w:p w14:paraId="178209B9" w14:textId="422B5D4B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2BBBE31" w14:textId="27D344E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06A0B016" w14:textId="77777777" w:rsidTr="00CD70E8">
        <w:tc>
          <w:tcPr>
            <w:tcW w:w="864" w:type="pct"/>
          </w:tcPr>
          <w:p w14:paraId="69E15617" w14:textId="600C67E1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4B09DC1" w14:textId="6F06F116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4D4AD2D3" w14:textId="77777777" w:rsidTr="00CD70E8">
        <w:tc>
          <w:tcPr>
            <w:tcW w:w="864" w:type="pct"/>
          </w:tcPr>
          <w:p w14:paraId="5D8FED98" w14:textId="52160C03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59AC37F" w14:textId="785BC868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590C3E70" w14:textId="77777777" w:rsidTr="00CD70E8">
        <w:tc>
          <w:tcPr>
            <w:tcW w:w="864" w:type="pct"/>
          </w:tcPr>
          <w:p w14:paraId="4A86D3E0" w14:textId="15CEEBC4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17B0F71" w14:textId="742441E1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1F432DF3" w14:textId="77777777" w:rsidTr="00CD70E8">
        <w:tc>
          <w:tcPr>
            <w:tcW w:w="864" w:type="pct"/>
          </w:tcPr>
          <w:p w14:paraId="45C4271A" w14:textId="71F0FC48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031E1D" w:rsidRPr="00031E1D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111CF72D" w14:textId="2E003792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3E1949" w:rsidRPr="00BB57B7" w14:paraId="74E3A6C3" w14:textId="77777777" w:rsidTr="00CD70E8">
        <w:tc>
          <w:tcPr>
            <w:tcW w:w="864" w:type="pct"/>
          </w:tcPr>
          <w:p w14:paraId="6F468A62" w14:textId="5F44B5DC" w:rsidR="003E1949" w:rsidRPr="00BB57B7" w:rsidRDefault="00E30A93" w:rsidP="00AF59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CD70E8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0037B9E8" w14:textId="5960A5FE" w:rsidR="003E1949" w:rsidRPr="00BB57B7" w:rsidRDefault="00CC79CE" w:rsidP="004C5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2EF4E291" w14:textId="77777777" w:rsidTr="00CD70E8">
        <w:tc>
          <w:tcPr>
            <w:tcW w:w="864" w:type="pct"/>
          </w:tcPr>
          <w:p w14:paraId="7E345E2A" w14:textId="5B25A077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A0D6553" w14:textId="6BCCE5D3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562B920C" w14:textId="77777777" w:rsidTr="00CD70E8">
        <w:tc>
          <w:tcPr>
            <w:tcW w:w="864" w:type="pct"/>
          </w:tcPr>
          <w:p w14:paraId="126B6381" w14:textId="3CCB00D7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cod_activ_s1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3CD518F7" w14:textId="2E99C6B7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activ_sec1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9479D9" w:rsidRPr="00BB57B7" w14:paraId="56C9FF03" w14:textId="77777777" w:rsidTr="00CD70E8">
        <w:tc>
          <w:tcPr>
            <w:tcW w:w="864" w:type="pct"/>
          </w:tcPr>
          <w:p w14:paraId="27E44C13" w14:textId="420C8A08" w:rsidR="009479D9" w:rsidRPr="00BB57B7" w:rsidRDefault="00E30A93" w:rsidP="00947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9479D9" w:rsidRPr="00CD70E8">
              <w:rPr>
                <w:rFonts w:ascii="Times New Roman" w:hAnsi="Times New Roman" w:cs="Times New Roman"/>
                <w:sz w:val="20"/>
                <w:szCs w:val="20"/>
              </w:rPr>
              <w:t>cod_activ_s</w:t>
            </w:r>
            <w:r w:rsidR="009479D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136" w:type="pct"/>
          </w:tcPr>
          <w:p w14:paraId="7C474FB6" w14:textId="5E252B88" w:rsidR="009479D9" w:rsidRDefault="009479D9" w:rsidP="0094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7D7A81" w:rsidRPr="007D7A81">
              <w:rPr>
                <w:rFonts w:ascii="Times New Roman" w:hAnsi="Times New Roman" w:cs="Times New Roman"/>
                <w:sz w:val="20"/>
                <w:szCs w:val="20"/>
              </w:rPr>
              <w:t>activ_sec</w:t>
            </w:r>
            <w:r w:rsidR="00623C1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F8AC2E9" w14:textId="77777777" w:rsidR="00CA02E2" w:rsidRDefault="00CA02E2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FC1EA" w14:textId="77777777" w:rsidR="008607C6" w:rsidRPr="006C390A" w:rsidRDefault="008607C6" w:rsidP="004C5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2F31" w14:textId="77777777" w:rsidR="00331853" w:rsidRDefault="00331853" w:rsidP="004C521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7973" w14:textId="1DEC55FB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III</w:t>
      </w:r>
    </w:p>
    <w:p w14:paraId="6A9703F2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</w:p>
    <w:p w14:paraId="200F69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4C95" w14:textId="785F96F6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3.1. —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constituire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CA785E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CA785E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din care:</w:t>
      </w:r>
    </w:p>
    <w:p w14:paraId="34A9B8A9" w14:textId="0F2D9C8B" w:rsidR="006C390A" w:rsidRPr="00CC289F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89F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="0086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84F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ap_num</w:t>
      </w:r>
      <w:proofErr w:type="spellEnd"/>
      <w:r w:rsidR="0086284F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E16FC9">
        <w:rPr>
          <w:rFonts w:ascii="Times New Roman" w:hAnsi="Times New Roman" w:cs="Times New Roman"/>
          <w:b/>
          <w:bCs/>
          <w:sz w:val="24"/>
          <w:szCs w:val="24"/>
        </w:rPr>
        <w:t>ei,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E1DFEA3" w14:textId="3B008AE2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fiind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împărțit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într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-un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FF1A8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parti_soc</w:t>
      </w:r>
      <w:proofErr w:type="spellEnd"/>
      <w:r w:rsidR="00FF1A8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254A61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5F0D78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val_nom</w:t>
      </w:r>
      <w:proofErr w:type="spellEnd"/>
      <w:r w:rsidR="00254A61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390A">
        <w:rPr>
          <w:rFonts w:ascii="Times New Roman" w:hAnsi="Times New Roman" w:cs="Times New Roman"/>
          <w:sz w:val="24"/>
          <w:szCs w:val="24"/>
        </w:rPr>
        <w:t xml:space="preserve"> Art. 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</w:t>
      </w:r>
      <w:r w:rsidR="003A4FEF">
        <w:rPr>
          <w:rFonts w:ascii="Times New Roman" w:hAnsi="Times New Roman" w:cs="Times New Roman"/>
          <w:sz w:val="24"/>
          <w:szCs w:val="24"/>
        </w:rPr>
        <w:t>t</w:t>
      </w:r>
      <w:r w:rsidR="00CC28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C2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89F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FBEABDA" w14:textId="61BF737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r w:rsidR="00D27904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as1_nume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 {{</w:t>
      </w:r>
      <w:r w:rsidR="00D27904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as1_prenume</w:t>
      </w:r>
      <w:r w:rsidR="009E7C10"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, </w:t>
      </w:r>
      <w:proofErr w:type="spellStart"/>
      <w:r w:rsidRPr="00FB4BE4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a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capitalul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social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subscris</w:t>
      </w:r>
      <w:proofErr w:type="spellEnd"/>
      <w:r w:rsidR="00BA79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din care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aport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numera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r</w:t>
      </w:r>
      <w:proofErr w:type="spellEnd"/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D27904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}}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reprezentând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număr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</w:t>
      </w:r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parti_soc</w:t>
      </w:r>
      <w:proofErr w:type="spellEnd"/>
      <w:r w:rsidR="004F31FB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}} </w:t>
      </w:r>
      <w:proofErr w:type="spellStart"/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p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ărți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, cu o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nominală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e </w:t>
      </w:r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val_nom</w:t>
      </w:r>
      <w:proofErr w:type="spellEnd"/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311C10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>ei/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socială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valoare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totală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de </w:t>
      </w:r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</w:t>
      </w:r>
      <w:proofErr w:type="spellStart"/>
      <w:r w:rsidR="00F921DD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cap_soc</w:t>
      </w:r>
      <w:proofErr w:type="spellEnd"/>
      <w:r w:rsidR="00E30A93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}}</w:t>
      </w:r>
      <w:r w:rsidR="00ED4501"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  <w:r w:rsidRPr="00813EF8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l</w:t>
      </w:r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ei,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beneficii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participare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C289F">
        <w:rPr>
          <w:rFonts w:ascii="Times New Roman" w:hAnsi="Times New Roman" w:cs="Times New Roman"/>
          <w:b/>
          <w:bCs/>
          <w:sz w:val="24"/>
          <w:szCs w:val="24"/>
        </w:rPr>
        <w:t>pierderi</w:t>
      </w:r>
      <w:proofErr w:type="spellEnd"/>
      <w:r w:rsidRPr="00CC289F">
        <w:rPr>
          <w:rFonts w:ascii="Times New Roman" w:hAnsi="Times New Roman" w:cs="Times New Roman"/>
          <w:b/>
          <w:bCs/>
          <w:sz w:val="24"/>
          <w:szCs w:val="24"/>
        </w:rPr>
        <w:t xml:space="preserve"> 100 %;</w:t>
      </w:r>
    </w:p>
    <w:p w14:paraId="20D38E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garantate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grevate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indivizibile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1863A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3.4.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5B483F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</w:t>
      </w:r>
    </w:p>
    <w:p w14:paraId="49387E4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afara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social.)</w:t>
      </w:r>
    </w:p>
    <w:p w14:paraId="11B39DCD" w14:textId="64A2BCC5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adoptată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</w:t>
      </w:r>
      <w:r w:rsidR="00BA7990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>IV-a.</w:t>
      </w:r>
    </w:p>
    <w:p w14:paraId="32B9817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1A86A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04DA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263BAE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5A970CB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succesori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ultimei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1F4B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DF9FB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F5358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90A">
        <w:rPr>
          <w:rFonts w:ascii="Times New Roman" w:hAnsi="Times New Roman" w:cs="Times New Roman"/>
          <w:b/>
          <w:bCs/>
          <w:sz w:val="24"/>
          <w:szCs w:val="24"/>
        </w:rPr>
        <w:t>CAPITOLUL IV</w:t>
      </w:r>
    </w:p>
    <w:p w14:paraId="7FBD3DC4" w14:textId="77777777" w:rsidR="006C390A" w:rsidRP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Drepturile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obligațiile</w:t>
      </w:r>
      <w:proofErr w:type="spellEnd"/>
      <w:r w:rsidRPr="006C39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E6018E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908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posesorilor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respectându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96F419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C32FA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5AC465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evidențelor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3B73AFA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6026AE8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7032DF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4.2.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virtutea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600829C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informeze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onest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3437ECE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atingere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6088D89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BD751BE" w14:textId="0969B17F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Art. 4.3. —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56C3084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57B301" w14:textId="77777777" w:rsidR="008607C6" w:rsidRPr="006C390A" w:rsidRDefault="008607C6" w:rsidP="00023F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8E17A3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</w:t>
      </w:r>
    </w:p>
    <w:p w14:paraId="102DA055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Conducerea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57307194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CA7B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organul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06B9C6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net;</w:t>
      </w:r>
    </w:p>
    <w:p w14:paraId="3B5B213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revoce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3215E4A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0CF14C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corespondență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15D8A98" w14:textId="517BC7D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neîntrunirii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zi,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="00412634">
        <w:rPr>
          <w:rFonts w:ascii="Times New Roman" w:hAnsi="Times New Roman" w:cs="Times New Roman"/>
          <w:sz w:val="24"/>
          <w:szCs w:val="24"/>
        </w:rPr>
        <w:t xml:space="preserve"> </w:t>
      </w:r>
      <w:r w:rsidRPr="006C390A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C9AC8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91A1E0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contravine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9FF0A1F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5.3. —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deliberările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F22ED4B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BA92C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EC6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432B5" w14:textId="2B8D26C2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F3B">
        <w:rPr>
          <w:rFonts w:ascii="Times New Roman" w:hAnsi="Times New Roman" w:cs="Times New Roman"/>
          <w:b/>
          <w:bCs/>
          <w:sz w:val="24"/>
          <w:szCs w:val="24"/>
        </w:rPr>
        <w:t>CAPITOLUL VI</w:t>
      </w:r>
    </w:p>
    <w:p w14:paraId="658A35B9" w14:textId="77777777" w:rsidR="006C390A" w:rsidRPr="00023F3B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023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3F3B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68E6BC64" w14:textId="77777777" w:rsidR="00023F3B" w:rsidRPr="006C390A" w:rsidRDefault="00023F3B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BF099" w14:textId="2CFEC04E" w:rsidR="006C390A" w:rsidRPr="00691961" w:rsidRDefault="006C390A" w:rsidP="00023F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6.1. —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se face de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către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asociatul</w:t>
      </w:r>
      <w:proofErr w:type="spellEnd"/>
      <w:r w:rsidRPr="00D00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03E6">
        <w:rPr>
          <w:rFonts w:ascii="Times New Roman" w:hAnsi="Times New Roman" w:cs="Times New Roman"/>
          <w:b/>
          <w:bCs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depline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r w:rsidRPr="006C4C53">
        <w:rPr>
          <w:rFonts w:ascii="Times New Roman" w:hAnsi="Times New Roman" w:cs="Times New Roman"/>
          <w:b/>
          <w:bCs/>
          <w:sz w:val="24"/>
          <w:szCs w:val="24"/>
        </w:rPr>
        <w:t xml:space="preserve">50 de ani de la </w:t>
      </w:r>
      <w:proofErr w:type="spellStart"/>
      <w:r w:rsidRPr="006C4C53">
        <w:rPr>
          <w:rFonts w:ascii="Times New Roman" w:hAnsi="Times New Roman" w:cs="Times New Roman"/>
          <w:b/>
          <w:bCs/>
          <w:sz w:val="24"/>
          <w:szCs w:val="24"/>
        </w:rPr>
        <w:t>numire</w:t>
      </w:r>
      <w:proofErr w:type="spellEnd"/>
      <w:r w:rsidRPr="006C4C53">
        <w:rPr>
          <w:rFonts w:ascii="Times New Roman" w:hAnsi="Times New Roman" w:cs="Times New Roman"/>
          <w:b/>
          <w:bCs/>
          <w:sz w:val="24"/>
          <w:szCs w:val="24"/>
        </w:rPr>
        <w:t>, din data d</w:t>
      </w:r>
      <w:r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e</w:t>
      </w:r>
      <w:r w:rsidRPr="00691961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="005C7837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{{</w:t>
      </w:r>
      <w:proofErr w:type="spellStart"/>
      <w:r w:rsidR="00691961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data_semn</w:t>
      </w:r>
      <w:proofErr w:type="spellEnd"/>
      <w:r w:rsidR="005C7837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}}</w:t>
      </w:r>
      <w:r w:rsidR="00447003" w:rsidRPr="00691961">
        <w:rPr>
          <w:rFonts w:ascii="Times New Roman" w:hAnsi="Times New Roman" w:cs="Times New Roman"/>
          <w:b/>
          <w:bCs/>
          <w:sz w:val="24"/>
          <w:szCs w:val="24"/>
          <w:highlight w:val="magenta"/>
          <w:lang w:val="ro-RO"/>
        </w:rPr>
        <w:t>.</w:t>
      </w:r>
    </w:p>
    <w:p w14:paraId="5089D0C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acceptarea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mandatului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D793417" w14:textId="0DE814A1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0DD0406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vărsămintelor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0942A3E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5C96A68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1A7EE86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exacta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generale;</w:t>
      </w:r>
    </w:p>
    <w:p w14:paraId="11A57D3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stricta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îndatoririlor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impun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4C1BF1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convoace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an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CC7E7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pătrime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arătând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convocări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B1D76E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6.4.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Legii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67283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1021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91DA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9EAD" w14:textId="7181DB0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</w:t>
      </w:r>
    </w:p>
    <w:p w14:paraId="38D8FD1C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Activitatea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357C4085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2DFB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ianuarie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31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an.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FDEA7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respectarea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Art. 7.3.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419AA6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7.4.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net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AC22D0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1.</w:t>
      </w:r>
      <w:r w:rsidRPr="006C390A">
        <w:rPr>
          <w:rFonts w:ascii="Times New Roman" w:hAnsi="Times New Roman" w:cs="Times New Roman"/>
          <w:sz w:val="24"/>
          <w:szCs w:val="24"/>
        </w:rPr>
        <w:tab/>
        <w:t>Cota-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dividend.</w:t>
      </w:r>
    </w:p>
    <w:p w14:paraId="5EE763C2" w14:textId="7107379B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2.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vărsat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Ele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plătesc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târziu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anuale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penalizatoare</w:t>
      </w:r>
      <w:proofErr w:type="spellEnd"/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calculată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normative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dobândă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6DEAE8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3.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dovedește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neregularitatea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împrejurările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cunoască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E2E34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4.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restituire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3 ani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0636F53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Dividendele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cesionarului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afară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56901B7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împarte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proporționale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hotărăsc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FB94EA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157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383B4" w14:textId="4BC5E5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VIII</w:t>
      </w:r>
    </w:p>
    <w:p w14:paraId="72904909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Controlul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activității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1F2B175F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EC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cenzorii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CD146B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supraveghea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concordanță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3927CCD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CA7F71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8.3.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exercițiu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contabilă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56DCCE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A7497" w14:textId="77777777" w:rsidR="00160C49" w:rsidRDefault="00160C49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DE50F" w14:textId="77777777" w:rsidR="008607C6" w:rsidRDefault="008607C6" w:rsidP="00626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7EA04" w14:textId="197B2836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IX</w:t>
      </w:r>
    </w:p>
    <w:p w14:paraId="4D297EBC" w14:textId="77777777" w:rsidR="006C390A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Excluderea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retragerea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asociaților</w:t>
      </w:r>
      <w:proofErr w:type="spellEnd"/>
    </w:p>
    <w:p w14:paraId="1042B949" w14:textId="77777777" w:rsidR="00023F3B" w:rsidRPr="00D97636" w:rsidRDefault="00023F3B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FBF9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79721F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care, pus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întârziere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care s-a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0BFF979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-administrator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fraudă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folosul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7683E6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pronunță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52F8DA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definitive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participării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C5A00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face:</w:t>
      </w:r>
    </w:p>
    <w:p w14:paraId="13C00DD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9E0EB1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80C2E2B" w14:textId="12CBD0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apelului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61B937" w14:textId="1D9474B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9.4.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definitivă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excludere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publica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</w:t>
      </w:r>
      <w:r w:rsidR="00D97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190B4BEC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51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06C56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46CA7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783" w14:textId="7F006A8C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</w:t>
      </w:r>
    </w:p>
    <w:p w14:paraId="16CBF112" w14:textId="7777777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Dizolvarea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lichidarea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4EF13BC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C094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10.1. — Au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7D2D288A" w14:textId="1DC315EA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stabilit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eventuala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la</w:t>
      </w:r>
      <w:r w:rsidR="006C4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conform art. 119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(3)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87926E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6AD6448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nulității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3910F73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generale;</w:t>
      </w:r>
    </w:p>
    <w:p w14:paraId="5AE8EE1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tribunalului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neînțelegerile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grave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3502E4E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B13ADF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cauze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D057382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decesului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sub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moștenitorii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defunctului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52D247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30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Monitorul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IV-a.</w:t>
      </w:r>
    </w:p>
    <w:p w14:paraId="0FDC7B5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87576F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10.4. —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întreprins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97148E7" w14:textId="1369B7B4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Interdicția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expirării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fixat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data la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A06B25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social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reguli:</w:t>
      </w:r>
    </w:p>
    <w:p w14:paraId="2DF4871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art. 233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1BF19CAE" w14:textId="29F3349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hotărârea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precum</w:t>
      </w:r>
      <w:r w:rsidR="0066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ulterior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conferite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F146D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cvorumul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lastRenderedPageBreak/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DBD246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hotărî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unanim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1F7AB53" w14:textId="34561563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rămase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are loc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radierii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certificat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constatator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E400631" w14:textId="4DA3A68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permanenți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emanând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478CE97" w14:textId="16CCC77E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10.7.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inventar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constate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="00E6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399A5D9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încredințat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7204F81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10.8.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43AE77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acționați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1737C20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511B615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vândă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licitație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imobilele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avere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mobiliară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bloc;</w:t>
      </w:r>
    </w:p>
    <w:p w14:paraId="2272BF98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272CF46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încaseze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debitorilor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chitanță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02A8C027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contracteze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cambiale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neipotecare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dispoziții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ipoteci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EE05C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întreprind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comerciale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răspunzători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solidar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20498D8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10.9.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li s-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cuveni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0C6EAD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10.10.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propriii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lor bani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acelea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aparțineau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plătiți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A2B93BE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contra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decurg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termen,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concurența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bunurilor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îndrepta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sumelor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datorate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aporturilor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capitalul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4CFB9DC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lastRenderedPageBreak/>
        <w:t xml:space="preserve">Art. 10.12.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 de la data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motive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temeinice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prelungi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un an,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01A24F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întocmească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propună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608A46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înaintează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49784E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nemulțumit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62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situației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63D2F71F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opoziției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separate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străini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F5F529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10.14.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termen de 15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ceară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Comerțului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Radierea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oficiu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6F0BED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stare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faliment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0CD59F8A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10.15.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aprobarea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socotelilor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vreunuia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desemnat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majoritate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A562069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Registrele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păstrate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5 ani.</w:t>
      </w:r>
    </w:p>
    <w:p w14:paraId="55264D96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10.16.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stingerii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pasivului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regularizare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creditorii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dizolvării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 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repartizarea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</w:t>
      </w:r>
    </w:p>
    <w:p w14:paraId="33D8508D" w14:textId="523B4475" w:rsidR="00331853" w:rsidRDefault="006C390A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</w:p>
    <w:p w14:paraId="3304174B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ADFC6" w14:textId="77777777" w:rsidR="008607C6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7C266" w14:textId="77777777" w:rsidR="008607C6" w:rsidRPr="00160C49" w:rsidRDefault="008607C6" w:rsidP="00160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06713" w14:textId="1AC933E3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636">
        <w:rPr>
          <w:rFonts w:ascii="Times New Roman" w:hAnsi="Times New Roman" w:cs="Times New Roman"/>
          <w:b/>
          <w:bCs/>
          <w:sz w:val="24"/>
          <w:szCs w:val="24"/>
        </w:rPr>
        <w:t>CAPITOLUL XI</w:t>
      </w:r>
    </w:p>
    <w:p w14:paraId="11BF0192" w14:textId="30061B17" w:rsidR="006C390A" w:rsidRPr="00D97636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Beneficiarii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reali</w:t>
      </w:r>
      <w:proofErr w:type="spellEnd"/>
      <w:r w:rsidRPr="00D97636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D97636">
        <w:rPr>
          <w:rFonts w:ascii="Times New Roman" w:hAnsi="Times New Roman" w:cs="Times New Roman"/>
          <w:b/>
          <w:bCs/>
          <w:sz w:val="24"/>
          <w:szCs w:val="24"/>
        </w:rPr>
        <w:t>societății</w:t>
      </w:r>
      <w:proofErr w:type="spellEnd"/>
    </w:p>
    <w:p w14:paraId="2BE127E2" w14:textId="77777777" w:rsidR="00D97636" w:rsidRPr="006C390A" w:rsidRDefault="00D9763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A8D13B" w14:textId="77777777" w:rsidR="00C655F4" w:rsidRDefault="006C390A" w:rsidP="00C655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magenta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56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beneficiarii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real(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) al/ai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/sunt</w:t>
      </w:r>
      <w:r w:rsidRPr="00716EF1">
        <w:rPr>
          <w:rFonts w:ascii="Times New Roman" w:hAnsi="Times New Roman" w:cs="Times New Roman"/>
          <w:sz w:val="24"/>
          <w:szCs w:val="24"/>
          <w:highlight w:val="magenta"/>
        </w:rPr>
        <w:t>:</w:t>
      </w:r>
      <w:r w:rsidR="00C655F4" w:rsidRPr="00716EF1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 xml:space="preserve"> </w:t>
      </w:r>
    </w:p>
    <w:p w14:paraId="40AAA739" w14:textId="05B263BC" w:rsidR="00C655F4" w:rsidRPr="00B728CB" w:rsidRDefault="00C655F4" w:rsidP="00C655F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404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{{as1_nume}} {{as1_prenume}},</w:t>
      </w:r>
      <w:r w:rsidRPr="00D509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>cet</w:t>
      </w:r>
      <w:r w:rsidRPr="001068B0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>ea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 {{as1_cetatean}},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Pr="001068B0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Pr="001068B0">
        <w:rPr>
          <w:rFonts w:ascii="Times New Roman" w:hAnsi="Times New Roman"/>
          <w:bCs/>
          <w:sz w:val="24"/>
          <w:szCs w:val="24"/>
          <w:lang w:val="ro-RO"/>
        </w:rPr>
        <w:t xml:space="preserve">scut la data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de {{as1_data_n}} în {{as1_loc_n}}, J</w:t>
      </w:r>
      <w:r>
        <w:rPr>
          <w:rFonts w:ascii="Times New Roman" w:hAnsi="Times New Roman"/>
          <w:bCs/>
          <w:sz w:val="24"/>
          <w:szCs w:val="24"/>
          <w:lang w:val="ro-RO"/>
        </w:rPr>
        <w:t>ud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. {{as1_jud_n}},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{{as1_tara_n}}, c</w:t>
      </w:r>
      <w:r>
        <w:rPr>
          <w:rFonts w:ascii="Times New Roman" w:hAnsi="Times New Roman"/>
          <w:bCs/>
          <w:sz w:val="24"/>
          <w:szCs w:val="24"/>
          <w:lang w:val="ro-RO"/>
        </w:rPr>
        <w:t>u domiciliul în localitate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{{as1_loc_dom}},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st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as1_str_dom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as1_nr_dom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b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l.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as1_bl_dom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s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c.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as1_sc_dom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e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t.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as1_et_dom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p.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as1_ap_dom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jud./secto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as1_jud_dom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</w:rPr>
        <w:t>as1_tara_dom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}}, i</w:t>
      </w:r>
      <w:r>
        <w:rPr>
          <w:rFonts w:ascii="Times New Roman" w:hAnsi="Times New Roman"/>
          <w:bCs/>
          <w:sz w:val="24"/>
          <w:szCs w:val="24"/>
          <w:lang w:val="ro-RO"/>
        </w:rPr>
        <w:t>dentificat cu CN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P 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as1_cnp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l 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{{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as1_tip_act</w:t>
      </w:r>
      <w:r>
        <w:rPr>
          <w:rFonts w:ascii="Times New Roman" w:hAnsi="Times New Roman"/>
          <w:bCs/>
          <w:sz w:val="24"/>
          <w:szCs w:val="24"/>
          <w:highlight w:val="magenta"/>
          <w:lang w:val="ro-RO"/>
        </w:rPr>
        <w:t>}}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 xml:space="preserve"> s</w:t>
      </w:r>
      <w:r>
        <w:rPr>
          <w:rFonts w:ascii="Times New Roman" w:hAnsi="Times New Roman"/>
          <w:bCs/>
          <w:sz w:val="24"/>
          <w:szCs w:val="24"/>
          <w:lang w:val="ro-RO"/>
        </w:rPr>
        <w:t>eri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a {{as1_serie_act}} n</w:t>
      </w:r>
      <w:r>
        <w:rPr>
          <w:rFonts w:ascii="Times New Roman" w:hAnsi="Times New Roman"/>
          <w:bCs/>
          <w:sz w:val="24"/>
          <w:szCs w:val="24"/>
          <w:lang w:val="ro-RO"/>
        </w:rPr>
        <w:t>umă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r {{as1_nr_act}} e</w:t>
      </w:r>
      <w:r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 {{as1_act_elib_d}}, l</w:t>
      </w:r>
      <w:r>
        <w:rPr>
          <w:rFonts w:ascii="Times New Roman" w:hAnsi="Times New Roman"/>
          <w:bCs/>
          <w:sz w:val="24"/>
          <w:szCs w:val="24"/>
          <w:lang w:val="ro-RO"/>
        </w:rPr>
        <w:t>a data d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e {{as1_data_elib}}, c</w:t>
      </w:r>
      <w:r>
        <w:rPr>
          <w:rFonts w:ascii="Times New Roman" w:hAnsi="Times New Roman"/>
          <w:bCs/>
          <w:sz w:val="24"/>
          <w:szCs w:val="24"/>
          <w:lang w:val="ro-RO"/>
        </w:rPr>
        <w:t>u valabilitate până î</w:t>
      </w:r>
      <w:r w:rsidRPr="00035670">
        <w:rPr>
          <w:rFonts w:ascii="Times New Roman" w:hAnsi="Times New Roman"/>
          <w:bCs/>
          <w:sz w:val="24"/>
          <w:szCs w:val="24"/>
          <w:highlight w:val="magenta"/>
          <w:lang w:val="ro-RO"/>
        </w:rPr>
        <w:t>n {{as1_data_exp}}.</w:t>
      </w:r>
    </w:p>
    <w:p w14:paraId="3F8AFDD4" w14:textId="6DDE0DAC" w:rsidR="00160C49" w:rsidRDefault="00160C49" w:rsidP="00C655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974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menționa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.):</w:t>
      </w:r>
    </w:p>
    <w:p w14:paraId="2CD6B613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>—</w:t>
      </w:r>
      <w:r w:rsidRPr="006C3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art. 4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(2) lit. a) pct. 1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 129/2019,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;</w:t>
      </w:r>
    </w:p>
    <w:p w14:paraId="4413C115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: in mod direct.</w:t>
      </w:r>
    </w:p>
    <w:p w14:paraId="44E315B9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88C88" w14:textId="77777777" w:rsidR="008607C6" w:rsidRPr="006C390A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852DF" w14:textId="77777777" w:rsidR="00331853" w:rsidRDefault="00331853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44E7" w14:textId="4DFEE808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</w:t>
      </w:r>
    </w:p>
    <w:p w14:paraId="68F144EE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Litigii</w:t>
      </w:r>
      <w:proofErr w:type="spellEnd"/>
    </w:p>
    <w:p w14:paraId="237F6655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D9BBB" w14:textId="77777777" w:rsidR="00EA1A04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competența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E57B3" w14:textId="4193C948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născute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contractele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încheiate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juridice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patrimoniale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asociați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soluționate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judecătorești</w:t>
      </w:r>
      <w:proofErr w:type="spellEnd"/>
    </w:p>
    <w:p w14:paraId="74A71D74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4A21EA8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12.3.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Litigiile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rezolvă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2D3BC7BC" w14:textId="77777777" w:rsidR="00F15D87" w:rsidRDefault="00F15D87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CD7CD" w14:textId="77777777" w:rsidR="008607C6" w:rsidRDefault="008607C6" w:rsidP="00160C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EC211" w14:textId="3A38B9C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0CA8">
        <w:rPr>
          <w:rFonts w:ascii="Times New Roman" w:hAnsi="Times New Roman" w:cs="Times New Roman"/>
          <w:b/>
          <w:bCs/>
          <w:sz w:val="24"/>
          <w:szCs w:val="24"/>
        </w:rPr>
        <w:t>CAPITOLUL XIII</w:t>
      </w:r>
    </w:p>
    <w:p w14:paraId="26D7C02C" w14:textId="77777777" w:rsidR="006C390A" w:rsidRPr="002E0CA8" w:rsidRDefault="006C390A" w:rsidP="00023F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A8">
        <w:rPr>
          <w:rFonts w:ascii="Times New Roman" w:hAnsi="Times New Roman" w:cs="Times New Roman"/>
          <w:b/>
          <w:bCs/>
          <w:sz w:val="24"/>
          <w:szCs w:val="24"/>
        </w:rPr>
        <w:t>Dispoziții</w:t>
      </w:r>
      <w:proofErr w:type="spellEnd"/>
      <w:r w:rsidRPr="002E0CA8">
        <w:rPr>
          <w:rFonts w:ascii="Times New Roman" w:hAnsi="Times New Roman" w:cs="Times New Roman"/>
          <w:b/>
          <w:bCs/>
          <w:sz w:val="24"/>
          <w:szCs w:val="24"/>
        </w:rPr>
        <w:t xml:space="preserve"> finale</w:t>
      </w:r>
    </w:p>
    <w:p w14:paraId="26701C84" w14:textId="77777777" w:rsidR="002E0CA8" w:rsidRPr="006C390A" w:rsidRDefault="002E0CA8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42217" w14:textId="21E42AA8" w:rsidR="006C390A" w:rsidRPr="0078446C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13.1.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716EF1">
        <w:rPr>
          <w:rFonts w:ascii="Times New Roman" w:hAnsi="Times New Roman" w:cs="Times New Roman"/>
          <w:sz w:val="24"/>
          <w:szCs w:val="24"/>
          <w:highlight w:val="magenta"/>
        </w:rPr>
        <w:t xml:space="preserve">, </w:t>
      </w:r>
      <w:r w:rsidR="005C7837" w:rsidRPr="00716EF1">
        <w:rPr>
          <w:rFonts w:ascii="Times New Roman" w:hAnsi="Times New Roman" w:cs="Times New Roman"/>
          <w:sz w:val="24"/>
          <w:szCs w:val="24"/>
          <w:highlight w:val="magenta"/>
          <w:lang w:val="ro-RO"/>
        </w:rPr>
        <w:t>{{</w:t>
      </w:r>
      <w:proofErr w:type="spellStart"/>
      <w:r w:rsidR="00716EF1" w:rsidRPr="00716EF1">
        <w:rPr>
          <w:rFonts w:ascii="Times New Roman" w:hAnsi="Times New Roman" w:cs="Times New Roman"/>
          <w:sz w:val="24"/>
          <w:szCs w:val="24"/>
          <w:highlight w:val="magenta"/>
        </w:rPr>
        <w:t>data_semn</w:t>
      </w:r>
      <w:proofErr w:type="spellEnd"/>
      <w:r w:rsidR="005C7837" w:rsidRPr="00716EF1">
        <w:rPr>
          <w:rFonts w:ascii="Times New Roman" w:hAnsi="Times New Roman" w:cs="Times New Roman"/>
          <w:sz w:val="24"/>
          <w:szCs w:val="24"/>
          <w:highlight w:val="magenta"/>
          <w:lang w:val="ro-RO"/>
        </w:rPr>
        <w:t>}}</w:t>
      </w:r>
      <w:r w:rsidRPr="00716EF1">
        <w:rPr>
          <w:rFonts w:ascii="Times New Roman" w:hAnsi="Times New Roman" w:cs="Times New Roman"/>
          <w:sz w:val="24"/>
          <w:szCs w:val="24"/>
          <w:highlight w:val="magenta"/>
        </w:rPr>
        <w:t>, data</w:t>
      </w:r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asociatul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59CC987B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13.2.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Fondatorul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răspunderea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prevăzute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de art. 6 din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19029581" w14:textId="77777777" w:rsidR="006C390A" w:rsidRP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90A">
        <w:rPr>
          <w:rFonts w:ascii="Times New Roman" w:hAnsi="Times New Roman" w:cs="Times New Roman"/>
          <w:sz w:val="24"/>
          <w:szCs w:val="24"/>
        </w:rPr>
        <w:t xml:space="preserve">Art. 13.3. —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actului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constitutiv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normele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, Legii</w:t>
      </w:r>
    </w:p>
    <w:p w14:paraId="132E4225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90A">
        <w:rPr>
          <w:rFonts w:ascii="Times New Roman" w:hAnsi="Times New Roman" w:cs="Times New Roman"/>
          <w:sz w:val="24"/>
          <w:szCs w:val="24"/>
        </w:rPr>
        <w:t>societăților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nr. 31/1990,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republicată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completările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legislației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civile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0A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6C390A">
        <w:rPr>
          <w:rFonts w:ascii="Times New Roman" w:hAnsi="Times New Roman" w:cs="Times New Roman"/>
          <w:sz w:val="24"/>
          <w:szCs w:val="24"/>
        </w:rPr>
        <w:t>.</w:t>
      </w:r>
    </w:p>
    <w:p w14:paraId="70AC3578" w14:textId="77777777" w:rsidR="006C390A" w:rsidRDefault="006C390A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77F38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78364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B3F83B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E49A5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0880B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75C62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C1CE1" w14:textId="77777777" w:rsidR="00706573" w:rsidRDefault="00706573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62606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7F8A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1A40F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573" w14:paraId="374804DC" w14:textId="77777777" w:rsidTr="00706573">
        <w:tc>
          <w:tcPr>
            <w:tcW w:w="4675" w:type="dxa"/>
          </w:tcPr>
          <w:p w14:paraId="02731526" w14:textId="0CA1A751" w:rsidR="00706573" w:rsidRDefault="00706573" w:rsidP="00023F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</w:t>
            </w:r>
            <w:r w:rsidRPr="0070657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a</w:t>
            </w:r>
          </w:p>
        </w:tc>
        <w:tc>
          <w:tcPr>
            <w:tcW w:w="4675" w:type="dxa"/>
          </w:tcPr>
          <w:p w14:paraId="13FEF6A0" w14:textId="401DDFED" w:rsidR="00706573" w:rsidRDefault="00706573" w:rsidP="007065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Semnătura</w:t>
            </w:r>
            <w:proofErr w:type="spellEnd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asociat</w:t>
            </w:r>
            <w:proofErr w:type="spellEnd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3F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</w:t>
            </w:r>
            <w:r w:rsidRPr="00E4118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c</w:t>
            </w:r>
            <w:proofErr w:type="spellEnd"/>
            <w:r w:rsidRPr="00E4118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magenta"/>
              </w:rPr>
              <w:t>,</w:t>
            </w:r>
          </w:p>
        </w:tc>
      </w:tr>
      <w:tr w:rsidR="00706573" w14:paraId="11308FCC" w14:textId="77777777" w:rsidTr="00706573">
        <w:tc>
          <w:tcPr>
            <w:tcW w:w="4675" w:type="dxa"/>
          </w:tcPr>
          <w:p w14:paraId="60EF4742" w14:textId="437316E8" w:rsidR="00706573" w:rsidRDefault="00706573" w:rsidP="00023F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  <w:lang w:val="ro-RO"/>
              </w:rPr>
              <w:t>{{</w:t>
            </w:r>
            <w:proofErr w:type="spellStart"/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data_semn</w:t>
            </w:r>
            <w:proofErr w:type="spellEnd"/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  <w:lang w:val="ro-RO"/>
              </w:rPr>
              <w:t>}}</w:t>
            </w:r>
            <w:r w:rsidRPr="00716E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,</w:t>
            </w:r>
          </w:p>
        </w:tc>
        <w:tc>
          <w:tcPr>
            <w:tcW w:w="4675" w:type="dxa"/>
          </w:tcPr>
          <w:p w14:paraId="568D98ED" w14:textId="09B087AD" w:rsidR="00706573" w:rsidRDefault="0078446C" w:rsidP="0070657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{{</w:t>
            </w:r>
            <w:r w:rsidR="00E41183" w:rsidRPr="00E4118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as1_nume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}}{{</w:t>
            </w:r>
            <w:r w:rsidR="00E41183" w:rsidRPr="00E4118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as1_prenume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}}</w:t>
            </w:r>
          </w:p>
        </w:tc>
      </w:tr>
    </w:tbl>
    <w:p w14:paraId="3F83E8ED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0D927E" w14:textId="77777777" w:rsidR="008607C6" w:rsidRDefault="008607C6" w:rsidP="00023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57C60" w14:textId="75D37E11" w:rsidR="00400925" w:rsidRPr="006C390A" w:rsidRDefault="00400925" w:rsidP="00404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00925" w:rsidRPr="006C39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540B3" w14:textId="77777777" w:rsidR="00734BE2" w:rsidRDefault="00734BE2" w:rsidP="00023F3B">
      <w:pPr>
        <w:spacing w:after="0" w:line="240" w:lineRule="auto"/>
      </w:pPr>
      <w:r>
        <w:separator/>
      </w:r>
    </w:p>
  </w:endnote>
  <w:endnote w:type="continuationSeparator" w:id="0">
    <w:p w14:paraId="336BB676" w14:textId="77777777" w:rsidR="00734BE2" w:rsidRDefault="00734BE2" w:rsidP="000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0684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6E78" w14:textId="3123439C" w:rsidR="00023F3B" w:rsidRDefault="00023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BCDFF" w14:textId="77777777" w:rsidR="00023F3B" w:rsidRDefault="0002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B6B16" w14:textId="77777777" w:rsidR="00734BE2" w:rsidRDefault="00734BE2" w:rsidP="00023F3B">
      <w:pPr>
        <w:spacing w:after="0" w:line="240" w:lineRule="auto"/>
      </w:pPr>
      <w:r>
        <w:separator/>
      </w:r>
    </w:p>
  </w:footnote>
  <w:footnote w:type="continuationSeparator" w:id="0">
    <w:p w14:paraId="3FFF8515" w14:textId="77777777" w:rsidR="00734BE2" w:rsidRDefault="00734BE2" w:rsidP="000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CBF"/>
    <w:multiLevelType w:val="hybridMultilevel"/>
    <w:tmpl w:val="5D2A6B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857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5"/>
    <w:rsid w:val="00020FAA"/>
    <w:rsid w:val="00023F3B"/>
    <w:rsid w:val="00031E1D"/>
    <w:rsid w:val="00035670"/>
    <w:rsid w:val="00036126"/>
    <w:rsid w:val="00045542"/>
    <w:rsid w:val="000641A0"/>
    <w:rsid w:val="00073ADA"/>
    <w:rsid w:val="000923A3"/>
    <w:rsid w:val="000E0F8D"/>
    <w:rsid w:val="000E4D50"/>
    <w:rsid w:val="000E7ED0"/>
    <w:rsid w:val="000F4A42"/>
    <w:rsid w:val="001226A1"/>
    <w:rsid w:val="001312D1"/>
    <w:rsid w:val="00160C49"/>
    <w:rsid w:val="00161DD7"/>
    <w:rsid w:val="00165598"/>
    <w:rsid w:val="001839D6"/>
    <w:rsid w:val="0018583E"/>
    <w:rsid w:val="001B507B"/>
    <w:rsid w:val="001C5D79"/>
    <w:rsid w:val="001D01D5"/>
    <w:rsid w:val="001E4610"/>
    <w:rsid w:val="001F60A4"/>
    <w:rsid w:val="001F6E5A"/>
    <w:rsid w:val="00201817"/>
    <w:rsid w:val="00203BD3"/>
    <w:rsid w:val="002101D8"/>
    <w:rsid w:val="002117A6"/>
    <w:rsid w:val="00216811"/>
    <w:rsid w:val="0021761F"/>
    <w:rsid w:val="00223CB4"/>
    <w:rsid w:val="00224893"/>
    <w:rsid w:val="00232055"/>
    <w:rsid w:val="00237FDF"/>
    <w:rsid w:val="00241BE7"/>
    <w:rsid w:val="002524F0"/>
    <w:rsid w:val="00254042"/>
    <w:rsid w:val="00254A61"/>
    <w:rsid w:val="00256583"/>
    <w:rsid w:val="00261A1B"/>
    <w:rsid w:val="00263B4A"/>
    <w:rsid w:val="0027011D"/>
    <w:rsid w:val="002703A5"/>
    <w:rsid w:val="002851DB"/>
    <w:rsid w:val="00286870"/>
    <w:rsid w:val="002A2007"/>
    <w:rsid w:val="002A29B0"/>
    <w:rsid w:val="002B439C"/>
    <w:rsid w:val="002D5676"/>
    <w:rsid w:val="002E0CA8"/>
    <w:rsid w:val="002E5AC4"/>
    <w:rsid w:val="002E6274"/>
    <w:rsid w:val="002E6C13"/>
    <w:rsid w:val="002F3AF4"/>
    <w:rsid w:val="00311C10"/>
    <w:rsid w:val="00323941"/>
    <w:rsid w:val="00323E86"/>
    <w:rsid w:val="00324A92"/>
    <w:rsid w:val="00331853"/>
    <w:rsid w:val="0034004F"/>
    <w:rsid w:val="00356F16"/>
    <w:rsid w:val="00364FDE"/>
    <w:rsid w:val="00371008"/>
    <w:rsid w:val="00374C26"/>
    <w:rsid w:val="003844CA"/>
    <w:rsid w:val="00396BB6"/>
    <w:rsid w:val="003A381D"/>
    <w:rsid w:val="003A4FEF"/>
    <w:rsid w:val="003B4FFA"/>
    <w:rsid w:val="003B56FD"/>
    <w:rsid w:val="003D6C32"/>
    <w:rsid w:val="003E1760"/>
    <w:rsid w:val="003E1949"/>
    <w:rsid w:val="003E61F7"/>
    <w:rsid w:val="003E6E70"/>
    <w:rsid w:val="003F660A"/>
    <w:rsid w:val="00400925"/>
    <w:rsid w:val="0040449E"/>
    <w:rsid w:val="00412634"/>
    <w:rsid w:val="00423D37"/>
    <w:rsid w:val="004267A5"/>
    <w:rsid w:val="00435817"/>
    <w:rsid w:val="00443E5C"/>
    <w:rsid w:val="00447003"/>
    <w:rsid w:val="00450562"/>
    <w:rsid w:val="00457A56"/>
    <w:rsid w:val="00457BCD"/>
    <w:rsid w:val="0047417F"/>
    <w:rsid w:val="00486FCF"/>
    <w:rsid w:val="00496530"/>
    <w:rsid w:val="004B65EA"/>
    <w:rsid w:val="004C35F9"/>
    <w:rsid w:val="004C37AB"/>
    <w:rsid w:val="004C521D"/>
    <w:rsid w:val="004C7D90"/>
    <w:rsid w:val="004D17F5"/>
    <w:rsid w:val="004D7285"/>
    <w:rsid w:val="004E216C"/>
    <w:rsid w:val="004F31FB"/>
    <w:rsid w:val="004F582C"/>
    <w:rsid w:val="005022ED"/>
    <w:rsid w:val="00502431"/>
    <w:rsid w:val="0051596D"/>
    <w:rsid w:val="00521531"/>
    <w:rsid w:val="00521D45"/>
    <w:rsid w:val="00522E4B"/>
    <w:rsid w:val="0053188F"/>
    <w:rsid w:val="005360C8"/>
    <w:rsid w:val="00580D52"/>
    <w:rsid w:val="00587459"/>
    <w:rsid w:val="005A17BA"/>
    <w:rsid w:val="005A2742"/>
    <w:rsid w:val="005B6507"/>
    <w:rsid w:val="005C45CF"/>
    <w:rsid w:val="005C4610"/>
    <w:rsid w:val="005C7837"/>
    <w:rsid w:val="005D286F"/>
    <w:rsid w:val="005F0D78"/>
    <w:rsid w:val="005F7052"/>
    <w:rsid w:val="00605CEB"/>
    <w:rsid w:val="00613050"/>
    <w:rsid w:val="0061683B"/>
    <w:rsid w:val="00623C14"/>
    <w:rsid w:val="0062614B"/>
    <w:rsid w:val="00642898"/>
    <w:rsid w:val="00645EF4"/>
    <w:rsid w:val="00655B5D"/>
    <w:rsid w:val="006623DC"/>
    <w:rsid w:val="00664A3D"/>
    <w:rsid w:val="00685884"/>
    <w:rsid w:val="00685E3E"/>
    <w:rsid w:val="00691961"/>
    <w:rsid w:val="006A289F"/>
    <w:rsid w:val="006A59DD"/>
    <w:rsid w:val="006B26B4"/>
    <w:rsid w:val="006B37D9"/>
    <w:rsid w:val="006B3BDE"/>
    <w:rsid w:val="006B48B5"/>
    <w:rsid w:val="006B59D8"/>
    <w:rsid w:val="006B78BE"/>
    <w:rsid w:val="006C2384"/>
    <w:rsid w:val="006C390A"/>
    <w:rsid w:val="006C4C53"/>
    <w:rsid w:val="006D1D92"/>
    <w:rsid w:val="006D206C"/>
    <w:rsid w:val="006E2468"/>
    <w:rsid w:val="006E2469"/>
    <w:rsid w:val="006E49AC"/>
    <w:rsid w:val="006E6E37"/>
    <w:rsid w:val="006E6F0E"/>
    <w:rsid w:val="006F75AC"/>
    <w:rsid w:val="0070056F"/>
    <w:rsid w:val="00706573"/>
    <w:rsid w:val="00716EF1"/>
    <w:rsid w:val="00731C63"/>
    <w:rsid w:val="00731F6B"/>
    <w:rsid w:val="00734BE2"/>
    <w:rsid w:val="00745278"/>
    <w:rsid w:val="007507CB"/>
    <w:rsid w:val="00765339"/>
    <w:rsid w:val="007763DA"/>
    <w:rsid w:val="0078446C"/>
    <w:rsid w:val="00786116"/>
    <w:rsid w:val="007861D5"/>
    <w:rsid w:val="007B64F0"/>
    <w:rsid w:val="007C3BBE"/>
    <w:rsid w:val="007C4CE3"/>
    <w:rsid w:val="007D2803"/>
    <w:rsid w:val="007D7A81"/>
    <w:rsid w:val="007E4B05"/>
    <w:rsid w:val="00800906"/>
    <w:rsid w:val="00813EF8"/>
    <w:rsid w:val="00831390"/>
    <w:rsid w:val="00835C7A"/>
    <w:rsid w:val="008607C6"/>
    <w:rsid w:val="0086284F"/>
    <w:rsid w:val="00864719"/>
    <w:rsid w:val="00865B5A"/>
    <w:rsid w:val="008706FE"/>
    <w:rsid w:val="008762A3"/>
    <w:rsid w:val="00876D18"/>
    <w:rsid w:val="00893AF8"/>
    <w:rsid w:val="008961E6"/>
    <w:rsid w:val="008A5EF5"/>
    <w:rsid w:val="008B1C0D"/>
    <w:rsid w:val="008C4AE7"/>
    <w:rsid w:val="008C56BE"/>
    <w:rsid w:val="008D434F"/>
    <w:rsid w:val="008E35E9"/>
    <w:rsid w:val="008F3D46"/>
    <w:rsid w:val="008F6A22"/>
    <w:rsid w:val="00900403"/>
    <w:rsid w:val="00910310"/>
    <w:rsid w:val="00920A15"/>
    <w:rsid w:val="00925C28"/>
    <w:rsid w:val="009267E3"/>
    <w:rsid w:val="009449B7"/>
    <w:rsid w:val="00945AFC"/>
    <w:rsid w:val="009479D9"/>
    <w:rsid w:val="009637F1"/>
    <w:rsid w:val="0097164C"/>
    <w:rsid w:val="00984833"/>
    <w:rsid w:val="009A1A3B"/>
    <w:rsid w:val="009B0CE2"/>
    <w:rsid w:val="009B25A8"/>
    <w:rsid w:val="009E7C10"/>
    <w:rsid w:val="00A020D3"/>
    <w:rsid w:val="00A17E86"/>
    <w:rsid w:val="00A22051"/>
    <w:rsid w:val="00A3305F"/>
    <w:rsid w:val="00A53956"/>
    <w:rsid w:val="00A65791"/>
    <w:rsid w:val="00A845D8"/>
    <w:rsid w:val="00A9046C"/>
    <w:rsid w:val="00A96B5D"/>
    <w:rsid w:val="00AA114A"/>
    <w:rsid w:val="00AA2653"/>
    <w:rsid w:val="00AC51C0"/>
    <w:rsid w:val="00AC58F6"/>
    <w:rsid w:val="00AC676D"/>
    <w:rsid w:val="00AE23F8"/>
    <w:rsid w:val="00AE5CBC"/>
    <w:rsid w:val="00AF5986"/>
    <w:rsid w:val="00B01127"/>
    <w:rsid w:val="00B301B2"/>
    <w:rsid w:val="00B601A3"/>
    <w:rsid w:val="00B728CB"/>
    <w:rsid w:val="00B77019"/>
    <w:rsid w:val="00B81AD9"/>
    <w:rsid w:val="00B84B74"/>
    <w:rsid w:val="00B93D29"/>
    <w:rsid w:val="00BA0C94"/>
    <w:rsid w:val="00BA4022"/>
    <w:rsid w:val="00BA7990"/>
    <w:rsid w:val="00BB57B7"/>
    <w:rsid w:val="00BD3206"/>
    <w:rsid w:val="00BF23B8"/>
    <w:rsid w:val="00BF38B8"/>
    <w:rsid w:val="00BF4069"/>
    <w:rsid w:val="00BF7A6D"/>
    <w:rsid w:val="00BF7FEF"/>
    <w:rsid w:val="00C11910"/>
    <w:rsid w:val="00C1586B"/>
    <w:rsid w:val="00C2431C"/>
    <w:rsid w:val="00C3198B"/>
    <w:rsid w:val="00C33961"/>
    <w:rsid w:val="00C43DCF"/>
    <w:rsid w:val="00C51D02"/>
    <w:rsid w:val="00C52DB9"/>
    <w:rsid w:val="00C538B2"/>
    <w:rsid w:val="00C57501"/>
    <w:rsid w:val="00C655F4"/>
    <w:rsid w:val="00C66462"/>
    <w:rsid w:val="00CA02E2"/>
    <w:rsid w:val="00CA785E"/>
    <w:rsid w:val="00CB6062"/>
    <w:rsid w:val="00CC289F"/>
    <w:rsid w:val="00CC79CE"/>
    <w:rsid w:val="00CD70E8"/>
    <w:rsid w:val="00CE2528"/>
    <w:rsid w:val="00CE2F33"/>
    <w:rsid w:val="00CE786F"/>
    <w:rsid w:val="00CE7CA5"/>
    <w:rsid w:val="00CF3882"/>
    <w:rsid w:val="00D002FF"/>
    <w:rsid w:val="00D003E6"/>
    <w:rsid w:val="00D055BF"/>
    <w:rsid w:val="00D056B7"/>
    <w:rsid w:val="00D05C84"/>
    <w:rsid w:val="00D07352"/>
    <w:rsid w:val="00D27904"/>
    <w:rsid w:val="00D47A4B"/>
    <w:rsid w:val="00D50989"/>
    <w:rsid w:val="00D52446"/>
    <w:rsid w:val="00D54BF6"/>
    <w:rsid w:val="00D950D2"/>
    <w:rsid w:val="00D95E1D"/>
    <w:rsid w:val="00D96BC9"/>
    <w:rsid w:val="00D97636"/>
    <w:rsid w:val="00DC30A5"/>
    <w:rsid w:val="00DC3FAA"/>
    <w:rsid w:val="00DC6287"/>
    <w:rsid w:val="00DD3B86"/>
    <w:rsid w:val="00E051F1"/>
    <w:rsid w:val="00E16FC9"/>
    <w:rsid w:val="00E26DE6"/>
    <w:rsid w:val="00E30A93"/>
    <w:rsid w:val="00E31385"/>
    <w:rsid w:val="00E409C4"/>
    <w:rsid w:val="00E41183"/>
    <w:rsid w:val="00E440C6"/>
    <w:rsid w:val="00E57867"/>
    <w:rsid w:val="00E61FBA"/>
    <w:rsid w:val="00E765EE"/>
    <w:rsid w:val="00E81EB2"/>
    <w:rsid w:val="00E95832"/>
    <w:rsid w:val="00EA1A04"/>
    <w:rsid w:val="00EC3F4E"/>
    <w:rsid w:val="00ED4501"/>
    <w:rsid w:val="00EE0A5C"/>
    <w:rsid w:val="00EF5FA6"/>
    <w:rsid w:val="00EF6F84"/>
    <w:rsid w:val="00F05F76"/>
    <w:rsid w:val="00F13C65"/>
    <w:rsid w:val="00F15D87"/>
    <w:rsid w:val="00F232D8"/>
    <w:rsid w:val="00F30FE5"/>
    <w:rsid w:val="00F37EAD"/>
    <w:rsid w:val="00F61CBD"/>
    <w:rsid w:val="00F63DFD"/>
    <w:rsid w:val="00F676BC"/>
    <w:rsid w:val="00F76D6F"/>
    <w:rsid w:val="00F80DD0"/>
    <w:rsid w:val="00F87A4B"/>
    <w:rsid w:val="00F921DD"/>
    <w:rsid w:val="00F9239B"/>
    <w:rsid w:val="00F963DC"/>
    <w:rsid w:val="00FB3F0F"/>
    <w:rsid w:val="00FB4BE4"/>
    <w:rsid w:val="00FE354D"/>
    <w:rsid w:val="00FF1A88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7AB"/>
  <w15:chartTrackingRefBased/>
  <w15:docId w15:val="{6D7BAE30-0372-4A1F-B587-4488649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B"/>
  </w:style>
  <w:style w:type="paragraph" w:styleId="Footer">
    <w:name w:val="footer"/>
    <w:basedOn w:val="Normal"/>
    <w:link w:val="FooterChar"/>
    <w:uiPriority w:val="99"/>
    <w:unhideWhenUsed/>
    <w:rsid w:val="0002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B"/>
  </w:style>
  <w:style w:type="paragraph" w:styleId="ListParagraph">
    <w:name w:val="List Paragraph"/>
    <w:basedOn w:val="Normal"/>
    <w:uiPriority w:val="34"/>
    <w:qFormat/>
    <w:rsid w:val="001E46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2E62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274"/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151C-ABD4-441E-BE47-F34F18A4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10</Pages>
  <Words>3692</Words>
  <Characters>21046</Characters>
  <Application>Microsoft Office Word</Application>
  <DocSecurity>0</DocSecurity>
  <Lines>175</Lines>
  <Paragraphs>49</Paragraphs>
  <ScaleCrop>false</ScaleCrop>
  <Company/>
  <LinksUpToDate>false</LinksUpToDate>
  <CharactersWithSpaces>24689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ANDREI</dc:creator>
  <cp:keywords/>
  <dc:description/>
  <cp:lastModifiedBy>Daniel Aldea</cp:lastModifiedBy>
  <cp:revision>318</cp:revision>
  <dcterms:created xsi:type="dcterms:W3CDTF">2023-03-23T05:53:00Z</dcterms:created>
  <dcterms:modified xsi:type="dcterms:W3CDTF">2024-10-12T18:42:00Z</dcterms:modified>
</cp:coreProperties>
</file>