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E3049"/>
          <w:sz w:val="56"/>
          <w:szCs w:val="56"/>
        </w:rPr>
        <w:t xml:space="preserve">TRADING SYSTEM</w:t>
      </w:r>
    </w:p>
    <w:p>
      <w:pPr>
        <w:spacing w:after="200"/>
        <w:jc w:val="center"/>
      </w:pPr>
      <w:r>
        <w:rPr>
          <w:rFonts w:ascii="Arial" w:cs="Arial" w:eastAsia="Arial" w:hAnsi="Arial"/>
          <w:b/>
          <w:bCs/>
          <w:color w:val="E8571F"/>
          <w:sz w:val="56"/>
          <w:szCs w:val="56"/>
        </w:rPr>
        <w:t xml:space="preserve">COMPOUNDED GROWTH</w:t>
      </w:r>
    </w:p>
    <w:p>
      <w:pPr>
        <w:spacing w:after="400"/>
        <w:jc w:val="center"/>
      </w:pPr>
      <w:r>
        <w:rPr>
          <w:rFonts w:ascii="Arial" w:cs="Arial" w:eastAsia="Arial" w:hAnsi="Arial"/>
          <w:b/>
          <w:bCs/>
          <w:color w:val="0E3049"/>
          <w:sz w:val="56"/>
          <w:szCs w:val="56"/>
        </w:rPr>
        <w:t xml:space="preserve">IMPLEMENTATION PLAN</w:t>
      </w:r>
    </w:p>
    <w:p>
      <w:pPr>
        <w:pBdr>
          <w:top w:val="single" w:color="E8571F" w:sz="6" w:space="12"/>
        </w:pBdr>
        <w:spacing w:after="120" w:before="400"/>
        <w:jc w:val="center"/>
      </w:pPr>
      <w:r>
        <w:rPr>
          <w:rFonts w:ascii="Arial" w:cs="Arial" w:eastAsia="Arial" w:hAnsi="Arial"/>
          <w:color w:val="2D3748"/>
          <w:sz w:val="26"/>
          <w:szCs w:val="26"/>
        </w:rPr>
        <w:t xml:space="preserve">Closing Variance Gaps for Sustained Geometric Growth</w:t>
      </w:r>
    </w:p>
    <w:p>
      <w:pPr>
        <w:spacing w:after="120"/>
        <w:jc w:val="center"/>
      </w:pPr>
      <w:r>
        <w:rPr>
          <w:rFonts w:ascii="Arial" w:cs="Arial" w:eastAsia="Arial" w:hAnsi="Arial"/>
          <w:color w:val="2D3748"/>
          <w:sz w:val="22"/>
          <w:szCs w:val="22"/>
        </w:rPr>
        <w:t xml:space="preserve">Gemini Capital Trading Operations</w:t>
      </w:r>
    </w:p>
    <w:p>
      <w:pPr>
        <w:spacing w:after="120"/>
        <w:jc w:val="center"/>
      </w:pPr>
      <w:r>
        <w:rPr>
          <w:rFonts w:ascii="Arial" w:cs="Arial" w:eastAsia="Arial" w:hAnsi="Arial"/>
          <w:color w:val="999999"/>
          <w:sz w:val="20"/>
          <w:szCs w:val="20"/>
        </w:rPr>
        <w:t xml:space="preserve">Prepared: March 31, 2026  |  Classification: CONFIDENTIAL</w:t>
      </w:r>
    </w:p>
    <w:p>
      <w:r>
        <w:br w:type="page"/>
      </w:r>
    </w:p>
    <w:p>
      <w:pPr>
        <w:pStyle w:val="Heading1"/>
      </w:pPr>
      <w:r>
        <w:t xml:space="preserve">Executive Summary</w:t>
      </w:r>
    </w:p>
    <w:p>
      <w:pPr>
        <w:spacing w:after="120"/>
      </w:pPr>
      <w:r>
        <w:rPr>
          <w:rFonts w:ascii="Arial" w:cs="Arial" w:eastAsia="Arial" w:hAnsi="Arial"/>
          <w:sz w:val="22"/>
          <w:szCs w:val="22"/>
        </w:rPr>
        <w:t xml:space="preserve">This implementation plan addresses five critical variances identified in the Gemini Capital trading system that are limiting compounded growth. Each variance represents a structural gap where value is leaking from the system, either through missed opportunities, suboptimal position sizing, undeployed capital, execution-layer disadvantages, or insufficient observability over autonomous trading agents.</w:t>
      </w:r>
    </w:p>
    <w:p>
      <w:pPr>
        <w:spacing w:after="120"/>
      </w:pPr>
      <w:r>
        <w:rPr>
          <w:rFonts w:ascii="Arial" w:cs="Arial" w:eastAsia="Arial" w:hAnsi="Arial"/>
          <w:sz w:val="22"/>
          <w:szCs w:val="22"/>
        </w:rPr>
        <w:t xml:space="preserve">The plan is structured in three phases over 16 weeks, prioritized by expected impact on geometric growth rate. Phase 1 targets the highest-leverage, lowest-infrastructure items (dynamic position sizing and idle capital deployment). Phase 2 builds the intelligence layer (settlement semantics monitoring and cross-platform arbitrage). Phase 3 hardens execution infrastructure and agent observability for long-term compounding resilience.</w:t>
      </w:r>
    </w:p>
    <w:p>
      <w:pPr>
        <w:spacing w:after="120"/>
      </w:pPr>
      <w:r>
        <w:rPr>
          <w:rFonts w:ascii="Arial" w:cs="Arial" w:eastAsia="Arial" w:hAnsi="Arial"/>
          <w:b/>
          <w:bCs/>
          <w:sz w:val="22"/>
          <w:szCs w:val="22"/>
        </w:rPr>
        <w:t xml:space="preserve">Target Outcome: </w:t>
      </w:r>
      <w:r>
        <w:rPr>
          <w:rFonts w:ascii="Arial" w:cs="Arial" w:eastAsia="Arial" w:hAnsi="Arial"/>
          <w:sz w:val="22"/>
          <w:szCs w:val="22"/>
        </w:rPr>
        <w:t xml:space="preserve">Close identified variance gaps to increase effective compound rate by 15-30 basis points per trading cycle while reducing max drawdown by 25-40%.</w:t>
      </w:r>
    </w:p>
    <w:p>
      <w:r>
        <w:br w:type="page"/>
      </w:r>
    </w:p>
    <w:p>
      <w:pPr>
        <w:pStyle w:val="Heading1"/>
      </w:pPr>
      <w:r>
        <w:t xml:space="preserve">Variance 1: Dynamic Position Sizing via Fractional Kelly</w:t>
      </w:r>
    </w:p>
    <w:p>
      <w:pPr>
        <w:pStyle w:val="Heading2"/>
      </w:pPr>
      <w:r>
        <w:t xml:space="preserve">Problem Statement</w:t>
      </w:r>
    </w:p>
    <w:p>
      <w:pPr>
        <w:spacing w:after="120"/>
      </w:pPr>
      <w:r>
        <w:rPr>
          <w:rFonts w:ascii="Arial" w:cs="Arial" w:eastAsia="Arial" w:hAnsi="Arial"/>
          <w:sz w:val="22"/>
          <w:szCs w:val="22"/>
        </w:rPr>
        <w:t xml:space="preserve">Static percentage-based position sizing fails to account for regime changes in volatility, producing two failure modes: oversizing during high-volatility regimes (compounding killer) and undersizing during low-volatility regimes (opportunity cost). Academic and practitioner research consistently shows that full Kelly sizing, while theoretically optimal for geometric growth, produces drawdowns that trigger behavioral exits. The system currently lacks volatility-adjusted, fractional Kelly position sizing.</w:t>
      </w:r>
    </w:p>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Edge Estimation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Build real-time win rate and payoff ratio tracker per strategy with rolling 30/60/90-day windows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Kelly Calculator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Kelly % = W - [(1-W)/R] with configurable fraction (default: Half Kelly)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2-3</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Regime Detector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ATR-based and Bollinger Band width regime classification (low/normal/high/extreme vol)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Scaler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Kelly fraction inversely with vol regime: 0.5x Kelly in extreme, 0.75x in high, 1.0x in normal, 1.25x in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Profit Threshold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Increase minimum edge required for execution during high-vol regimes (matching March 2026 flash crash pattern)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against 12 months of historical data, validate compound rate improvement and drawdown reduction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Shadow mode for 2 weeks, then live with manual override capability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5-7</w:t>
            </w:r>
          </w:p>
        </w:tc>
      </w:tr>
    </w:tbl>
    <w:p>
      <w:pPr>
        <w:pStyle w:val="Heading2"/>
      </w:pPr>
      <w:r>
        <w:t xml:space="preserve">Success Metrics</w:t>
      </w:r>
    </w:p>
    <w:p>
      <w:pPr>
        <w:pStyle w:val="ListParagraph"/>
        <w:numPr>
          <w:ilvl w:val="0"/>
          <w:numId w:val="2"/>
        </w:numPr>
        <w:spacing w:after="80"/>
      </w:pPr>
      <w:r>
        <w:rPr>
          <w:rFonts w:ascii="Arial" w:cs="Arial" w:eastAsia="Arial" w:hAnsi="Arial"/>
          <w:sz w:val="22"/>
          <w:szCs w:val="22"/>
        </w:rPr>
        <w:t xml:space="preserve">Max drawdown reduction of 25-40% vs. fixed percentage sizing</w:t>
      </w:r>
    </w:p>
    <w:p>
      <w:pPr>
        <w:pStyle w:val="ListParagraph"/>
        <w:numPr>
          <w:ilvl w:val="0"/>
          <w:numId w:val="2"/>
        </w:numPr>
        <w:spacing w:after="80"/>
      </w:pPr>
      <w:r>
        <w:rPr>
          <w:rFonts w:ascii="Arial" w:cs="Arial" w:eastAsia="Arial" w:hAnsi="Arial"/>
          <w:sz w:val="22"/>
          <w:szCs w:val="22"/>
        </w:rPr>
        <w:t xml:space="preserve">Geometric growth rate improvement of 10-20 bps per cycle</w:t>
      </w:r>
    </w:p>
    <w:p>
      <w:pPr>
        <w:pStyle w:val="ListParagraph"/>
        <w:numPr>
          <w:ilvl w:val="0"/>
          <w:numId w:val="2"/>
        </w:numPr>
        <w:spacing w:after="80"/>
      </w:pPr>
      <w:r>
        <w:rPr>
          <w:rFonts w:ascii="Arial" w:cs="Arial" w:eastAsia="Arial" w:hAnsi="Arial"/>
          <w:sz w:val="22"/>
          <w:szCs w:val="22"/>
        </w:rPr>
        <w:t xml:space="preserve">Zero position sizing breaches during high-vol regimes in shadow mode</w:t>
      </w:r>
    </w:p>
    <w:p>
      <w:r>
        <w:br w:type="page"/>
      </w:r>
    </w:p>
    <w:p>
      <w:pPr>
        <w:pStyle w:val="Heading1"/>
      </w:pPr>
      <w:r>
        <w:t xml:space="preserve">Variance 2: Idle Capital Yield Deployment</w:t>
      </w:r>
    </w:p>
    <w:p>
      <w:pPr>
        <w:pStyle w:val="Heading2"/>
      </w:pPr>
      <w:r>
        <w:t xml:space="preserve">Problem Statement</w:t>
      </w:r>
    </w:p>
    <w:p>
      <w:pPr>
        <w:spacing w:after="120"/>
      </w:pPr>
      <w:r>
        <w:rPr>
          <w:rFonts w:ascii="Arial" w:cs="Arial" w:eastAsia="Arial" w:hAnsi="Arial"/>
          <w:sz w:val="22"/>
          <w:szCs w:val="22"/>
        </w:rPr>
        <w:t xml:space="preserve">Trading systems typically maintain 60-80% of capital as idle margin at any given time. This undeployed capital earns zero return, creating a direct drag on compound growth rate. By deploying idle margin into low-risk DeFi yield strategies (stablecoin lending, liquidity provision in established pools), the system creates a dual-engine compounder: active trading profits plus passive yield on idle capital.</w:t>
      </w:r>
    </w:p>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Margin Calculator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calculation of required vs. available margin across all active positions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Yield Venue Eval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Aave, Compound, MakerDAO for USDC/USDT yield, scoring on: APY, withdrawal latency, smart contract risk, TVL stability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Allocation Engine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 excess margin to yield venues with configurable reserve ratio (default: 20% liquid 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withdrawal trigger when margin utilization exceeds 70%, with &lt;60s settlement 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4-6</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Risk Guardrails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Max 40% of idle capital in any single venue, smart contract audit requirements, protocol risk scoring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Risk Mgmt</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5-7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Yield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tracking APY earned, capital deployed, recall events, net contribution to compound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6-7</w:t>
            </w:r>
          </w:p>
        </w:tc>
      </w:tr>
    </w:tbl>
    <w:p>
      <w:pPr>
        <w:pStyle w:val="Heading2"/>
      </w:pPr>
      <w:r>
        <w:t xml:space="preserve">Success Metrics</w:t>
      </w:r>
    </w:p>
    <w:p>
      <w:pPr>
        <w:pStyle w:val="ListParagraph"/>
        <w:numPr>
          <w:ilvl w:val="0"/>
          <w:numId w:val="2"/>
        </w:numPr>
        <w:spacing w:after="80"/>
      </w:pPr>
      <w:r>
        <w:rPr>
          <w:rFonts w:ascii="Arial" w:cs="Arial" w:eastAsia="Arial" w:hAnsi="Arial"/>
          <w:sz w:val="22"/>
          <w:szCs w:val="22"/>
        </w:rPr>
        <w:t xml:space="preserve">Additional 3-8% APY on idle capital (currently earning 0%)</w:t>
      </w:r>
    </w:p>
    <w:p>
      <w:pPr>
        <w:pStyle w:val="ListParagraph"/>
        <w:numPr>
          <w:ilvl w:val="0"/>
          <w:numId w:val="2"/>
        </w:numPr>
        <w:spacing w:after="80"/>
      </w:pPr>
      <w:r>
        <w:rPr>
          <w:rFonts w:ascii="Arial" w:cs="Arial" w:eastAsia="Arial" w:hAnsi="Arial"/>
          <w:sz w:val="22"/>
          <w:szCs w:val="22"/>
        </w:rPr>
        <w:t xml:space="preserve">Margin recall latency under 60 seconds in 95th percentile</w:t>
      </w:r>
    </w:p>
    <w:p>
      <w:pPr>
        <w:pStyle w:val="ListParagraph"/>
        <w:numPr>
          <w:ilvl w:val="0"/>
          <w:numId w:val="2"/>
        </w:numPr>
        <w:spacing w:after="80"/>
      </w:pPr>
      <w:r>
        <w:rPr>
          <w:rFonts w:ascii="Arial" w:cs="Arial" w:eastAsia="Arial" w:hAnsi="Arial"/>
          <w:sz w:val="22"/>
          <w:szCs w:val="22"/>
        </w:rPr>
        <w:t xml:space="preserve">Zero trading opportunity missed due to capital lockup in yield venues</w:t>
      </w:r>
    </w:p>
    <w:p>
      <w:r>
        <w:br w:type="page"/>
      </w:r>
    </w:p>
    <w:p>
      <w:pPr>
        <w:pStyle w:val="Heading1"/>
      </w:pPr>
      <w:r>
        <w:t xml:space="preserve">Variance 3: Settlement Semantics Monitoring</w:t>
      </w:r>
    </w:p>
    <w:p>
      <w:pPr>
        <w:pStyle w:val="Heading2"/>
      </w:pPr>
      <w:r>
        <w:t xml:space="preserve">Problem Statement</w:t>
      </w:r>
    </w:p>
    <w:p>
      <w:pPr>
        <w:spacing w:after="120"/>
      </w:pPr>
      <w:r>
        <w:rPr>
          <w:rFonts w:ascii="Arial" w:cs="Arial" w:eastAsia="Arial" w:hAnsi="Arial"/>
          <w:sz w:val="22"/>
          <w:szCs w:val="22"/>
        </w:rPr>
        <w:t xml:space="preserve">Prediction markets across Polymarket, Kalshi, and emerging platforms resolve identical real-world events using different settlement criteria. Research documents persistent 2-4% price deviations across semantically equivalent markets. The system currently lacks the ability to parse resolution criteria differences, map them to event probability convergence timelines, and exploit the settlement arbitrage window.</w:t>
      </w:r>
    </w:p>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Resolution Parser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NLP-based parser to extract and classify resolution criteria from market descriptions across Polymarket, Kalshi, and Metaculus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ML Engineer</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Matcher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semantically equivalent markets across platforms with confidence scoring (exact match, partial overlap, different criteria)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6-8</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Price Feed Integrator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Unified price feed across platforms, normalized to common probability scale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5-7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Divergence Detector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when semantically equivalent markets diverge by &gt;1.5% with settlement timing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7-9</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Execution Router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Multi-platform order routing with platform-specific fee modeling (including Polymarket dynamic taker fees)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8-10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 Calendar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resolution timelines and trigger pre-settlement positioning 24-48 hours before expected resolution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9-10</w:t>
            </w:r>
          </w:p>
        </w:tc>
      </w:tr>
    </w:tbl>
    <w:p>
      <w:pPr>
        <w:pStyle w:val="Heading2"/>
      </w:pPr>
      <w:r>
        <w:t xml:space="preserve">Key Insight</w:t>
      </w:r>
    </w:p>
    <w:p>
      <w:pPr>
        <w:spacing w:after="120"/>
      </w:pPr>
      <w:r>
        <w:rPr>
          <w:rFonts w:ascii="Arial" w:cs="Arial" w:eastAsia="Arial" w:hAnsi="Arial"/>
          <w:sz w:val="22"/>
          <w:szCs w:val="22"/>
        </w:rPr>
        <w:t xml:space="preserve">The March 30, 2026 expansion of Polymarket dynamic fees across 8 market categories changes the fee landscape materially. The execution router must model these fees dynamically: taker fees peak at ~3.15% at 50/50 odds and decrease toward extremes. Settlement arbitrage is less affected than latency arbitrage because positions are held through resolution, not scalped on convergence.</w:t>
      </w:r>
    </w:p>
    <w:p>
      <w:pPr>
        <w:pStyle w:val="Heading2"/>
      </w:pPr>
      <w:r>
        <w:t xml:space="preserve">Success Metrics</w:t>
      </w:r>
    </w:p>
    <w:p>
      <w:pPr>
        <w:pStyle w:val="ListParagraph"/>
        <w:numPr>
          <w:ilvl w:val="0"/>
          <w:numId w:val="2"/>
        </w:numPr>
        <w:spacing w:after="80"/>
      </w:pPr>
      <w:r>
        <w:rPr>
          <w:rFonts w:ascii="Arial" w:cs="Arial" w:eastAsia="Arial" w:hAnsi="Arial"/>
          <w:sz w:val="22"/>
          <w:szCs w:val="22"/>
        </w:rPr>
        <w:t xml:space="preserve">Identify 15+ settlement arbitrage opportunities per month across platforms</w:t>
      </w:r>
    </w:p>
    <w:p>
      <w:pPr>
        <w:pStyle w:val="ListParagraph"/>
        <w:numPr>
          <w:ilvl w:val="0"/>
          <w:numId w:val="2"/>
        </w:numPr>
        <w:spacing w:after="80"/>
      </w:pPr>
      <w:r>
        <w:rPr>
          <w:rFonts w:ascii="Arial" w:cs="Arial" w:eastAsia="Arial" w:hAnsi="Arial"/>
          <w:sz w:val="22"/>
          <w:szCs w:val="22"/>
        </w:rPr>
        <w:t xml:space="preserve">Net profit per settlement arb trade of 1.5-3% after all fees</w:t>
      </w:r>
    </w:p>
    <w:p>
      <w:pPr>
        <w:pStyle w:val="ListParagraph"/>
        <w:numPr>
          <w:ilvl w:val="0"/>
          <w:numId w:val="2"/>
        </w:numPr>
        <w:spacing w:after="80"/>
      </w:pPr>
      <w:r>
        <w:rPr>
          <w:rFonts w:ascii="Arial" w:cs="Arial" w:eastAsia="Arial" w:hAnsi="Arial"/>
          <w:sz w:val="22"/>
          <w:szCs w:val="22"/>
        </w:rPr>
        <w:t xml:space="preserve">Resolution parser accuracy &gt;90% on backtested historical markets</w:t>
      </w:r>
    </w:p>
    <w:p>
      <w:r>
        <w:br w:type="page"/>
      </w:r>
    </w:p>
    <w:p>
      <w:pPr>
        <w:pStyle w:val="Heading1"/>
      </w:pPr>
      <w:r>
        <w:t xml:space="preserve">Variance 4: Execution-Layer Infrastructure</w:t>
      </w:r>
    </w:p>
    <w:p>
      <w:pPr>
        <w:pStyle w:val="Heading2"/>
      </w:pPr>
      <w:r>
        <w:t xml:space="preserve">Problem Statement</w:t>
      </w:r>
    </w:p>
    <w:p>
      <w:pPr>
        <w:spacing w:after="120"/>
      </w:pPr>
      <w:r>
        <w:rPr>
          <w:rFonts w:ascii="Arial" w:cs="Arial" w:eastAsia="Arial" w:hAnsi="Arial"/>
          <w:sz w:val="22"/>
          <w:szCs w:val="22"/>
        </w:rPr>
        <w:t xml:space="preserve">73% of arbitrage profits on Polymarket are captured by sub-100ms execution bots operating on dedicated Polygon RPC nodes. The remaining 27% is distributed across slower participants. Without dedicated RPC infrastructure, the system is structurally disadvantaged on execution speed for any time-sensitive opportunity. Additionally, 78% of arbitrage opportunities in low-volume markets fail due to execution inefficiency, primarily order book depth and slippage.</w:t>
      </w:r>
    </w:p>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Dedicated RPC</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 dedicated Polygon RPC node (Alchemy/QuickNode enterprise tier or self-hosted) with &lt;50ms latency to Polymarket contracts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DevOps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8-9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Rust-based order execution engine with pre-signed transactions and nonce management for &lt;100ms order-to-chain latency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8-11</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Slippage Model</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order book depth analysis with dynamic slippage estimation, abort execution when slippage exceeds edge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Quant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10-12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Multi-Chain Router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execution infrastructure to Kalshi API and future prediction market chains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11-13</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Latency Monitor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End-to-end latency monitoring: signal detection to order confirmation, with alerting on degradation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DevOps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12-13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Failover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Redundant RPC endpoints with automatic failover, health checking, and geographic distribution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13-14</w:t>
            </w:r>
          </w:p>
        </w:tc>
      </w:tr>
    </w:tbl>
    <w:p>
      <w:pPr>
        <w:pStyle w:val="Heading2"/>
      </w:pPr>
      <w:r>
        <w:t xml:space="preserve">Build vs. Buy Analysis</w:t>
      </w:r>
    </w:p>
    <w:p>
      <w:pPr>
        <w:spacing w:after="120"/>
      </w:pPr>
      <w:r>
        <w:rPr>
          <w:rFonts w:ascii="Arial" w:cs="Arial" w:eastAsia="Arial" w:hAnsi="Arial"/>
          <w:sz w:val="22"/>
          <w:szCs w:val="22"/>
        </w:rPr>
        <w:t xml:space="preserve">Self-hosted Polygon node: ~$200-400/month infrastructure cost, full control, lowest latency. Managed RPC (Alchemy Growth): ~$500-800/month, less operational overhead, slightly higher latency. Recommendation: Start with managed (Alchemy) for speed-to-market, migrate to self-hosted once execution volume justifies dedicated infrastructure.</w:t>
      </w:r>
    </w:p>
    <w:p>
      <w:pPr>
        <w:pStyle w:val="Heading2"/>
      </w:pPr>
      <w:r>
        <w:t xml:space="preserve">Success Metrics</w:t>
      </w:r>
    </w:p>
    <w:p>
      <w:pPr>
        <w:pStyle w:val="ListParagraph"/>
        <w:numPr>
          <w:ilvl w:val="0"/>
          <w:numId w:val="2"/>
        </w:numPr>
        <w:spacing w:after="80"/>
      </w:pPr>
      <w:r>
        <w:rPr>
          <w:rFonts w:ascii="Arial" w:cs="Arial" w:eastAsia="Arial" w:hAnsi="Arial"/>
          <w:sz w:val="22"/>
          <w:szCs w:val="22"/>
        </w:rPr>
        <w:t xml:space="preserve">Order-to-chain latency under 100ms at P95</w:t>
      </w:r>
    </w:p>
    <w:p>
      <w:pPr>
        <w:pStyle w:val="ListParagraph"/>
        <w:numPr>
          <w:ilvl w:val="0"/>
          <w:numId w:val="2"/>
        </w:numPr>
        <w:spacing w:after="80"/>
      </w:pPr>
      <w:r>
        <w:rPr>
          <w:rFonts w:ascii="Arial" w:cs="Arial" w:eastAsia="Arial" w:hAnsi="Arial"/>
          <w:sz w:val="22"/>
          <w:szCs w:val="22"/>
        </w:rPr>
        <w:t xml:space="preserve">Execution success rate &gt;85% on identified arbitrage opportunities</w:t>
      </w:r>
    </w:p>
    <w:p>
      <w:pPr>
        <w:pStyle w:val="ListParagraph"/>
        <w:numPr>
          <w:ilvl w:val="0"/>
          <w:numId w:val="2"/>
        </w:numPr>
        <w:spacing w:after="80"/>
      </w:pPr>
      <w:r>
        <w:rPr>
          <w:rFonts w:ascii="Arial" w:cs="Arial" w:eastAsia="Arial" w:hAnsi="Arial"/>
          <w:sz w:val="22"/>
          <w:szCs w:val="22"/>
        </w:rPr>
        <w:t xml:space="preserve">Zero missed opportunities due to RPC endpoint failures</w:t>
      </w:r>
    </w:p>
    <w:p>
      <w:r>
        <w:br w:type="page"/>
      </w:r>
    </w:p>
    <w:p>
      <w:pPr>
        <w:pStyle w:val="Heading1"/>
      </w:pPr>
      <w:r>
        <w:t xml:space="preserve">Variance 5: Agent-Level Observability</w:t>
      </w:r>
    </w:p>
    <w:p>
      <w:pPr>
        <w:pStyle w:val="Heading2"/>
      </w:pPr>
      <w:r>
        <w:t xml:space="preserve">Problem Statement</w:t>
      </w:r>
    </w:p>
    <w:p>
      <w:pPr>
        <w:spacing w:after="120"/>
      </w:pPr>
      <w:r>
        <w:rPr>
          <w:rFonts w:ascii="Arial" w:cs="Arial" w:eastAsia="Arial" w:hAnsi="Arial"/>
          <w:sz w:val="22"/>
          <w:szCs w:val="22"/>
        </w:rPr>
        <w:t xml:space="preserve">As the trading system moves toward autonomous agent execution (and the broader market shifts to prediction market agents as a product category in 2026), the gap between what agents do and what operators can observe becomes a critical risk vector. Without deterministic observability over agent decision-making, position-taking, and risk exposure, the system is one rogue agent behavior away from a catastrophic drawdown. This is also a direct product validation opportunity for Armorstack.</w:t>
      </w:r>
    </w:p>
    <w:p>
      <w:pPr>
        <w:pStyle w:val="Heading2"/>
      </w:pPr>
      <w:r>
        <w:t xml:space="preserve">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 Logger</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Structured logging of every agent decision: signal detected, confidence score, position size calculated, order placed, fill received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10-12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Envelope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risk boundaries that agents cannot override: max position size, max daily loss, max correlation exposure, max single-market concentration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Mgmt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10-11</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Dashboard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Live view of all agent positions, P&amp;L, risk utilization, decision rationale, with anomaly highlighting</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Frontend</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12-14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Anomaly Detector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ML-based anomaly detection on agent behavior patterns: unusual trade frequency, position size deviation, strategy drift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Kill Switch</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Instant agent halt capability with position flattening, triggerable via dashboard or automated anomaly threshold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Systems Dev</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Week 14-15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audit log of all agent actions for post-incident analysis and regulatory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14-16</w:t>
            </w:r>
          </w:p>
        </w:tc>
      </w:tr>
    </w:tbl>
    <w:p>
      <w:pPr>
        <w:pStyle w:val="Heading2"/>
      </w:pPr>
      <w:r>
        <w:t xml:space="preserve">Armorstack Product Implication</w:t>
      </w:r>
    </w:p>
    <w:p>
      <w:pPr>
        <w:spacing w:after="120"/>
      </w:pPr>
      <w:r>
        <w:rPr>
          <w:rFonts w:ascii="Arial" w:cs="Arial" w:eastAsia="Arial" w:hAnsi="Arial"/>
          <w:sz w:val="22"/>
          <w:szCs w:val="22"/>
        </w:rPr>
        <w:t xml:space="preserve">This workstream serves dual purpose: (1) protect Gemini Capital trading operations, and (2) validate the Armorstack observability thesis in a live, high-stakes environment. Every component built here is a potential product feature for Armorstack enterprise customers deploying autonomous AI agents. The decision logger, risk envelope, anomaly detector, and kill switch map directly to the AI observability layer that enterprise customers need.</w:t>
      </w:r>
    </w:p>
    <w:p>
      <w:pPr>
        <w:pStyle w:val="Heading2"/>
      </w:pPr>
      <w:r>
        <w:t xml:space="preserve">Success Metrics</w:t>
      </w:r>
    </w:p>
    <w:p>
      <w:pPr>
        <w:pStyle w:val="ListParagraph"/>
        <w:numPr>
          <w:ilvl w:val="0"/>
          <w:numId w:val="2"/>
        </w:numPr>
        <w:spacing w:after="80"/>
      </w:pPr>
      <w:r>
        <w:rPr>
          <w:rFonts w:ascii="Arial" w:cs="Arial" w:eastAsia="Arial" w:hAnsi="Arial"/>
          <w:sz w:val="22"/>
          <w:szCs w:val="22"/>
        </w:rPr>
        <w:t xml:space="preserve">100% of agent decisions logged with full decision context within 5ms</w:t>
      </w:r>
    </w:p>
    <w:p>
      <w:pPr>
        <w:pStyle w:val="ListParagraph"/>
        <w:numPr>
          <w:ilvl w:val="0"/>
          <w:numId w:val="2"/>
        </w:numPr>
        <w:spacing w:after="80"/>
      </w:pPr>
      <w:r>
        <w:rPr>
          <w:rFonts w:ascii="Arial" w:cs="Arial" w:eastAsia="Arial" w:hAnsi="Arial"/>
          <w:sz w:val="22"/>
          <w:szCs w:val="22"/>
        </w:rPr>
        <w:t xml:space="preserve">Anomaly detection latency under 500ms from behavior deviation to alert</w:t>
      </w:r>
    </w:p>
    <w:p>
      <w:pPr>
        <w:pStyle w:val="ListParagraph"/>
        <w:numPr>
          <w:ilvl w:val="0"/>
          <w:numId w:val="2"/>
        </w:numPr>
        <w:spacing w:after="80"/>
      </w:pPr>
      <w:r>
        <w:rPr>
          <w:rFonts w:ascii="Arial" w:cs="Arial" w:eastAsia="Arial" w:hAnsi="Arial"/>
          <w:sz w:val="22"/>
          <w:szCs w:val="22"/>
        </w:rPr>
        <w:t xml:space="preserve">Kill switch execution: signal to flat positions in under 10 seconds</w:t>
      </w:r>
    </w:p>
    <w:p>
      <w:r>
        <w:br w:type="page"/>
      </w:r>
    </w:p>
    <w:p>
      <w:pPr>
        <w:pStyle w:val="Heading1"/>
      </w:pPr>
      <w:r>
        <w:t xml:space="preserve">Phase Summary and Timeline</w:t>
      </w:r>
    </w:p>
    <w:p>
      <w:pPr>
        <w:pStyle w:val="Heading2"/>
      </w:pPr>
      <w:r>
        <w:t xml:space="preserve">Phase 1: Foundation (Weeks 1-7)</w:t>
      </w:r>
    </w:p>
    <w:p>
      <w:pPr>
        <w:spacing w:after="120"/>
      </w:pPr>
      <w:r>
        <w:rPr>
          <w:rFonts w:ascii="Arial" w:cs="Arial" w:eastAsia="Arial" w:hAnsi="Arial"/>
          <w:sz w:val="22"/>
          <w:szCs w:val="22"/>
        </w:rPr>
        <w:t xml:space="preserve">Focus: Highest-leverage, lowest-infrastructure changes. Dynamic position sizing and idle capital deployment require no new external infrastructure and directly improve compound rate. Expected impact: 10-20 bps per cycle improvement in geometric growth, 25-40% drawdown reduction.</w:t>
      </w:r>
    </w:p>
    <w:p>
      <w:pPr>
        <w:pStyle w:val="Heading2"/>
      </w:pPr>
      <w:r>
        <w:t xml:space="preserve">Phase 2: Intelligence Layer (Weeks 4-13)</w:t>
      </w:r>
    </w:p>
    <w:p>
      <w:pPr>
        <w:spacing w:after="120"/>
      </w:pPr>
      <w:r>
        <w:rPr>
          <w:rFonts w:ascii="Arial" w:cs="Arial" w:eastAsia="Arial" w:hAnsi="Arial"/>
          <w:sz w:val="22"/>
          <w:szCs w:val="22"/>
        </w:rPr>
        <w:t xml:space="preserve">Focus: Settlement semantics monitoring and execution infrastructure. Overlaps with Phase 1 on research and parsing components. Requires ML engineering capacity for resolution parser and semantic matcher. Expected impact: 15+ new arbitrage opportunities per month with 1.5-3% net per trade.</w:t>
      </w:r>
    </w:p>
    <w:p>
      <w:pPr>
        <w:pStyle w:val="Heading2"/>
      </w:pPr>
      <w:r>
        <w:t xml:space="preserve">Phase 3: Hardening (Weeks 10-16)</w:t>
      </w:r>
    </w:p>
    <w:p>
      <w:pPr>
        <w:spacing w:after="120"/>
      </w:pPr>
      <w:r>
        <w:rPr>
          <w:rFonts w:ascii="Arial" w:cs="Arial" w:eastAsia="Arial" w:hAnsi="Arial"/>
          <w:sz w:val="22"/>
          <w:szCs w:val="22"/>
        </w:rPr>
        <w:t xml:space="preserve">Focus: Agent observability and execution resilience. Critical for sustaining compounded growth at scale. Without this phase, the system is fragile to agent misbehavior and infrastructure failure. Expected impact: Prevent catastrophic drawdown events that would reset compound growth.</w:t>
      </w:r>
    </w:p>
    <w:p>
      <w:r>
        <w:br w:type="page"/>
      </w:r>
    </w:p>
    <w:p>
      <w:pPr>
        <w:pStyle w:val="Heading1"/>
      </w:pPr>
      <w: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3000"/>
      </w:tblGrid>
      <w:tr>
        <w:tc>
          <w:tcPr>
            <w:tcW w:type="dxa" w:w="24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6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 protocol exploit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Idle capital loss in yield venue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 max per venue, protocol risk scoring, insurance where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Polymarket fee expansion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Arbitrage margins compressed further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 arb less affected; model fees dynamically; diversify to Kalshi</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Oracle upgrade by Polymarket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Latency edge eliminated entirely</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Settlement arb is oracle-independent; shift focus from latency to information edge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action on prediction markets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access disrupted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strategy; monitor CFTC and state-level regulatory signals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Agent rogue behavior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Uncontrolled drawdown from autonomous execution</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Phase 3 kill switch and risk envelopes are mitigation; deploy early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person dependency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developer owns critical 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requirements, pair programming, code review mandates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Estimation error in Kelly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Oversizing due to overestimated edge</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Default to Quarter Kelly; floor at never exceeding 2% of capital per trade</w:t>
            </w:r>
          </w:p>
        </w:tc>
      </w:tr>
    </w:tbl>
    <w:p>
      <w:r>
        <w:br w:type="page"/>
      </w:r>
    </w:p>
    <w:p>
      <w:pPr>
        <w:pStyle w:val="Heading1"/>
      </w:pPr>
      <w:r>
        <w:t xml:space="preserve">Resource Requirements</w:t>
      </w:r>
    </w:p>
    <w:p>
      <w:pPr>
        <w:pStyle w:val="Heading2"/>
      </w:pPr>
      <w:r>
        <w:t xml:space="preserve">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Skills Required</w:t>
            </w:r>
          </w:p>
        </w:tc>
        <w:tc>
          <w:tcPr>
            <w:tcW w:type="dxa" w:w="218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Phases</w:t>
            </w:r>
          </w:p>
        </w:tc>
        <w:tc>
          <w:tcPr>
            <w:tcW w:type="dxa" w:w="218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FTE Estimate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Quantitative Developer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Kelly criterion, volatility modeling, Python/Rust</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1, 2, 3</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FTE (16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Engineer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semantic matching, anomaly detection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2, 3</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 FTE (12 weeks)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Backend Developer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DeFi integrations, multi-chain, order routing</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1, 2, 3</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FTE (16 weeks)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Developer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low-latency execution, infrastructure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2, 3</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FTE (8 weeks)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DevOps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Polygon nodes, monitoring, failover</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2, 3</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0.5 FTE (7 weeks)</w:t>
            </w:r>
          </w:p>
        </w:tc>
      </w:tr>
    </w:tbl>
    <w:p>
      <w:pPr>
        <w:pStyle w:val="Heading2"/>
      </w:pPr>
      <w:r>
        <w:t xml:space="preserve">Infrastructure Costs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0E3049"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Managed RPC (Alchemy Growth)</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$500 - $800/month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compute (execution engine, monitoring)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 $500/month</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feeds (TradingView, CryptoQuant)</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$200 - $400/month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and alerting (Datadog/Grafana)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$200/month</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Monthly Infrastructure</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$1,100 - $1,900/month</w:t>
            </w:r>
          </w:p>
        </w:tc>
      </w:tr>
    </w:tbl>
    <w:p>
      <w:r>
        <w:br w:type="page"/>
      </w:r>
    </w:p>
    <w:p>
      <w:pPr>
        <w:pStyle w:val="Heading1"/>
      </w:pPr>
      <w:r>
        <w:t xml:space="preserve">Immediate Next Steps</w:t>
      </w:r>
    </w:p>
    <w:p>
      <w:pPr>
        <w:pStyle w:val="ListParagraph"/>
        <w:numPr>
          <w:ilvl w:val="0"/>
          <w:numId w:val="3"/>
        </w:numPr>
        <w:spacing w:after="100"/>
      </w:pPr>
      <w:r>
        <w:rPr>
          <w:rFonts w:ascii="Arial" w:cs="Arial" w:eastAsia="Arial" w:hAnsi="Arial"/>
          <w:b/>
          <w:bCs/>
          <w:sz w:val="22"/>
          <w:szCs w:val="22"/>
        </w:rPr>
        <w:t xml:space="preserve">Week 1 Kickoff: </w:t>
      </w:r>
      <w:r>
        <w:rPr>
          <w:rFonts w:ascii="Arial" w:cs="Arial" w:eastAsia="Arial" w:hAnsi="Arial"/>
          <w:sz w:val="22"/>
          <w:szCs w:val="22"/>
        </w:rPr>
        <w:t xml:space="preserve">Begin Variance 1 (Dynamic Position Sizing) with edge estimation module and historical data audit.</w:t>
      </w:r>
    </w:p>
    <w:p>
      <w:pPr>
        <w:pStyle w:val="ListParagraph"/>
        <w:numPr>
          <w:ilvl w:val="0"/>
          <w:numId w:val="3"/>
        </w:numPr>
        <w:spacing w:after="100"/>
      </w:pPr>
      <w:r>
        <w:rPr>
          <w:rFonts w:ascii="Arial" w:cs="Arial" w:eastAsia="Arial" w:hAnsi="Arial"/>
          <w:b/>
          <w:bCs/>
          <w:sz w:val="22"/>
          <w:szCs w:val="22"/>
        </w:rPr>
        <w:t xml:space="preserve">Week 1 Parallel: </w:t>
      </w:r>
      <w:r>
        <w:rPr>
          <w:rFonts w:ascii="Arial" w:cs="Arial" w:eastAsia="Arial" w:hAnsi="Arial"/>
          <w:sz w:val="22"/>
          <w:szCs w:val="22"/>
        </w:rPr>
        <w:t xml:space="preserve">Start Variance 2 (Idle Capital) with margin calculator and DeFi yield venue evaluation.</w:t>
      </w:r>
    </w:p>
    <w:p>
      <w:pPr>
        <w:pStyle w:val="ListParagraph"/>
        <w:numPr>
          <w:ilvl w:val="0"/>
          <w:numId w:val="3"/>
        </w:numPr>
        <w:spacing w:after="100"/>
      </w:pPr>
      <w:r>
        <w:rPr>
          <w:rFonts w:ascii="Arial" w:cs="Arial" w:eastAsia="Arial" w:hAnsi="Arial"/>
          <w:b/>
          <w:bCs/>
          <w:sz w:val="22"/>
          <w:szCs w:val="22"/>
        </w:rPr>
        <w:t xml:space="preserve">Week 2 Decision: </w:t>
      </w:r>
      <w:r>
        <w:rPr>
          <w:rFonts w:ascii="Arial" w:cs="Arial" w:eastAsia="Arial" w:hAnsi="Arial"/>
          <w:sz w:val="22"/>
          <w:szCs w:val="22"/>
        </w:rPr>
        <w:t xml:space="preserve">Finalize Kelly fraction default (Half vs. Quarter) based on backtest results from initial edge estimation.</w:t>
      </w:r>
    </w:p>
    <w:p>
      <w:pPr>
        <w:pStyle w:val="ListParagraph"/>
        <w:numPr>
          <w:ilvl w:val="0"/>
          <w:numId w:val="3"/>
        </w:numPr>
        <w:spacing w:after="100"/>
      </w:pPr>
      <w:r>
        <w:rPr>
          <w:rFonts w:ascii="Arial" w:cs="Arial" w:eastAsia="Arial" w:hAnsi="Arial"/>
          <w:b/>
          <w:bCs/>
          <w:sz w:val="22"/>
          <w:szCs w:val="22"/>
        </w:rPr>
        <w:t xml:space="preserve">Week 4 Checkpoint: </w:t>
      </w:r>
      <w:r>
        <w:rPr>
          <w:rFonts w:ascii="Arial" w:cs="Arial" w:eastAsia="Arial" w:hAnsi="Arial"/>
          <w:sz w:val="22"/>
          <w:szCs w:val="22"/>
        </w:rPr>
        <w:t xml:space="preserve">Phase 1 components in shadow mode. Green-light Phase 2 resource allocation based on shadow mode results.</w:t>
      </w:r>
    </w:p>
    <w:p>
      <w:pPr>
        <w:pStyle w:val="ListParagraph"/>
        <w:numPr>
          <w:ilvl w:val="0"/>
          <w:numId w:val="3"/>
        </w:numPr>
        <w:spacing w:after="100"/>
      </w:pPr>
      <w:r>
        <w:rPr>
          <w:rFonts w:ascii="Arial" w:cs="Arial" w:eastAsia="Arial" w:hAnsi="Arial"/>
          <w:b/>
          <w:bCs/>
          <w:sz w:val="22"/>
          <w:szCs w:val="22"/>
        </w:rPr>
        <w:t xml:space="preserve">Ongoing: </w:t>
      </w:r>
      <w:r>
        <w:rPr>
          <w:rFonts w:ascii="Arial" w:cs="Arial" w:eastAsia="Arial" w:hAnsi="Arial"/>
          <w:sz w:val="22"/>
          <w:szCs w:val="22"/>
        </w:rPr>
        <w:t xml:space="preserve">Document all learnings for Armorstack product roadmap (Variance 5 observability components are directly transferable).</w:t>
      </w:r>
    </w:p>
    <w:p>
      <w:pPr>
        <w:spacing w:before="600"/>
      </w:pPr>
    </w:p>
    <w:p>
      <w:pPr>
        <w:pBdr>
          <w:top w:val="single" w:color="E8571F" w:sz="4" w:space="12"/>
        </w:pBdr>
        <w:spacing w:before="200"/>
        <w:jc w:val="center"/>
      </w:pPr>
      <w:r>
        <w:rPr>
          <w:rFonts w:ascii="Arial" w:cs="Arial" w:eastAsia="Arial" w:hAnsi="Arial"/>
          <w:i/>
          <w:iCs/>
          <w:color w:val="999999"/>
          <w:sz w:val="20"/>
          <w:szCs w:val="20"/>
        </w:rPr>
        <w:t xml:space="preserve">End of Implementation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GEMINI CAPITAL  |  TRADING SYSTEM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571F" w:sz="4" w:space="8"/>
      </w:pBdr>
      <w:spacing w:after="200" w:before="360"/>
      <w:outlineLvl w:val="0"/>
    </w:pPr>
    <w:rPr>
      <w:rFonts w:ascii="Arial" w:cs="Arial" w:eastAsia="Arial" w:hAnsi="Arial"/>
      <w:b/>
      <w:bCs/>
      <w:color w:val="0E304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374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2026-03-31T23:46:27.039Z</dcterms:created>
  <dcterms:modified xsi:type="dcterms:W3CDTF">2026-03-31T23:46:27.039Z</dcterms:modified>
</cp:coreProperties>
</file>

<file path=docProps/custom.xml><?xml version="1.0" encoding="utf-8"?>
<Properties xmlns="http://schemas.openxmlformats.org/officeDocument/2006/custom-properties" xmlns:vt="http://schemas.openxmlformats.org/officeDocument/2006/docPropsVTypes"/>
</file>