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color w:val="2E55B4"/>
          <w:sz w:val="21"/>
        </w:rPr>
        <w:t>实施交付文档</w:t>
      </w:r>
    </w:p>
    <w:p>
      <w:pPr>
        <w:spacing w:after="120"/>
      </w:pPr>
      <w:r>
        <w:rPr>
          <w:rFonts w:ascii="Microsoft YaHei" w:hAnsi="Microsoft YaHei" w:eastAsia="Microsoft YaHei"/>
          <w:b/>
          <w:color w:val="0F172A"/>
          <w:sz w:val="52"/>
        </w:rPr>
        <w:t>日报表 OCR 部署说明</w:t>
      </w:r>
    </w:p>
    <w:p>
      <w:pPr>
        <w:spacing w:before="0" w:after="320" w:line="276" w:lineRule="auto"/>
      </w:pPr>
      <w:r>
        <w:rPr>
          <w:rFonts w:ascii="Microsoft YaHei" w:hAnsi="Microsoft YaHei" w:eastAsia="Microsoft YaHei"/>
          <w:b w:val="0"/>
          <w:color w:val="576378"/>
          <w:sz w:val="26"/>
        </w:rPr>
        <w:t>适用于本地服务器、局域网服务器或容器化环境部署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984"/>
      </w:tblGrid>
      <w:tr>
        <w:tc>
          <w:tcPr>
            <w:tcW w:type="dxa" w:w="468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项目</w:t>
            </w:r>
          </w:p>
        </w:tc>
        <w:tc>
          <w:tcPr>
            <w:tcW w:type="dxa" w:w="468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208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系统组成</w:t>
            </w:r>
          </w:p>
        </w:tc>
        <w:tc>
          <w:tcPr>
            <w:tcW w:type="dxa" w:w="69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前端 Web 页面 + 后端 FastAPI 服务 + SQLite 数据库 + 本地文件目录</w:t>
            </w:r>
          </w:p>
        </w:tc>
      </w:tr>
      <w:tr>
        <w:tc>
          <w:tcPr>
            <w:tcW w:type="dxa" w:w="208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推荐方式</w:t>
            </w:r>
          </w:p>
        </w:tc>
        <w:tc>
          <w:tcPr>
            <w:tcW w:type="dxa" w:w="69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Docker Compose 部署，前端 8080 端口，后端 8000 端口</w:t>
            </w:r>
          </w:p>
        </w:tc>
      </w:tr>
      <w:tr>
        <w:tc>
          <w:tcPr>
            <w:tcW w:type="dxa" w:w="208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默认账号</w:t>
            </w:r>
          </w:p>
        </w:tc>
        <w:tc>
          <w:tcPr>
            <w:tcW w:type="dxa" w:w="69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admin / admin123，正式使用前必须修改或停用默认账号</w:t>
            </w:r>
          </w:p>
        </w:tc>
      </w:tr>
      <w:tr>
        <w:tc>
          <w:tcPr>
            <w:tcW w:type="dxa" w:w="208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外部依赖</w:t>
            </w:r>
          </w:p>
        </w:tc>
        <w:tc>
          <w:tcPr>
            <w:tcW w:type="dxa" w:w="69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PaddleOCR 服务密钥、大模型 API Key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1. 部署前准备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服务器建议使用 Windows Server 或 Linux 服务器，需能访问 PaddleOCR 与大模型服务地址。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推荐安装 Docker 与 Docker Compose；如不使用 Docker，可采用 Python + Node.js 手动部署。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准备 PaddleOCR Token、大模型 API Key、生产环境 APP_SECRET_KEY。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确认开放端口：前端 8080，后端 8000；如通过域名访问，可由 Nginx 或网关统一转发。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2. 目录与数据说明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系统运行时会保存数据库、上传原图、OCR 原始结果和导出文件。Docker 部署时，仓库根目录下的 data 文件夹会挂载到容器内 /data。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536"/>
        <w:gridCol w:w="2376"/>
      </w:tblGrid>
      <w:tr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目录 / 文件</w:t>
            </w:r>
          </w:p>
        </w:tc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用途</w:t>
            </w:r>
          </w:p>
        </w:tc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是否建议备份</w:t>
            </w:r>
          </w:p>
        </w:tc>
      </w:tr>
      <w:tr>
        <w:tc>
          <w:tcPr>
            <w:tcW w:type="dxa" w:w="2160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data/app.db</w:t>
            </w:r>
          </w:p>
        </w:tc>
        <w:tc>
          <w:tcPr>
            <w:tcW w:type="dxa" w:w="453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SQLite 数据库，保存账号、模板、上传记录、识别结果。</w:t>
            </w:r>
          </w:p>
        </w:tc>
        <w:tc>
          <w:tcPr>
            <w:tcW w:type="dxa" w:w="237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必须备份</w:t>
            </w:r>
          </w:p>
        </w:tc>
      </w:tr>
      <w:tr>
        <w:tc>
          <w:tcPr>
            <w:tcW w:type="dxa" w:w="2160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data/uploads</w:t>
            </w:r>
          </w:p>
        </w:tc>
        <w:tc>
          <w:tcPr>
            <w:tcW w:type="dxa" w:w="453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用户上传的图片或 PDF 原文件。</w:t>
            </w:r>
          </w:p>
        </w:tc>
        <w:tc>
          <w:tcPr>
            <w:tcW w:type="dxa" w:w="237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必须备份</w:t>
            </w:r>
          </w:p>
        </w:tc>
      </w:tr>
      <w:tr>
        <w:tc>
          <w:tcPr>
            <w:tcW w:type="dxa" w:w="2160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data/ocr_raw</w:t>
            </w:r>
          </w:p>
        </w:tc>
        <w:tc>
          <w:tcPr>
            <w:tcW w:type="dxa" w:w="453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OCR 原始返回文件和中间结果。</w:t>
            </w:r>
          </w:p>
        </w:tc>
        <w:tc>
          <w:tcPr>
            <w:tcW w:type="dxa" w:w="237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建议备份</w:t>
            </w:r>
          </w:p>
        </w:tc>
      </w:tr>
      <w:tr>
        <w:tc>
          <w:tcPr>
            <w:tcW w:type="dxa" w:w="2160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data/exports</w:t>
            </w:r>
          </w:p>
        </w:tc>
        <w:tc>
          <w:tcPr>
            <w:tcW w:type="dxa" w:w="453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导出的 Excel 文件。</w:t>
            </w:r>
          </w:p>
        </w:tc>
        <w:tc>
          <w:tcPr>
            <w:tcW w:type="dxa" w:w="237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可按需备份</w:t>
            </w:r>
          </w:p>
        </w:tc>
      </w:tr>
      <w:tr>
        <w:tc>
          <w:tcPr>
            <w:tcW w:type="dxa" w:w="2160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.env</w:t>
            </w:r>
          </w:p>
        </w:tc>
        <w:tc>
          <w:tcPr>
            <w:tcW w:type="dxa" w:w="453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部署环境变量和密钥。</w:t>
            </w:r>
          </w:p>
        </w:tc>
        <w:tc>
          <w:tcPr>
            <w:tcW w:type="dxa" w:w="237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需安全保存，不要外泄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3. 推荐部署方式：Docker Compose</w:t>
      </w: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复制环境变量模板。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F172A"/>
                <w:sz w:val="18"/>
              </w:rPr>
              <w:t>Copy-Item .env.example .env</w:t>
            </w:r>
          </w:p>
        </w:tc>
      </w:tr>
    </w:tbl>
    <w:p>
      <w:pPr>
        <w:spacing w:after="80"/>
      </w:pP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编辑 .env 文件，至少填写以下内容。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F172A"/>
                <w:sz w:val="18"/>
              </w:rPr>
              <w:t>PADDLE_OCR_TOKEN=你的PaddleOCR密钥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LLM_API_KEY=你的大模型密钥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APP_SECRET_KEY=请替换为随机长字符串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DATABASE_URL=sqlite:////data/app.db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DATA_DIR=/data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BACKEND_CORS_ORIGINS=http://服务器IP:8080</w:t>
            </w:r>
          </w:p>
        </w:tc>
      </w:tr>
    </w:tbl>
    <w:p>
      <w:pPr>
        <w:spacing w:after="80"/>
      </w:pP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构建并启动服务。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F172A"/>
                <w:sz w:val="18"/>
              </w:rPr>
              <w:t>docker compose up --build -d</w:t>
            </w:r>
          </w:p>
        </w:tc>
      </w:tr>
    </w:tbl>
    <w:p>
      <w:pPr>
        <w:spacing w:after="80"/>
      </w:pP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查看服务状态。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F172A"/>
                <w:sz w:val="18"/>
              </w:rPr>
              <w:t>docker compose ps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docker compose logs -f backend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docker compose logs -f frontend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启动成功后，浏览器访问前端地址：http://服务器IP:8080。后端接口文档地址：http://服务器IP:8000/docs。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4. 手动部署方式：不用 Docker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5B4"/>
          <w:sz w:val="26"/>
        </w:rPr>
        <w:t>4.1 后端服务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F172A"/>
                <w:sz w:val="18"/>
              </w:rPr>
              <w:t>cd backend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python -m venv .venv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.\.venv\Scripts\activate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$env:DATABASE_URL="sqlite:///./app.db"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$env:DATA_DIR="./data"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$env:APP_SECRET_KEY="请替换为随机长字符串"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uvicorn app.main:app --host 0.0.0.0 --port 8000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2E55B4"/>
          <w:sz w:val="26"/>
        </w:rPr>
        <w:t>4.2 前端服务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4F6F9"/>
            <w:tcBorders>
              <w:top w:val="single" w:sz="6" w:space="0" w:color="D7DBE2"/>
              <w:left w:val="single" w:sz="6" w:space="0" w:color="D7DBE2"/>
              <w:bottom w:val="single" w:sz="6" w:space="0" w:color="D7DBE2"/>
              <w:right w:val="single" w:sz="6" w:space="0" w:color="D7DB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0F172A"/>
                <w:sz w:val="18"/>
              </w:rPr>
              <w:t>cd frontend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npm install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npm run build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0F172A"/>
                <w:sz w:val="18"/>
              </w:rPr>
              <w:t>npm run preview -- --host 0.0.0.0 --port 8080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color w:val="0F172A"/>
          <w:sz w:val="21"/>
        </w:rPr>
        <w:t>手动部署适合测试或临时演示。正式生产环境建议使用 Docker Compose 或由专业 Web 服务器托管前端 dist 目录，并将 /api 转发到后端 8000 端口。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5. 首次登录与系统配置</w:t>
      </w: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使用默认账号登录：admin / admin123。</w:t>
      </w: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进入管理员页面，配置 PaddleOCR 与大模型密钥。</w:t>
      </w: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创建正式账号并绑定模板。</w:t>
      </w: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正式使用前，修改默认管理员密码，或新增管理员后停用默认账号。</w:t>
      </w:r>
    </w:p>
    <w:p>
      <w:pPr>
        <w:pStyle w:val="ListNumber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上传一张测试日报表，完成识别、校对、入库和 Excel 导出，确认闭环可用。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6. 环境变量说明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384"/>
        <w:gridCol w:w="3456"/>
      </w:tblGrid>
      <w:tr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变量名</w:t>
            </w:r>
          </w:p>
        </w:tc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示例</w:t>
            </w:r>
          </w:p>
        </w:tc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说明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PADDLE_OCR_TOKEN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******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PaddleOCR 服务密钥。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PADDLE_OCR_JOB_URL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https://paddleocr.aistudio-app.com/api/v2/ocr/jobs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PaddleOCR 任务提交地址。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PADDLE_OCR_MODEL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PaddleOCR-VL-1.6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OCR 模型名称。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LLM_BASE_URL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https://api.deepseek.com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兼容 OpenAI 协议的大模型服务地址。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LLM_API_KEY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******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大模型调用密钥。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LLM_MODEL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deepseek-v4-flash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大模型名称。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APP_SECRET_KEY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随机长字符串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登录令牌签名密钥，生产环境必须更换。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DATABASE_URL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sqlite:////data/app.db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数据库连接地址。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DATA_DIR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/data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上传、OCR、导出文件保存目录。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BACKEND_CORS_ORIGINS</w:t>
            </w:r>
          </w:p>
        </w:tc>
        <w:tc>
          <w:tcPr>
            <w:tcW w:type="dxa" w:w="3384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http://服务器IP:8080</w:t>
            </w:r>
          </w:p>
        </w:tc>
        <w:tc>
          <w:tcPr>
            <w:tcW w:type="dxa" w:w="3456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允许访问后端的前端地址。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7. 启动验证清单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打开 http://服务器IP:8080 能看到登录页面。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使用管理员账号可以登录。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管理员页面中 OCR 与大模型配置显示已配置。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上传图片后可以开始识别。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识别完成后进入校对页面，左侧能看到原图，右侧能编辑数据。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提交入库后，数据管理页面能看到已入库记录。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点击导出 Excel 能下载文件。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8. 备份与升级建议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每日备份 data/app.db 和 data/uploads；如存储空间允许，也备份 data/ocr_raw。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升级前先停止服务，并完整备份 data 目录和 .env 文件。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升级代码后重新执行 docker compose up --build -d。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升级后用一张测试报表验证上传、识别、校对、入库、导出流程。</w:t>
      </w: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9.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3672"/>
      </w:tblGrid>
      <w:tr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问题</w:t>
            </w:r>
          </w:p>
        </w:tc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可能原因</w:t>
            </w:r>
          </w:p>
        </w:tc>
        <w:tc>
          <w:tcPr>
            <w:tcW w:type="dxa" w:w="3120"/>
            <w:shd w:fill="EEF4FF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F172A"/>
                <w:sz w:val="19"/>
              </w:rPr>
              <w:t>处理方式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无法登录</w:t>
            </w:r>
          </w:p>
        </w:tc>
        <w:tc>
          <w:tcPr>
            <w:tcW w:type="dxa" w:w="31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默认账号被修改、数据库未初始化或服务未连接。</w:t>
            </w:r>
          </w:p>
        </w:tc>
        <w:tc>
          <w:tcPr>
            <w:tcW w:type="dxa" w:w="367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检查后端日志、数据库文件和账号状态。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提示缺少识别密钥</w:t>
            </w:r>
          </w:p>
        </w:tc>
        <w:tc>
          <w:tcPr>
            <w:tcW w:type="dxa" w:w="31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PaddleOCR 或大模型 Key 未配置。</w:t>
            </w:r>
          </w:p>
        </w:tc>
        <w:tc>
          <w:tcPr>
            <w:tcW w:type="dxa" w:w="367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进入管理员页面配置密钥，或检查 .env。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识别失败</w:t>
            </w:r>
          </w:p>
        </w:tc>
        <w:tc>
          <w:tcPr>
            <w:tcW w:type="dxa" w:w="31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外部 OCR 队列繁忙、密钥错误或网络不可达。</w:t>
            </w:r>
          </w:p>
        </w:tc>
        <w:tc>
          <w:tcPr>
            <w:tcW w:type="dxa" w:w="367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查看记录错误信息和 backend 日志，稍后重试或检查网络。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图片不显示</w:t>
            </w:r>
          </w:p>
        </w:tc>
        <w:tc>
          <w:tcPr>
            <w:tcW w:type="dxa" w:w="31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后端文件接口异常或上传文件丢失。</w:t>
            </w:r>
          </w:p>
        </w:tc>
        <w:tc>
          <w:tcPr>
            <w:tcW w:type="dxa" w:w="367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检查 data/uploads 是否存在对应文件。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导出失败</w:t>
            </w:r>
          </w:p>
        </w:tc>
        <w:tc>
          <w:tcPr>
            <w:tcW w:type="dxa" w:w="31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data/exports 无写入权限或后端异常。</w:t>
            </w:r>
          </w:p>
        </w:tc>
        <w:tc>
          <w:tcPr>
            <w:tcW w:type="dxa" w:w="367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检查数据目录权限和后端日志。</w:t>
            </w:r>
          </w:p>
        </w:tc>
      </w:tr>
      <w:tr>
        <w:tc>
          <w:tcPr>
            <w:tcW w:type="dxa" w:w="223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手机无法拍照上传</w:t>
            </w:r>
          </w:p>
        </w:tc>
        <w:tc>
          <w:tcPr>
            <w:tcW w:type="dxa" w:w="3168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浏览器权限或非 HTTPS/局域网限制。</w:t>
            </w:r>
          </w:p>
        </w:tc>
        <w:tc>
          <w:tcPr>
            <w:tcW w:type="dxa" w:w="3672"/>
            <w:tcBorders>
              <w:top w:val="single" w:sz="6" w:space="0" w:color="D9E2EF"/>
              <w:left w:val="single" w:sz="6" w:space="0" w:color="D9E2EF"/>
              <w:bottom w:val="single" w:sz="6" w:space="0" w:color="D9E2EF"/>
              <w:right w:val="single" w:sz="6" w:space="0" w:color="D9E2E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0F172A"/>
                <w:sz w:val="18"/>
              </w:rPr>
              <w:t>使用手机浏览器访问部署地址，允许相机权限；必要时配置 HTTPS。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icrosoft YaHei" w:hAnsi="Microsoft YaHei" w:eastAsia="Microsoft YaHei"/>
          <w:b/>
          <w:color w:val="2E55B4"/>
          <w:sz w:val="32"/>
        </w:rPr>
        <w:t>10. 生产环境安全提醒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不要把真实密钥写入代码仓库或截图中。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APP_SECRET_KEY 必须更换为随机长字符串。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正式上线后不要继续使用默认密码 admin123。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如部署在公网，建议使用 HTTPS，并限制管理后台访问范围。</w:t>
      </w:r>
    </w:p>
    <w:p>
      <w:pPr>
        <w:pStyle w:val="ListBullet"/>
        <w:spacing w:after="80" w:line="269" w:lineRule="auto"/>
      </w:pPr>
      <w:r>
        <w:rPr>
          <w:rFonts w:ascii="Microsoft YaHei" w:hAnsi="Microsoft YaHei" w:eastAsia="Microsoft YaHei"/>
          <w:color w:val="0F172A"/>
          <w:sz w:val="20"/>
        </w:rPr>
        <w:t>定期备份 data 目录，确认备份文件可恢复。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76378"/>
        <w:sz w:val="18"/>
      </w:rPr>
      <w:t>建议部署前由实施人员核对域名、端口、密钥和备份策略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color w:val="576378"/>
        <w:sz w:val="18"/>
      </w:rPr>
      <w:t>日报表 OCR 部署说明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