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3524B" w14:textId="77777777" w:rsidR="00374E05" w:rsidRPr="00D956EB" w:rsidRDefault="00000000">
      <w:pPr>
        <w:pStyle w:val="Ttulo"/>
        <w:rPr>
          <w:b/>
          <w:bCs/>
          <w:sz w:val="28"/>
          <w:szCs w:val="28"/>
          <w:lang w:val="pt-BR"/>
        </w:rPr>
      </w:pPr>
      <w:r w:rsidRPr="00D956EB">
        <w:rPr>
          <w:b/>
          <w:bCs/>
          <w:sz w:val="28"/>
          <w:szCs w:val="28"/>
          <w:lang w:val="pt-BR"/>
        </w:rPr>
        <w:t>Abordagens exatas e matheurísticas para um problema real de seleção de processos e dimensionamento de lotes na indústria de grãos eletrofundidos</w:t>
      </w:r>
    </w:p>
    <w:p w14:paraId="58A90041" w14:textId="77777777" w:rsidR="00374E05" w:rsidRPr="00C72B3D" w:rsidRDefault="00000000">
      <w:pPr>
        <w:pStyle w:val="Author"/>
        <w:rPr>
          <w:lang w:val="pt-BR"/>
        </w:rPr>
      </w:pPr>
      <w:r w:rsidRPr="00D956EB">
        <w:rPr>
          <w:lang w:val="pt-BR"/>
        </w:rPr>
        <w:t>José Roberto Dale Luche</w:t>
      </w:r>
    </w:p>
    <w:p w14:paraId="667BA4F0" w14:textId="77777777" w:rsidR="00374E05" w:rsidRPr="00C72B3D" w:rsidRDefault="00000000">
      <w:pPr>
        <w:pStyle w:val="Author"/>
        <w:rPr>
          <w:lang w:val="pt-BR"/>
        </w:rPr>
      </w:pPr>
      <w:r w:rsidRPr="00D956EB">
        <w:rPr>
          <w:lang w:val="pt-BR"/>
        </w:rPr>
        <w:t>Vitória Pureza</w:t>
      </w:r>
    </w:p>
    <w:p w14:paraId="30737789" w14:textId="77777777" w:rsidR="00374E05" w:rsidRPr="00D956EB" w:rsidRDefault="00000000">
      <w:pPr>
        <w:pStyle w:val="Author"/>
        <w:rPr>
          <w:lang w:val="pt-BR"/>
        </w:rPr>
      </w:pPr>
      <w:r w:rsidRPr="00D956EB">
        <w:rPr>
          <w:lang w:val="pt-BR"/>
        </w:rPr>
        <w:t>Reinaldo Morabito</w:t>
      </w:r>
    </w:p>
    <w:p w14:paraId="58BD8F45" w14:textId="77777777" w:rsidR="00374E05" w:rsidRPr="00D956EB" w:rsidRDefault="00000000">
      <w:pPr>
        <w:pStyle w:val="AbstractTitle"/>
        <w:rPr>
          <w:lang w:val="pt-BR"/>
        </w:rPr>
      </w:pPr>
      <w:r w:rsidRPr="00D956EB">
        <w:rPr>
          <w:lang w:val="pt-BR"/>
        </w:rPr>
        <w:t>Resumo</w:t>
      </w:r>
    </w:p>
    <w:p w14:paraId="7B2E355C" w14:textId="77777777" w:rsidR="00374E05" w:rsidRPr="00D956EB" w:rsidRDefault="00000000">
      <w:pPr>
        <w:pStyle w:val="Abstract"/>
        <w:rPr>
          <w:lang w:val="pt-BR"/>
        </w:rPr>
      </w:pPr>
      <w:r w:rsidRPr="00D956EB">
        <w:rPr>
          <w:lang w:val="pt-BR"/>
        </w:rPr>
        <w:t>[A FAZER: Escreva por último. Esqueleto: (1) PSP do mundo real com coprodução em proporções fixas; (2) quinze anos após o estudo de caso original, revisitamos o problema com um solver moderno MIP, quantificando o progresso do solver; (3) propomos matemática relax-and-fix / fix-and-optimize e um método monolítico iniciado a quente por RF, e os comparamos com um GRASP-ILS híbrido de última geração com religação de caminho sob um protocolo estrito de recursos iguais com hipóteses pré-registradas; (4) números principais do Sprint 2; (5) benchmark público de 60 instâncias e uma fronteira de escolha de método no plano escala-tempo-orçamento.]</w:t>
      </w:r>
    </w:p>
    <w:p w14:paraId="36C20ED2" w14:textId="77777777" w:rsidR="00374E05" w:rsidRPr="00D956EB" w:rsidRDefault="00000000">
      <w:pPr>
        <w:pStyle w:val="FirstParagraph"/>
        <w:rPr>
          <w:lang w:val="pt-BR"/>
        </w:rPr>
      </w:pPr>
      <w:r w:rsidRPr="00D956EB">
        <w:rPr>
          <w:lang w:val="pt-BR"/>
        </w:rPr>
        <w:t xml:space="preserve">Dimensionamento de lotes, Seleção de processos, </w:t>
      </w:r>
      <w:r w:rsidRPr="00DD5B62">
        <w:rPr>
          <w:highlight w:val="yellow"/>
          <w:lang w:val="pt-BR"/>
        </w:rPr>
        <w:t>Coprodução</w:t>
      </w:r>
      <w:r w:rsidRPr="00D956EB">
        <w:rPr>
          <w:lang w:val="pt-BR"/>
        </w:rPr>
        <w:t>, Matheurísticas, Relax-and-fix, Fix-and-optimize, GRASP</w:t>
      </w:r>
    </w:p>
    <w:p w14:paraId="4DBF66A1" w14:textId="77777777" w:rsidR="00374E05" w:rsidRPr="00D956EB" w:rsidRDefault="00000000">
      <w:pPr>
        <w:pStyle w:val="Ttulo1"/>
        <w:rPr>
          <w:lang w:val="pt-BR"/>
        </w:rPr>
      </w:pPr>
      <w:r w:rsidRPr="00D956EB">
        <w:rPr>
          <w:lang w:val="pt-BR"/>
        </w:rPr>
        <w:t>Introdução</w:t>
      </w:r>
    </w:p>
    <w:p w14:paraId="42D10E3F" w14:textId="77777777" w:rsidR="00374E05" w:rsidRPr="00D956EB" w:rsidRDefault="00000000">
      <w:pPr>
        <w:pStyle w:val="FirstParagraph"/>
        <w:rPr>
          <w:lang w:val="pt-BR"/>
        </w:rPr>
      </w:pPr>
      <w:r w:rsidRPr="00D956EB">
        <w:rPr>
          <w:lang w:val="pt-BR"/>
        </w:rPr>
        <w:t xml:space="preserve">Grãos eletrofundidos, </w:t>
      </w:r>
      <w:r w:rsidRPr="00DD5B62">
        <w:rPr>
          <w:highlight w:val="yellow"/>
          <w:lang w:val="pt-BR"/>
        </w:rPr>
        <w:t>notadamente</w:t>
      </w:r>
      <w:r w:rsidRPr="00D956EB">
        <w:rPr>
          <w:lang w:val="pt-BR"/>
        </w:rPr>
        <w:t xml:space="preserve"> carboneto de silício e óxido de alumínio fundido, são matérias-primas sintéticas empregadas na fabricação de produtos abrasivos, refratários e cerâmicos. A produção inicia-se em fornos de resistência elétrica (tipo Acheson) ou de arco elétrico, cujos blocos de saída são posteriormente triturados, moídos e classificados por conjuntos de peneiras em um grande número de faixas granulométricas (grãos) com rigorosas especificações físico-químicas. Um diferencial da etapa de acabamento dos grãos é a coprodução em proporções fixas: cada configuração dos equipamentos de britagem e classificação – doravante processo produtivo – produz simultaneamente um mix específico de produtos finais em proporções tecnologicamente determinadas. Os planejadores, portanto, não decidem as quantidades de produção produto por produto; eles decidem qual processo operar em cada período, e o mix de produtos segue. Combinado com configurações demoradas (a reconfiguração e limpeza do equipamento </w:t>
      </w:r>
      <w:r w:rsidRPr="003432BB">
        <w:rPr>
          <w:highlight w:val="yellow"/>
          <w:lang w:val="pt-BR"/>
        </w:rPr>
        <w:t>pode consumir um turno inteiro),</w:t>
      </w:r>
      <w:r w:rsidRPr="00D956EB">
        <w:rPr>
          <w:lang w:val="pt-BR"/>
        </w:rPr>
        <w:t xml:space="preserve"> um portfólio de dezenas de produtos e prazos apertados na carteira de pedidos, isso torna a programação da produção uma tarefa combinatória genuinamente difícil.</w:t>
      </w:r>
    </w:p>
    <w:p w14:paraId="691C65F8" w14:textId="77777777" w:rsidR="00374E05" w:rsidRPr="00D956EB" w:rsidRDefault="00000000">
      <w:pPr>
        <w:pStyle w:val="Corpodetexto"/>
        <w:rPr>
          <w:lang w:val="pt-BR"/>
        </w:rPr>
      </w:pPr>
      <w:r w:rsidRPr="00D956EB">
        <w:rPr>
          <w:lang w:val="pt-BR"/>
        </w:rPr>
        <w:t xml:space="preserve">O problema foi formalizado por Luche et al. (2009) como um problema de seleção de processos e dimensionamento de lotes (PSP): um modelo de estágio único e big bucket em que no máximo um processo pode ser atribuído a cada período e o objetivo é minimizar a escassez total da carteira de pedidos (com uma pequena penalidade no excesso de produção). Na época, o modelo de programação inteira mista (MIP) não poderia ser resolvido até a otimização dentro de tempos aceitáveis ​​para instâncias de tamanho prático pelo solver de última geração, o que motivou heurísticas construtivas, busca local e, posteriormente, um procedimento GRASP </w:t>
      </w:r>
      <w:r w:rsidRPr="003432BB">
        <w:rPr>
          <w:highlight w:val="yellow"/>
          <w:lang w:val="pt-BR"/>
        </w:rPr>
        <w:t>[A FAZER: citar tese].</w:t>
      </w:r>
      <w:r w:rsidRPr="00D956EB">
        <w:rPr>
          <w:lang w:val="pt-BR"/>
        </w:rPr>
        <w:t xml:space="preserve"> Dois </w:t>
      </w:r>
      <w:r w:rsidRPr="00D956EB">
        <w:rPr>
          <w:lang w:val="pt-BR"/>
        </w:rPr>
        <w:lastRenderedPageBreak/>
        <w:t xml:space="preserve">desenvolvimentos justificam a revisão do problema quinze anos depois. Primeiro, os solveres MIP melhoraram em ordens de magnitude neste período por meio de avanços na pré-solução, separação de corte, heurística primal e pesquisa em árvore paralela (Koch et al. 2022; Achterberg e Wunderling 2013; Achterberg et al. 2020); se esse progresso resolveu efectivamente um problema prático que era intratável em 2011 é uma questão empírica de relevância directa para a gestão. </w:t>
      </w:r>
      <w:r w:rsidRPr="003432BB">
        <w:rPr>
          <w:highlight w:val="yellow"/>
          <w:lang w:val="pt-BR"/>
        </w:rPr>
        <w:t>Em segundo lugar</w:t>
      </w:r>
      <w:r w:rsidRPr="00D956EB">
        <w:rPr>
          <w:lang w:val="pt-BR"/>
        </w:rPr>
        <w:t>, heurísticas de construção e melhoria baseadas em MIP – relax-and-fix (rf) e fix-and-optimize (fo), agora componentes padrão da caixa de ferramentas mateurística (Sahling et al. 2009; Helber e Sahling 2010; Toledo, Silva Arantes, et al. 2015) – amadureceram precisamente em estruturas de dimensionamento de lotes semelhantes às PSP, mas nunca foram aplicados a ele.</w:t>
      </w:r>
    </w:p>
    <w:p w14:paraId="0180C832" w14:textId="77777777" w:rsidR="00374E05" w:rsidRPr="00D956EB" w:rsidRDefault="00000000">
      <w:pPr>
        <w:pStyle w:val="Corpodetexto"/>
        <w:rPr>
          <w:lang w:val="pt-BR"/>
        </w:rPr>
      </w:pPr>
      <w:r w:rsidRPr="00D956EB">
        <w:rPr>
          <w:lang w:val="pt-BR"/>
        </w:rPr>
        <w:t>Este artigo relata um estudo computacional abrangente do PSP que confronta três paradigmas algorítmicos sob um protocolo estrito de recursos iguais: (i) o modelo monolítico MIP resolvido por um solver comercial moderno; (ii) matemática de decomposição temporal (rf+fo e uma variante monolítica iniciada a quente por RF, rf+mip); e (iii) uma metaheurística híbrida de última geração que combina GRASP reativo, busca local iterada, descida variável de vizinhança, componentes tabu e religação de caminho cruzado (grasp-ils-pr). Todos os métodos são executados na mesma máquina, com os mesmos orçamentos de parede e contabilidade explícita de threads, e as comparações centrais foram especificadas como hipóteses pré-registradas antes da execução dos experimentos. Em vez de perguntar apenas se uma heurística supera o solver, mapeamos quando cada método é a ferramenta de escolha em função da escala da instância (horizontes de planejamento de até períodos) e do tempo de computação disponível (desde orçamentos de replanejamento operacional de 5 a 10 minutos até orçamentos táticos de 1 a 3 horas). [</w:t>
      </w:r>
      <w:r w:rsidRPr="00917CDD">
        <w:rPr>
          <w:highlight w:val="yellow"/>
          <w:lang w:val="pt-BR"/>
        </w:rPr>
        <w:t>DADOS DA SPRINT 2: visualização de uma frase do resultado da fronteira assim que as hipóteses H1–H2 do Sprint 2 forem julgadas</w:t>
      </w:r>
      <w:r w:rsidRPr="00D956EB">
        <w:rPr>
          <w:lang w:val="pt-BR"/>
        </w:rPr>
        <w:t>.]</w:t>
      </w:r>
    </w:p>
    <w:p w14:paraId="448CC542" w14:textId="77777777" w:rsidR="00374E05" w:rsidRPr="00D956EB" w:rsidRDefault="00000000">
      <w:pPr>
        <w:pStyle w:val="Corpodetexto"/>
        <w:rPr>
          <w:lang w:val="pt-BR"/>
        </w:rPr>
      </w:pPr>
      <w:r w:rsidRPr="00D956EB">
        <w:rPr>
          <w:lang w:val="pt-BR"/>
        </w:rPr>
        <w:t xml:space="preserve">As contribuições são quádruplas. Primeiro, quantificamos </w:t>
      </w:r>
      <w:r w:rsidRPr="00917CDD">
        <w:rPr>
          <w:highlight w:val="yellow"/>
          <w:lang w:val="pt-BR"/>
        </w:rPr>
        <w:t>quinze anos</w:t>
      </w:r>
      <w:r w:rsidRPr="00D956EB">
        <w:rPr>
          <w:lang w:val="pt-BR"/>
        </w:rPr>
        <w:t xml:space="preserve"> de progresso do solver MIP em um problema documentado do mundo real: instâncias que exibiram grandes gaps de otimalidade em 2011 são agora resolvidas em segundos [</w:t>
      </w:r>
      <w:r w:rsidRPr="00917CDD">
        <w:rPr>
          <w:highlight w:val="yellow"/>
          <w:lang w:val="pt-BR"/>
        </w:rPr>
        <w:t>DADOS DA SPRINT 2: números exatos</w:t>
      </w:r>
      <w:r w:rsidRPr="00D956EB">
        <w:rPr>
          <w:lang w:val="pt-BR"/>
        </w:rPr>
        <w:t>], enquanto uma subclasse difícil permanece aberta nas maiores escalas – um ponto de dados para a literatura de progresso do solver (Koch et al. 2022) baseada em uma aplicação industrial. Em segundo lugar, desenvolvemos e especificamos, em um nível de reprodutibilidade raramente relatado (mecânica de atualização vinculada, políticas de limite de tempo por janela e guardas orçamentárias incluídas), matheurísticas rf e fo adaptadas à estrutura de coprodução do PSP, juntamente com um híbrido rf+mip que domina o solver iniciado a frio por construção. Terceiro, fornecemos o que é, até onde sabemos, o primeiro benchmark disponível publicamente para dimensionamento de lotes com coprodução em proporções fixas: 60 instâncias abrangendo dez escalas de problemas, com soluções mais conhecidas, limites duplos e trajetórias completas por execução, divulgadas em formatos abertos. Quarto, obtemos insights gerenciais para o moinho de grãos eletrofundidos, incluindo a consequência prática de que a programação da carteira de pedidos agora pode ser reotimizada dentro dos orçamentos em escala de minutos do replanejamento diário [</w:t>
      </w:r>
      <w:r w:rsidRPr="00917CDD">
        <w:rPr>
          <w:highlight w:val="yellow"/>
          <w:lang w:val="pt-BR"/>
        </w:rPr>
        <w:t>DADOS DA SPRINT 2: suporte com resultado H1</w:t>
      </w:r>
      <w:r w:rsidRPr="00D956EB">
        <w:rPr>
          <w:lang w:val="pt-BR"/>
        </w:rPr>
        <w:t>].</w:t>
      </w:r>
    </w:p>
    <w:p w14:paraId="67785D6D" w14:textId="77777777" w:rsidR="00374E05" w:rsidRPr="00D956EB" w:rsidRDefault="00000000">
      <w:pPr>
        <w:pStyle w:val="Corpodetexto"/>
        <w:rPr>
          <w:lang w:val="pt-BR"/>
        </w:rPr>
      </w:pPr>
      <w:r w:rsidRPr="00D956EB">
        <w:rPr>
          <w:lang w:val="pt-BR"/>
        </w:rPr>
        <w:lastRenderedPageBreak/>
        <w:t>O restante do artigo está organizado da seguinte forma. A seção 2 analisa a literatura relacionada e posiciona o PSP dentro da taxonomia de dimensionamento e dimensionamento de lotes. A seção 3 descreve o ambiente industrial e o modelo matemático. A seção 4 apresenta os métodos rf, fo e rf+mip, e a seção 5 resume a linha de base híbrida grasp-ils-pr. A Seção 6 relata o protocolo experimental e os resultados, e a Seção 7 conclui.</w:t>
      </w:r>
    </w:p>
    <w:p w14:paraId="0FA50BD9" w14:textId="77777777" w:rsidR="00374E05" w:rsidRPr="00D956EB" w:rsidRDefault="00000000">
      <w:pPr>
        <w:pStyle w:val="Ttulo1"/>
        <w:rPr>
          <w:lang w:val="pt-BR"/>
        </w:rPr>
      </w:pPr>
      <w:r w:rsidRPr="00D956EB">
        <w:rPr>
          <w:lang w:val="pt-BR"/>
        </w:rPr>
        <w:t>Trabalhos relacionados</w:t>
      </w:r>
    </w:p>
    <w:p w14:paraId="49C430DD" w14:textId="77777777" w:rsidR="00374E05" w:rsidRPr="00D956EB" w:rsidRDefault="00000000">
      <w:pPr>
        <w:pStyle w:val="FirstParagraph"/>
        <w:rPr>
          <w:lang w:val="pt-BR"/>
        </w:rPr>
      </w:pPr>
      <w:r w:rsidRPr="00D956EB">
        <w:rPr>
          <w:lang w:val="pt-BR"/>
        </w:rPr>
        <w:t>Revisamos quatro fluxos: a taxonomia de dimensionamento de lotes e programação na qual o PSP está incorporado (§2.1); aplicações com seleção de processos e coprodução em proporções fixas (§2.2); matheurísticas baseadas em MIP das famílias relax-and-fix e fix-and-optimize (§2.3); e a literatura sobre progresso do solver e metodologia experimental que sustenta nosso protocolo (§2.4).</w:t>
      </w:r>
    </w:p>
    <w:p w14:paraId="06936E7F" w14:textId="77777777" w:rsidR="00374E05" w:rsidRPr="00D956EB" w:rsidRDefault="00000000">
      <w:pPr>
        <w:pStyle w:val="Ttulo2"/>
        <w:rPr>
          <w:lang w:val="pt-BR"/>
        </w:rPr>
      </w:pPr>
      <w:r w:rsidRPr="00D956EB">
        <w:rPr>
          <w:lang w:val="pt-BR"/>
        </w:rPr>
        <w:t>Dimensionamento de lotes e programação: taxonomia e revisões</w:t>
      </w:r>
    </w:p>
    <w:p w14:paraId="6102BA4D" w14:textId="77777777" w:rsidR="00374E05" w:rsidRPr="00D956EB" w:rsidRDefault="00000000">
      <w:pPr>
        <w:pStyle w:val="FirstParagraph"/>
        <w:rPr>
          <w:lang w:val="pt-BR"/>
        </w:rPr>
      </w:pPr>
      <w:r w:rsidRPr="00D956EB">
        <w:rPr>
          <w:lang w:val="pt-BR"/>
        </w:rPr>
        <w:t>Modelos dinâmicos de dimensionamento de lotes que integram decisões de sequenciamento são classicamente organizados por sua estrutura temporal. Os modelos small-bucket permitem no máximo um (ou alguns) setups por período: o problema discreto de dimensionamento e escalonamento de lotes (DLSP; Fleischmann 1990) impõe a produção do tipo tudo ou nada, o problema de dimensionamento de lotes com setup contínuo (CSLP; Karmarkar e Schrage 1985) relaxa o uso da capacidade total, e o problema de dimensionamento e escalonamento proporcional de lotes (PLSP; Drexl e Haase 1995) permite que o estado de setup mude. uma vez dentro de um período. O problema geral de dimensionamento e escalonamento de lotes (GLSP; Fleischmann e Meyr 1997) inclui essas estruturas por meio de microperíodos, e o problema de dimensionamento de lotes capacitado com configurações dependentes de sequência (Haase 1996) estende a tradição do big-bucket. Pesquisas abrangentes traçam a evolução desta família: Drexl e Kimms (1997) e Karimi et al. (2003) para as fundações, Jans e Degraeve (2008) para extensões industriais, Buschkühl et al. (2010) para abordagens de solução, Glock et al. (2014) no nível terciário e, mais relevante para o nosso posicionamento, a classificação de modelos simultâneos de dimensionamento e escalonamento de lotes de Copil et al. (2017), recentemente estendido a recursos secundários por Wörbelauer et al. (2019). Dentro desta taxonomia, o PSP é um modelo de estágio único, máquina única e grande volume com no máximo um “produto” – na verdade, um processo – por período; seu traço distintivo, ausente nas classes padrão, é que a decisão de atribuição libera um vetor de produtos tecnologicamente fixo, em vez de um único item. A procura é satisfeita em relação às quantidades cumulativas da carteira de encomendas com minimização da escassez, o que relaciona o modelo com variantes orientadas para o nível de serviço e não com a corrente principal de minimização de custos (Pochet e Wolsey 2006).</w:t>
      </w:r>
    </w:p>
    <w:p w14:paraId="40B216B5" w14:textId="77777777" w:rsidR="00374E05" w:rsidRPr="00D956EB" w:rsidRDefault="00000000">
      <w:pPr>
        <w:pStyle w:val="Ttulo2"/>
        <w:rPr>
          <w:lang w:val="pt-BR"/>
        </w:rPr>
      </w:pPr>
      <w:r w:rsidRPr="00D956EB">
        <w:rPr>
          <w:lang w:val="pt-BR"/>
        </w:rPr>
        <w:lastRenderedPageBreak/>
        <w:t>Seleção de processos e coprodução em proporções fixas</w:t>
      </w:r>
    </w:p>
    <w:p w14:paraId="0B1DE577" w14:textId="77777777" w:rsidR="00374E05" w:rsidRPr="00D956EB" w:rsidRDefault="00000000">
      <w:pPr>
        <w:pStyle w:val="FirstParagraph"/>
        <w:rPr>
          <w:lang w:val="pt-BR"/>
        </w:rPr>
      </w:pPr>
      <w:r w:rsidRPr="00D956EB">
        <w:rPr>
          <w:lang w:val="pt-BR"/>
        </w:rPr>
        <w:t>O PSP foi introduzido no contexto de grãos eletrofundidos por Luche et al. (2009), que combinou seleção de processos com dimensionamento de lotes em estágio único, propôs uma heurística construtiva e relatou que instâncias de tamanho prático derrotaram a tecnologia MIP da época. Um acoplamento estruturalmente semelhante de configuração de processo, dimensionamento de lotes e programação surge na indústria de celulose moldada (Martínez et al. 2018), onde cada configuração de molde também determina um mix de itens, e em pequenas fundições, onde cada liga de forno possibilita um conjunto de peças fundidas (Araujo et al. 2008). Configurações relacionadas baseadas em receitas ou processos incluem fábricas de nutrição animal (Toso et al. 2009; Clark et al. 2010), fábricas de produtos químicos nas quais um item pode ser produzido por processos alternativos (Cunha e Santos 2017) e produção integrada de refrigerantes onde lotes de tanques alimentam linhas de engarrafamento (Ferreira et al. 2009; Toledo, Kimms, et al. 2015). A coprodução em proporções fixas (ou estocásticas) também é a característica definidora do planejamento de semicondutores, onde cada lote de wafer é “compartimentado” em vários graus de desempenho (Leachman 2002; Ng e Fowler 2007) e se conecta a modelos de corte de estoque multiperíodos nos quais um padrão de corte desempenha o papel de um processo (Silva et al. 2023). Em toda esta literatura, as abordagens exatas são tipicamente abandonadas em escalas realistas em favor de heurísticas personalizadas; nenhum desses trabalhos, no entanto, revisita os monólitos abandonados com a atual tecnologia de resolução, e os benchmarks públicos para a coprodução de proporção fixa estão, até onde sabemos, indisponíveis.</w:t>
      </w:r>
    </w:p>
    <w:p w14:paraId="14F8B331" w14:textId="77777777" w:rsidR="00374E05" w:rsidRDefault="00000000">
      <w:pPr>
        <w:pStyle w:val="Ttulo2"/>
      </w:pPr>
      <w:r>
        <w:t>Matheurísticas relax-and-fix e fix-and-optimize</w:t>
      </w:r>
    </w:p>
    <w:p w14:paraId="23FF11AE" w14:textId="77777777" w:rsidR="00374E05" w:rsidRPr="00D956EB" w:rsidRDefault="00000000">
      <w:pPr>
        <w:pStyle w:val="FirstParagraph"/>
        <w:rPr>
          <w:lang w:val="pt-BR"/>
        </w:rPr>
      </w:pPr>
      <w:r w:rsidRPr="00D956EB">
        <w:rPr>
          <w:lang w:val="pt-BR"/>
        </w:rPr>
        <w:t xml:space="preserve">Relax-and-fix constrói soluções particionando as variáveis ​​inteiras - mais naturalmente ao longo do eixo do tempo - e resolvendo uma sequência de MIPs em que uma janela é mantida integral, as janelas anteriores são fixas e as janelas posteriores são relaxadas (Dillenberger et al. 1994; Pochet e Wolsey 2006). Fix-and-optimize (também chamado de melhoria baseada em troca ou MIP) reotimiza iterativamente subconjuntos de variáveis ​​inteiras enquanto fixa o restante em valores incumbentes; foi popularizado para dimensionamento de lotes capacitados em vários níveis por Sahling et al. (2009) e Helber e Sahling (2010). A combinação dos dois – rf para construção, fo para melhoria – foi sistematizada por Toledo, Silva Arantes, et al. (2015). fábricas de bebidas com limpezas temporais (Toscano et al. 2020); e linhas de produtos perecíveis, onde relax-and-fix também fornece limites duplos competitivos (Soler et al. 2021). Pesquisas iterativas de vizinhança baseadas em MIP para dimensionamento de lotes e programação foram exploradas por James e Almada-Lobo (2011), e o gênero é pesquisado sob o rótulo “mateurística” por Fischetti e Fischetti (2018). Nosso rf+fo segue o modelo de janela de tempo de Toledo, </w:t>
      </w:r>
      <w:r w:rsidRPr="00CD0E69">
        <w:rPr>
          <w:highlight w:val="yellow"/>
          <w:lang w:val="pt-BR"/>
        </w:rPr>
        <w:t>Silva Arantes</w:t>
      </w:r>
      <w:r w:rsidRPr="00D956EB">
        <w:rPr>
          <w:lang w:val="pt-BR"/>
        </w:rPr>
        <w:t xml:space="preserve">, et al. (2015); os elementos diferenciadores são a estrutura de coprodução (as janelas reotimizam o cronograma do processo, com todos os saldos de produtos vinculados por meio da demanda cumulativa), uma política de controle orçamentário totalmente especificada, cujos detalhes de implementação relatamos para </w:t>
      </w:r>
      <w:r w:rsidRPr="00D956EB">
        <w:rPr>
          <w:lang w:val="pt-BR"/>
        </w:rPr>
        <w:lastRenderedPageBreak/>
        <w:t xml:space="preserve">fins de reprodutibilidade, e a variante rf+mip na qual a solução de </w:t>
      </w:r>
      <w:r w:rsidRPr="00CD0E69">
        <w:rPr>
          <w:highlight w:val="yellow"/>
          <w:lang w:val="pt-BR"/>
        </w:rPr>
        <w:t>RF inicia a quente</w:t>
      </w:r>
      <w:r w:rsidRPr="00D956EB">
        <w:rPr>
          <w:lang w:val="pt-BR"/>
        </w:rPr>
        <w:t xml:space="preserve"> o modelo monolítico - um híbrido que, por construção, nunca é pior do que o </w:t>
      </w:r>
      <w:r w:rsidRPr="00CD0E69">
        <w:rPr>
          <w:highlight w:val="yellow"/>
          <w:lang w:val="pt-BR"/>
        </w:rPr>
        <w:t>solver iniciado a frio</w:t>
      </w:r>
      <w:r w:rsidRPr="00D956EB">
        <w:rPr>
          <w:lang w:val="pt-BR"/>
        </w:rPr>
        <w:t xml:space="preserve"> sob orçamentos iguais.</w:t>
      </w:r>
    </w:p>
    <w:p w14:paraId="0B560081" w14:textId="77777777" w:rsidR="00374E05" w:rsidRPr="00D956EB" w:rsidRDefault="00000000">
      <w:pPr>
        <w:pStyle w:val="Ttulo2"/>
        <w:rPr>
          <w:lang w:val="pt-BR"/>
        </w:rPr>
      </w:pPr>
      <w:r w:rsidRPr="00D956EB">
        <w:rPr>
          <w:lang w:val="pt-BR"/>
        </w:rPr>
        <w:t>Progresso dos solvers e metodologia experimental</w:t>
      </w:r>
    </w:p>
    <w:p w14:paraId="7D5E027E" w14:textId="77777777" w:rsidR="00374E05" w:rsidRPr="00D956EB" w:rsidRDefault="00000000">
      <w:pPr>
        <w:pStyle w:val="FirstParagraph"/>
        <w:rPr>
          <w:lang w:val="pt-BR"/>
        </w:rPr>
      </w:pPr>
      <w:r w:rsidRPr="00D956EB">
        <w:rPr>
          <w:lang w:val="pt-BR"/>
        </w:rPr>
        <w:t>Medições independentes de máquina documentam acelerações de várias ordens de magnitude na resolução MIP entre o início dos anos 2000 e 2020, impulsionadas por pré-solução, planos de corte, heurística primária e pesquisa paralela (Koch et al. 2022; Achterberg e Wunderling 2013; Achterberg et al. 2020; Bixby 2012). Este progresso reformula descobertas de intratabilidade mais antigas: as conclusões tiradas contra CPLEX 11–12 – como nos estudos PSP originais – não precisam ser válidas contra CPLEX 22, e revisitá-las produz evidências calibradas de valor prático. Do lado da metodologia, nosso protocolo experimental adota padrões da comunidade para comparações heurísticas-exatas: perfis de desempenho (Dolan e Moré 2002), gráficos de tempo até o alvo para métodos randomizados (Aiex et al. 2007) e divulgação pública de instâncias e soluções no espírito de §§TERM_MIPLIB§§ (Gleixner et al. 2021). A própria linha de base da metaheurística segue componentes estabelecidos: GRASP (Feo e Resende 1995) com controle de parâmetros reativos (Prais e Ribeiro 2000), busca local iterada (Lourenço et al. 2010) e religação de caminho (Laguna e Martí 1999; Resende e Ribeiro 2016). Finalmente, o enquadramento gerencial dos orçamentos curtos de replanejamento baseia-se na tradição do horizonte rolante iniciada por Baker (1977).</w:t>
      </w:r>
    </w:p>
    <w:p w14:paraId="1A928D5E" w14:textId="77777777" w:rsidR="00374E05" w:rsidRPr="00D956EB" w:rsidRDefault="00000000">
      <w:pPr>
        <w:pStyle w:val="Corpodetexto"/>
        <w:rPr>
          <w:lang w:val="pt-BR"/>
        </w:rPr>
      </w:pPr>
      <w:r w:rsidRPr="00F17DB8">
        <w:rPr>
          <w:highlight w:val="yellow"/>
          <w:lang w:val="pt-BR"/>
        </w:rPr>
        <w:t>Brecha.</w:t>
      </w:r>
      <w:r w:rsidRPr="00D956EB">
        <w:rPr>
          <w:lang w:val="pt-BR"/>
        </w:rPr>
        <w:t xml:space="preserve"> Em resumo: (i) o PSP com coprodução em proporções fixas não foi revisitado desde </w:t>
      </w:r>
      <w:r w:rsidRPr="00F17DB8">
        <w:rPr>
          <w:highlight w:val="yellow"/>
          <w:lang w:val="pt-BR"/>
        </w:rPr>
        <w:t>2011</w:t>
      </w:r>
      <w:r w:rsidRPr="00D956EB">
        <w:rPr>
          <w:lang w:val="pt-BR"/>
        </w:rPr>
        <w:t xml:space="preserve">, apesar do progresso do solver que altera plausivelmente seu status prático; (ii) os estudos mateurísticos raramente relatam comparações </w:t>
      </w:r>
      <w:commentRangeStart w:id="0"/>
      <w:r w:rsidRPr="00D956EB">
        <w:rPr>
          <w:lang w:val="pt-BR"/>
        </w:rPr>
        <w:t>primal-primal contra um solver moderno sob orçamentos de relógio e thread estritamente iguais, deixan</w:t>
      </w:r>
      <w:commentRangeEnd w:id="0"/>
      <w:r w:rsidR="00F17DB8" w:rsidRPr="00D956EB">
        <w:rPr>
          <w:rStyle w:val="Refdecomentrio"/>
          <w:sz w:val="24"/>
          <w:szCs w:val="24"/>
          <w:lang w:val="pt-BR"/>
        </w:rPr>
        <w:commentReference w:id="0"/>
      </w:r>
      <w:r w:rsidRPr="00D956EB">
        <w:rPr>
          <w:lang w:val="pt-BR"/>
        </w:rPr>
        <w:t>do a questão do “método de escolha” anedótica; e (iii) não existe nenhum benchmark público para esta classe de problemas. Este artigo aborda todas as três lacunas, com hipóteses registradas antes da experimentação.</w:t>
      </w:r>
    </w:p>
    <w:p w14:paraId="034610B7" w14:textId="77777777" w:rsidR="00374E05" w:rsidRPr="00D956EB" w:rsidRDefault="00000000">
      <w:pPr>
        <w:pStyle w:val="Ttulo1"/>
        <w:rPr>
          <w:lang w:val="pt-BR"/>
        </w:rPr>
      </w:pPr>
      <w:r w:rsidRPr="00D956EB">
        <w:rPr>
          <w:lang w:val="pt-BR"/>
        </w:rPr>
        <w:t>O problema de seleção de processos e dimensionamento de lotes</w:t>
      </w:r>
    </w:p>
    <w:p w14:paraId="31FBED7C" w14:textId="77777777" w:rsidR="00374E05" w:rsidRPr="00D956EB" w:rsidRDefault="00000000">
      <w:pPr>
        <w:pStyle w:val="Ttulo2"/>
        <w:rPr>
          <w:lang w:val="pt-BR"/>
        </w:rPr>
      </w:pPr>
      <w:r w:rsidRPr="00D956EB">
        <w:rPr>
          <w:lang w:val="pt-BR"/>
        </w:rPr>
        <w:t>Contexto industrial</w:t>
      </w:r>
    </w:p>
    <w:p w14:paraId="28D27FF3" w14:textId="77777777" w:rsidR="00374E05" w:rsidRPr="00D956EB" w:rsidRDefault="00000000">
      <w:pPr>
        <w:pStyle w:val="FirstParagraph"/>
        <w:rPr>
          <w:lang w:val="pt-BR"/>
        </w:rPr>
      </w:pPr>
      <w:r w:rsidRPr="00D956EB">
        <w:rPr>
          <w:lang w:val="pt-BR"/>
        </w:rPr>
        <w:t xml:space="preserve">Estudamos a etapa de acabamento de grãos de uma empresa fabricante de grãos eletrofundidos (carboneto de silício e óxido de alumínio fundido). A montante, as matérias-primas são fundidas em fornos eléctricos e arrefecidas em blocos de cerca de vinte toneladas; a etapa de acabamento tritura, moe e peneira esse material em produtos finais definidos por faixas granulométricas e especificações físico-químicas. Os equipamentos de acabamento podem ser dispostos em diversas configurações alternativas – os processos de produção. Duas características desses processos impulsionam o problema de planejamento. Primeiro, a coprodução em proporções fixas: o </w:t>
      </w:r>
      <w:r w:rsidRPr="00D956EB">
        <w:rPr>
          <w:lang w:val="pt-BR"/>
        </w:rPr>
        <w:lastRenderedPageBreak/>
        <w:t xml:space="preserve">processo operacional durante um período produz uma quantidade tecnologicamente determinada de cada produto simultaneamente; o planejador seleciona processos, não quantidades de produtos. Em segundo lugar, a magnitude da configuração: reconfigurar e </w:t>
      </w:r>
      <w:r w:rsidRPr="00F17DB8">
        <w:rPr>
          <w:highlight w:val="yellow"/>
          <w:lang w:val="pt-BR"/>
        </w:rPr>
        <w:t>limpar</w:t>
      </w:r>
      <w:r w:rsidRPr="00D956EB">
        <w:rPr>
          <w:lang w:val="pt-BR"/>
        </w:rPr>
        <w:t xml:space="preserve"> o equipamento entre processos consome uma fração substancial de um período de planejamento, o que motiva uma representação grande em que no máximo um processo é operado por período. A demanda decorre de uma carteira de pedidos com datas de vencimento; a prioridade comercial é o atendimento da carteira de pedidos, portanto o objetivo é minimizar a escassez total, com uma pequena penalidade desencorajando o excesso gratuito de produção (o excesso fica em estoque e pode atender pedidos futuros, mas vincula capital e armazenamento). [</w:t>
      </w:r>
      <w:r w:rsidRPr="00F17DB8">
        <w:rPr>
          <w:highlight w:val="yellow"/>
          <w:lang w:val="pt-BR"/>
        </w:rPr>
        <w:t>A FAZER:</w:t>
      </w:r>
      <w:r w:rsidRPr="00D956EB">
        <w:rPr>
          <w:lang w:val="pt-BR"/>
        </w:rPr>
        <w:t xml:space="preserve"> Um parágrafo com fatos anonimizados da empresa: número de produtos/processos nas instâncias da carteira de pedidos, duração do período, horizonte de planejamento – da tese Cap. 2, atualizado.]</w:t>
      </w:r>
    </w:p>
    <w:p w14:paraId="2E8345D9" w14:textId="77777777" w:rsidR="00374E05" w:rsidRPr="00D956EB" w:rsidRDefault="00000000">
      <w:pPr>
        <w:pStyle w:val="Ttulo2"/>
        <w:rPr>
          <w:lang w:val="pt-BR"/>
        </w:rPr>
      </w:pPr>
      <w:r w:rsidRPr="00D956EB">
        <w:rPr>
          <w:lang w:val="pt-BR"/>
        </w:rPr>
        <w:t>Modelo matemático</w:t>
      </w:r>
    </w:p>
    <w:p w14:paraId="7D1B74FD" w14:textId="77777777" w:rsidR="00374E05" w:rsidRPr="00D956EB" w:rsidRDefault="00000000">
      <w:pPr>
        <w:pStyle w:val="FirstParagraph"/>
        <w:rPr>
          <w:lang w:val="pt-BR"/>
        </w:rPr>
      </w:pPr>
      <w:r w:rsidRPr="00D956EB">
        <w:rPr>
          <w:lang w:val="pt-BR"/>
        </w:rPr>
        <w:t>Vamos denotar o conjunto de produtos, o conjunto de processos e o conjunto de períodos. O parâmetro fornece a saída do produto quando o processo é operado por um período e a demanda do produto vencida no período. As variáveis ​​de decisão são , iguais a 1 se o processo for operado no período , e as variáveis ​​contínuas não negativas e , medindo a escassez e o excesso, respectivamente, do produto em relação à sua demanda acumulada até o período . O modelo, denominado MFP (minimização da escassez de produção, depois (Luche et al. 2009)), diz:</w:t>
      </w:r>
    </w:p>
    <w:p w14:paraId="216401FA" w14:textId="77777777" w:rsidR="00374E05" w:rsidRDefault="00000000">
      <w:pPr>
        <w:pStyle w:val="Corpodetexto"/>
      </w:pPr>
      <m:oMathPara>
        <m:oMathParaPr>
          <m:jc m:val="center"/>
        </m:oMathParaPr>
        <m:oMath>
          <m:eqArr>
            <m:eqArrPr>
              <m:ctrlPr>
                <w:rPr>
                  <w:rFonts w:ascii="Cambria Math" w:hAnsi="Cambria Math"/>
                </w:rPr>
              </m:ctrlPr>
            </m:eqArrPr>
            <m:e>
              <m:r>
                <m:rPr>
                  <m:sty m:val="p"/>
                </m:rPr>
                <w:rPr>
                  <w:rFonts w:ascii="Cambria Math" w:hAnsi="Cambria Math"/>
                </w:rPr>
                <m:t>min</m:t>
              </m:r>
              <m:r>
                <w:rPr>
                  <w:rFonts w:ascii="Cambria Math" w:hAnsi="Cambria Math"/>
                </w:rPr>
                <m:t> &amp;</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r>
                            <w:rPr>
                              <w:rFonts w:ascii="Cambria Math" w:hAnsi="Cambria Math"/>
                            </w:rPr>
                            <m:t>γ </m:t>
                          </m:r>
                          <m:sSub>
                            <m:sSubPr>
                              <m:ctrlPr>
                                <w:rPr>
                                  <w:rFonts w:ascii="Cambria Math" w:hAnsi="Cambria Math"/>
                                </w:rPr>
                              </m:ctrlPr>
                            </m:sSubPr>
                            <m:e>
                              <m:r>
                                <w:rPr>
                                  <w:rFonts w:ascii="Cambria Math" w:hAnsi="Cambria Math"/>
                                </w:rPr>
                                <m:t>e</m:t>
                              </m:r>
                            </m:e>
                            <m:sub>
                              <m:r>
                                <w:rPr>
                                  <w:rFonts w:ascii="Cambria Math" w:hAnsi="Cambria Math"/>
                                </w:rPr>
                                <m:t>it</m:t>
                              </m:r>
                            </m:sub>
                          </m:sSub>
                        </m:e>
                      </m:d>
                    </m:e>
                  </m:nary>
                </m:e>
              </m:nary>
            </m:e>
            <m:e>
              <m:r>
                <m:rPr>
                  <m:nor/>
                </m:rPr>
                <m:t>s.t.</m:t>
              </m:r>
              <m:r>
                <w:rPr>
                  <w:rFonts w:ascii="Cambria Math" w:hAnsi="Cambria Math"/>
                </w:rPr>
                <m:t> &amp;</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jτ</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iτ</m:t>
                      </m:r>
                    </m:sub>
                  </m:sSub>
                </m:e>
              </m:nary>
              <m:r>
                <m:rPr>
                  <m:sty m:val="p"/>
                </m:rPr>
                <w:rPr>
                  <w:rFonts w:ascii="Cambria Math" w:hAnsi="Cambria Math"/>
                </w:rPr>
                <m:t>,</m:t>
              </m:r>
              <m:r>
                <w:rPr>
                  <w:rFonts w:ascii="Cambria Math" w:hAnsi="Cambria Math"/>
                </w:rPr>
                <m:t>&amp;&amp;i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T</m:t>
              </m:r>
              <m:r>
                <m:rPr>
                  <m:sty m:val="p"/>
                </m:rPr>
                <w:rPr>
                  <w:rFonts w:ascii="Cambria Math" w:hAnsi="Cambria Math"/>
                </w:rPr>
                <m:t>,</m:t>
              </m:r>
            </m:e>
            <m:e>
              <m:r>
                <w:rPr>
                  <w:rFonts w:ascii="Cambria Math" w:hAnsi="Cambria Math"/>
                </w:rPr>
                <m:t>&amp;</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jt</m:t>
                      </m:r>
                    </m:sub>
                  </m:sSub>
                </m:e>
              </m:nary>
              <m:r>
                <w:rPr>
                  <w:rFonts w:ascii="Cambria Math" w:hAnsi="Cambria Math"/>
                </w:rPr>
                <m:t> </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&amp;&amp;t</m:t>
              </m:r>
              <m:r>
                <m:rPr>
                  <m:sty m:val="p"/>
                </m:rPr>
                <w:rPr>
                  <w:rFonts w:ascii="Cambria Math" w:hAnsi="Cambria Math"/>
                </w:rPr>
                <m:t>∈</m:t>
              </m:r>
              <m:r>
                <w:rPr>
                  <w:rFonts w:ascii="Cambria Math" w:hAnsi="Cambria Math"/>
                </w:rPr>
                <m:t>T</m:t>
              </m:r>
              <m:r>
                <m:rPr>
                  <m:sty m:val="p"/>
                </m:rPr>
                <w:rPr>
                  <w:rFonts w:ascii="Cambria Math" w:hAnsi="Cambria Math"/>
                </w:rPr>
                <m:t>,</m:t>
              </m:r>
            </m:e>
            <m:e>
              <m:r>
                <w:rPr>
                  <w:rFonts w:ascii="Cambria Math" w:hAnsi="Cambria Math"/>
                </w:rPr>
                <m:t>&amp;</m:t>
              </m:r>
              <m:sSub>
                <m:sSubPr>
                  <m:ctrlPr>
                    <w:rPr>
                      <w:rFonts w:ascii="Cambria Math" w:hAnsi="Cambria Math"/>
                    </w:rPr>
                  </m:ctrlPr>
                </m:sSubPr>
                <m:e>
                  <m:r>
                    <w:rPr>
                      <w:rFonts w:ascii="Cambria Math" w:hAnsi="Cambria Math"/>
                    </w:rPr>
                    <m:t>x</m:t>
                  </m:r>
                </m:e>
                <m:sub>
                  <m:r>
                    <w:rPr>
                      <w:rFonts w:ascii="Cambria Math" w:hAnsi="Cambria Math"/>
                    </w:rPr>
                    <m:t>jt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&amp;&amp;i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T</m:t>
              </m:r>
              <m:r>
                <m:rPr>
                  <m:sty m:val="p"/>
                </m:rPr>
                <w:rPr>
                  <w:rFonts w:ascii="Cambria Math" w:hAnsi="Cambria Math"/>
                </w:rPr>
                <m:t>.</m:t>
              </m:r>
            </m:e>
          </m:eqArr>
        </m:oMath>
      </m:oMathPara>
    </w:p>
    <w:p w14:paraId="14AC953C" w14:textId="77777777" w:rsidR="00374E05" w:rsidRPr="00D956EB" w:rsidRDefault="00000000">
      <w:pPr>
        <w:pStyle w:val="FirstParagraph"/>
        <w:rPr>
          <w:lang w:val="pt-BR"/>
        </w:rPr>
      </w:pPr>
      <w:r w:rsidRPr="00D956EB">
        <w:rPr>
          <w:lang w:val="pt-BR"/>
        </w:rPr>
        <w:t>As restrições [</w:t>
      </w:r>
      <w:r w:rsidRPr="00C34B25">
        <w:rPr>
          <w:highlight w:val="yellow"/>
          <w:lang w:val="pt-BR"/>
        </w:rPr>
        <w:t>eq:dem]</w:t>
      </w:r>
      <w:r w:rsidRPr="00D956EB">
        <w:rPr>
          <w:lang w:val="pt-BR"/>
        </w:rPr>
        <w:t xml:space="preserve"> equilibram a produção cumulativa com a demanda cumulativa para cada produto e período, de modo que capturam atrasos em relação às datas de vencimento (não apenas a escassez no final do horizonte), e as restrições [</w:t>
      </w:r>
      <w:r w:rsidRPr="00C34B25">
        <w:rPr>
          <w:highlight w:val="yellow"/>
          <w:lang w:val="pt-BR"/>
        </w:rPr>
        <w:t>eq:prop]</w:t>
      </w:r>
      <w:r w:rsidRPr="00D956EB">
        <w:rPr>
          <w:lang w:val="pt-BR"/>
        </w:rPr>
        <w:t xml:space="preserve"> permitem no máximo um processo (possivelmente nenhum) por período. O peso torna o excesso lexicograficamente subordinado à escassez na prática. O modelo possui variáveis ​​binárias e contínuas; para as maiores instâncias aqui consideradas (, ), isso equivale a 30.210 binários. [</w:t>
      </w:r>
      <w:r w:rsidRPr="00C34B25">
        <w:rPr>
          <w:highlight w:val="yellow"/>
          <w:lang w:val="pt-BR"/>
        </w:rPr>
        <w:t>A FAZER:</w:t>
      </w:r>
      <w:r w:rsidRPr="00D956EB">
        <w:rPr>
          <w:lang w:val="pt-BR"/>
        </w:rPr>
        <w:t xml:space="preserve"> Tabela de dimensões Real–10X (binários, contínuos, restrições) – gerada a partir de arquivos de instância.]</w:t>
      </w:r>
    </w:p>
    <w:p w14:paraId="3BE5E83A" w14:textId="77777777" w:rsidR="00374E05" w:rsidRPr="00D956EB" w:rsidRDefault="00000000">
      <w:pPr>
        <w:pStyle w:val="Corpodetexto"/>
        <w:rPr>
          <w:lang w:val="pt-BR"/>
        </w:rPr>
      </w:pPr>
      <w:r w:rsidRPr="00D956EB">
        <w:rPr>
          <w:lang w:val="pt-BR"/>
        </w:rPr>
        <w:t xml:space="preserve">O modelo MFP é um membro de estágio único e grande volume da família simultânea de dimensionamento de lotes e programação (Copil et al. 2017), com uma estrutura de configuração do tipo atribuição por período; seu elemento distintivo é que a atribuição de </w:t>
      </w:r>
      <w:r w:rsidRPr="00D956EB">
        <w:rPr>
          <w:lang w:val="pt-BR"/>
        </w:rPr>
        <w:lastRenderedPageBreak/>
        <w:t>cada período libera o vetor de produção fixo, acoplando todos os produtos por meio de restrições [eq:dem].</w:t>
      </w:r>
    </w:p>
    <w:p w14:paraId="7E0AD335" w14:textId="77777777" w:rsidR="00374E05" w:rsidRPr="00D956EB" w:rsidRDefault="00000000">
      <w:pPr>
        <w:pStyle w:val="Ttulo2"/>
        <w:rPr>
          <w:lang w:val="pt-BR"/>
        </w:rPr>
      </w:pPr>
      <w:r w:rsidRPr="00D956EB">
        <w:rPr>
          <w:lang w:val="pt-BR"/>
        </w:rPr>
        <w:t>Instâncias e dificuldade empírica</w:t>
      </w:r>
    </w:p>
    <w:p w14:paraId="005585CE" w14:textId="77777777" w:rsidR="00374E05" w:rsidRPr="00D956EB" w:rsidRDefault="00000000">
      <w:pPr>
        <w:pStyle w:val="FirstParagraph"/>
        <w:rPr>
          <w:lang w:val="pt-BR"/>
        </w:rPr>
      </w:pPr>
      <w:r w:rsidRPr="00D956EB">
        <w:rPr>
          <w:lang w:val="pt-BR"/>
        </w:rPr>
        <w:t>Nosso benchmark compreende dez instâncias de carteira de pedidos construídas em dados reais de empresas (conjunto Real, ) e conjuntos replicados no horizonte obtidos pela regra documentada no estudo original [A FAZER: cite tese §6.2.2]: o número de períodos é multiplicado por e a demanda do horizonte original é repetida exatamente em cada bloco de 19 períodos, produzindo os conjuntos 2X–5X (, herdado) e os novos conjuntos 8X e 10X introduzidos neste artigo (, até 190). A seção 6.1 detalha a geração e sua validação em relação aos conjuntos herdados. A procura é, portanto, periódica por construção em toda a família – propriedade que afirmamos explicitamente porque mantém a regra de geração constante ao longo do eixo da escala, evitando confusões; empiricamente, a periodicidade não torna as instâncias fáceis para o solver (Seção 6).</w:t>
      </w:r>
    </w:p>
    <w:p w14:paraId="6BFAD286" w14:textId="77777777" w:rsidR="00374E05" w:rsidRPr="00D956EB" w:rsidRDefault="00000000">
      <w:pPr>
        <w:pStyle w:val="Corpodetexto"/>
        <w:rPr>
          <w:lang w:val="pt-BR"/>
        </w:rPr>
      </w:pPr>
      <w:r w:rsidRPr="00D956EB">
        <w:rPr>
          <w:lang w:val="pt-BR"/>
        </w:rPr>
        <w:t>Duas observações empíricas moldam o desenho experimental. Primeiro, a dificuldade é heterogênea dentro dos conjuntos: uma subclasse de instâncias (por exemplo, [A FAZER: confirmar lista final: IncT3x_7, IncT4x_7, IncT5x_10]) exibe grandes lacunas do solver e limites duplos fracos - em IncT5x_10, a solução mais conhecida ainda está cerca de 17% acima do limite duplo de três horas, então a verdadeira gap de otimalidade é desconhecida. Em segundo lugar, a pesquisa paralela do solver, embora determinística para um orçamento fixo, não é monótona em termos orçamentais no sentido primordial: em três casos, a execução de uma hora apresentou um desempenho melhor do que a execução independente de três horas. Ambas as observações motivam lacunas nos relatórios em relação às soluções mais conhecidas (BKS), definidas como o objetivo mínimo sobre todos os métodos, orçamentos e sementes considerados neste estudo, e não apenas em relação aos limites duplos.</w:t>
      </w:r>
    </w:p>
    <w:p w14:paraId="106B62B5" w14:textId="77777777" w:rsidR="00374E05" w:rsidRPr="00D956EB" w:rsidRDefault="00000000">
      <w:pPr>
        <w:pStyle w:val="Ttulo1"/>
        <w:rPr>
          <w:lang w:val="pt-BR"/>
        </w:rPr>
      </w:pPr>
      <w:r w:rsidRPr="00D956EB">
        <w:rPr>
          <w:lang w:val="pt-BR"/>
        </w:rPr>
        <w:t>Matheurísticas</w:t>
      </w:r>
    </w:p>
    <w:p w14:paraId="02B67D91" w14:textId="77777777" w:rsidR="00374E05" w:rsidRPr="00D956EB" w:rsidRDefault="00000000">
      <w:pPr>
        <w:pStyle w:val="FirstParagraph"/>
        <w:rPr>
          <w:lang w:val="pt-BR"/>
        </w:rPr>
      </w:pPr>
      <w:r w:rsidRPr="00D956EB">
        <w:rPr>
          <w:lang w:val="pt-BR"/>
        </w:rPr>
        <w:t>Propomos matemática de decomposição temporal que usa o solver MIP como uma sub-rotina sobre versões restritas do modelo [eq:obj]–[eq:dom]. Um cronograma é um vetor que atribui a cada período um processo ou ociosidade; qualquer cronograma é viável e seu custo é calculado por um avaliador que replica exatamente o objetivo MIP (o avaliador reproduz o objetivo do solver em soluções de referência dentro de , uma verificação de consistência aplicada por toda parte).</w:t>
      </w:r>
    </w:p>
    <w:p w14:paraId="2DFBE5EA" w14:textId="77777777" w:rsidR="00374E05" w:rsidRPr="00D956EB" w:rsidRDefault="00000000">
      <w:pPr>
        <w:pStyle w:val="Ttulo2"/>
        <w:rPr>
          <w:lang w:val="pt-BR"/>
        </w:rPr>
      </w:pPr>
      <w:r w:rsidRPr="00D956EB">
        <w:rPr>
          <w:lang w:val="pt-BR"/>
        </w:rPr>
        <w:t>Um único modelo restrito com controle por limites</w:t>
      </w:r>
    </w:p>
    <w:p w14:paraId="33B00B5E" w14:textId="77777777" w:rsidR="00374E05" w:rsidRPr="00D956EB" w:rsidRDefault="00000000">
      <w:pPr>
        <w:pStyle w:val="FirstParagraph"/>
        <w:rPr>
          <w:lang w:val="pt-BR"/>
        </w:rPr>
      </w:pPr>
      <w:r w:rsidRPr="00D956EB">
        <w:rPr>
          <w:lang w:val="pt-BR"/>
        </w:rPr>
        <w:t xml:space="preserve">Relax-and-fix requer regimes de variáveis ​​dependentes do período (fixo, binário ou linearmente relaxado), enquanto os sistemas de modelagem algébrica atribuem integralidade a variáveis ​​inteiras. Portanto, construímos, uma vez por instância, um modelo único com duas famílias de variáveis: binária e contínua, sendo cada ocorrência </w:t>
      </w:r>
      <w:r w:rsidRPr="00D956EB">
        <w:rPr>
          <w:lang w:val="pt-BR"/>
        </w:rPr>
        <w:lastRenderedPageBreak/>
        <w:t>da variável de atribuição em [eq:dem]–[eq:prop] substituída por . Os regimes de período são então governados puramente por limites: um período relaxado fixa e liberta; um período binário liberta e corrige; um período fixo é definido para o valor incumbente e . Entre resoluções consecutivas, apenas os limites mudam, portanto o modelo é gerado uma vez. Um detalhe de implementação foi decisivo: a atualização dos limites registro por registro dominou o tempo de execução, enquanto as atualizações de registros em lote reduziram a fase de construção de centenas de segundos para menos de dez nas instâncias maiores. Relatamos isso porque a praticidade da decomposição temporal em ambientes de modelagem algébrica depende disso. [</w:t>
      </w:r>
      <w:r w:rsidRPr="006C5AC7">
        <w:rPr>
          <w:highlight w:val="yellow"/>
          <w:lang w:val="pt-BR"/>
        </w:rPr>
        <w:t>A FAZER: verifique o texto final com as notas de implementação do Codex.</w:t>
      </w:r>
      <w:r w:rsidRPr="00D956EB">
        <w:rPr>
          <w:lang w:val="pt-BR"/>
        </w:rPr>
        <w:t>]</w:t>
      </w:r>
    </w:p>
    <w:p w14:paraId="03B0D8F6" w14:textId="77777777" w:rsidR="00374E05" w:rsidRPr="00D956EB" w:rsidRDefault="00000000">
      <w:pPr>
        <w:pStyle w:val="Ttulo2"/>
        <w:rPr>
          <w:lang w:val="pt-BR"/>
        </w:rPr>
      </w:pPr>
      <w:r w:rsidRPr="00D956EB">
        <w:rPr>
          <w:lang w:val="pt-BR"/>
        </w:rPr>
        <w:t>Construção relax-and-fix</w:t>
      </w:r>
    </w:p>
    <w:p w14:paraId="3280179B" w14:textId="77777777" w:rsidR="00374E05" w:rsidRPr="00D956EB" w:rsidRDefault="00000000">
      <w:pPr>
        <w:pStyle w:val="FirstParagraph"/>
        <w:rPr>
          <w:lang w:val="pt-BR"/>
        </w:rPr>
      </w:pPr>
      <w:r w:rsidRPr="00D956EB">
        <w:rPr>
          <w:lang w:val="pt-BR"/>
        </w:rPr>
        <w:t>A construção varre janelas de tempo de largura sigma, avançando step períodos (sobreposição sigma - step), com a última janela ancorada no fim do horizonte para garantir que todas as posições sejam cobertas. Em cada iteração, a janela atual é binária, os períodos anteriores são fixados no cronograma parcial incumbente (apenas os primeiros step períodos da janela anterior são definitivamente fixados; a sobreposição é reotimizada) e os períodos posteriores permanecem relaxados. Cada MIP de janela é resolvido com tolerância relativa de gap e limite de tempo dinâmico, respeitando simultaneamente os orçamentos restantes da construção e da execução global. Se uma janela não produzir incumbente inteiro, o limite pode ser ampliado apenas dentro da guarda de orçamento; em nova falha, ou quando a guarda de parede é acionada, todos os períodos indecisos são completados por uma heurística gulosa baseada no avaliador, de modo que a construção nunca retorna um cronograma incompleto. Em orçamentos muito curtos, quando o tempo médio disponível por janela fica abaixo do limite mínimo, a construção janelada é ignorada em favor da solução gulosa e todo o orçamento remanescente é transferido para a fase de melhoria. [</w:t>
      </w:r>
      <w:r w:rsidRPr="006C5AC7">
        <w:rPr>
          <w:highlight w:val="yellow"/>
          <w:lang w:val="pt-BR"/>
        </w:rPr>
        <w:t>DADOS DA SPRINT 2: confirme o limite final da construção adaptativa e os detalhes da heurística gulosa após a Tarefa 3.2.]</w:t>
      </w:r>
    </w:p>
    <w:p w14:paraId="77165EA9" w14:textId="77777777" w:rsidR="00374E05" w:rsidRPr="00D956EB" w:rsidRDefault="00000000">
      <w:pPr>
        <w:pStyle w:val="Ttulo2"/>
        <w:rPr>
          <w:lang w:val="pt-BR"/>
        </w:rPr>
      </w:pPr>
      <w:r w:rsidRPr="00D956EB">
        <w:rPr>
          <w:lang w:val="pt-BR"/>
        </w:rPr>
        <w:t>Melhoria fix-and-optimize</w:t>
      </w:r>
    </w:p>
    <w:p w14:paraId="303A72EE" w14:textId="77777777" w:rsidR="00374E05" w:rsidRPr="00D956EB" w:rsidRDefault="00000000">
      <w:pPr>
        <w:pStyle w:val="FirstParagraph"/>
        <w:rPr>
          <w:lang w:val="pt-BR"/>
        </w:rPr>
      </w:pPr>
      <w:r w:rsidRPr="00D956EB">
        <w:rPr>
          <w:lang w:val="pt-BR"/>
        </w:rPr>
        <w:t>A melhoria reotimiza janelas de períodos consecutivos: as variáveis binárias dentro da janela são liberadas, todas as demais são fixadas no incumbente, e o MIP da janela é resolvido com tolerância relativa de gap, limite por janela e o incumbente fornecido como MIP start (os inícios aceitos foram verificados no log do solver). Uma solução é aceita se melhorar o objetivo global em mais que a tolerância numérica; como o início é viável para cada subproblema de janela, os movimentos aceitos nunca degradam o incumbente, e o método relata a melhor solução encontrada em qualquer fase da execução. As janelas primeiro varrem o horizonte; após uma varredura completa sem melhoria, janelas contíguas com posições iniciais aleatórias, controladas pela semente, são sorteadas até que o orçamento se esgote. Os parâmetros foram ajustados nas duas instâncias 5X mais difíceis da grade; a Seção 6 revela essa escolha e suas implicações.</w:t>
      </w:r>
    </w:p>
    <w:p w14:paraId="4D57DFEA" w14:textId="77777777" w:rsidR="00374E05" w:rsidRPr="00D956EB" w:rsidRDefault="00000000">
      <w:pPr>
        <w:pStyle w:val="Corpodetexto"/>
        <w:rPr>
          <w:lang w:val="pt-BR"/>
        </w:rPr>
      </w:pPr>
      <w:r w:rsidRPr="00D956EB">
        <w:rPr>
          <w:lang w:val="pt-BR"/>
        </w:rPr>
        <w:lastRenderedPageBreak/>
        <w:t>Fluxo resumido: construir o modelo restrito com controle por limites (Seção 4.1); obter a construção gulosa; executar a varredura relax-and-fix (Seção 4.2); escolher a próxima janela de melhoria (varredura e, depois, posições aleatórias após uma varredura sem melhoria); fixar todos os períodos fora da janela; liberar a janela; resolver o MIP com MIP start, limite de tempo e tolerância de gap; atualizar o melhor cronograma encontrado em qualquer fase.</w:t>
      </w:r>
    </w:p>
    <w:p w14:paraId="3F35EA7A" w14:textId="77777777" w:rsidR="00374E05" w:rsidRDefault="00000000">
      <w:pPr>
        <w:pStyle w:val="Ttulo2"/>
      </w:pPr>
      <w:r>
        <w:t>Monólito com warm start (rf+mip)</w:t>
      </w:r>
    </w:p>
    <w:p w14:paraId="12711554" w14:textId="77777777" w:rsidR="00374E05" w:rsidRPr="00D956EB" w:rsidRDefault="00000000">
      <w:pPr>
        <w:pStyle w:val="FirstParagraph"/>
        <w:rPr>
          <w:lang w:val="pt-BR"/>
        </w:rPr>
      </w:pPr>
      <w:r w:rsidRPr="00D956EB">
        <w:rPr>
          <w:lang w:val="pt-BR"/>
        </w:rPr>
        <w:t>O terceiro método usa relax-and-fix apenas para produzir rapidamente uma solução inteira de alta qualidade (na ordem de segundos a dois minutos) e então resolve o modelo monolítico com o orçamento restante, gap relativo zero e a solução RF como MIP start. Em relação ao solver iniciado a frio sob o mesmo orçamento de parede, RF+MIP sacrifica uma fração do tempo de branch-and-bound em troca de um incumbente inicial forte; ao contrário de RF+FO, ele mantém a visão global e o dual bound do solver. [DADOS DA SPRINT 2: resumir quando cada variante vence no mapa de fronteira; discutir a anomalia IncT10x_5 com a evidência post-mortem da Tarefa 3.1.]</w:t>
      </w:r>
    </w:p>
    <w:p w14:paraId="174BE42D" w14:textId="77777777" w:rsidR="00374E05" w:rsidRPr="00D956EB" w:rsidRDefault="00000000">
      <w:pPr>
        <w:pStyle w:val="Ttulo2"/>
        <w:rPr>
          <w:lang w:val="pt-BR"/>
        </w:rPr>
      </w:pPr>
      <w:r w:rsidRPr="00D956EB">
        <w:rPr>
          <w:lang w:val="pt-BR"/>
        </w:rPr>
        <w:t>Resumo dos parâmetros</w:t>
      </w:r>
    </w:p>
    <w:p w14:paraId="557D4FB7" w14:textId="77777777" w:rsidR="00374E05" w:rsidRPr="00D956EB" w:rsidRDefault="00000000">
      <w:pPr>
        <w:pStyle w:val="TableCaption"/>
        <w:rPr>
          <w:lang w:val="pt-BR"/>
        </w:rPr>
      </w:pPr>
      <w:r w:rsidRPr="00D956EB">
        <w:rPr>
          <w:lang w:val="pt-BR"/>
        </w:rPr>
        <w:t>Parâmetros das matheurísticas (valores finais).</w:t>
      </w:r>
    </w:p>
    <w:tbl>
      <w:tblPr>
        <w:tblStyle w:val="Table"/>
        <w:tblW w:w="0" w:type="auto"/>
        <w:tblLook w:val="0020" w:firstRow="1" w:lastRow="0" w:firstColumn="0" w:lastColumn="0" w:noHBand="0" w:noVBand="0"/>
      </w:tblPr>
      <w:tblGrid>
        <w:gridCol w:w="810"/>
        <w:gridCol w:w="1558"/>
        <w:gridCol w:w="2304"/>
        <w:gridCol w:w="4230"/>
      </w:tblGrid>
      <w:tr w:rsidR="00374E05" w14:paraId="5EC10CFE" w14:textId="77777777" w:rsidTr="00374E05">
        <w:trPr>
          <w:cnfStyle w:val="100000000000" w:firstRow="1" w:lastRow="0" w:firstColumn="0" w:lastColumn="0" w:oddVBand="0" w:evenVBand="0" w:oddHBand="0" w:evenHBand="0" w:firstRowFirstColumn="0" w:firstRowLastColumn="0" w:lastRowFirstColumn="0" w:lastRowLastColumn="0"/>
          <w:tblHeader/>
        </w:trPr>
        <w:tc>
          <w:tcPr>
            <w:tcW w:w="0" w:type="auto"/>
          </w:tcPr>
          <w:p w14:paraId="4367F041" w14:textId="77777777" w:rsidR="001E2A9D" w:rsidRDefault="00000000">
            <w:r>
              <w:t>Fase</w:t>
            </w:r>
          </w:p>
        </w:tc>
        <w:tc>
          <w:tcPr>
            <w:tcW w:w="0" w:type="auto"/>
          </w:tcPr>
          <w:p w14:paraId="0578C01D" w14:textId="77777777" w:rsidR="001E2A9D" w:rsidRDefault="00000000">
            <w:r>
              <w:t>Parâmetro</w:t>
            </w:r>
          </w:p>
        </w:tc>
        <w:tc>
          <w:tcPr>
            <w:tcW w:w="0" w:type="auto"/>
          </w:tcPr>
          <w:p w14:paraId="046ECB7E" w14:textId="77777777" w:rsidR="001E2A9D" w:rsidRDefault="00000000">
            <w:r>
              <w:t>Valor</w:t>
            </w:r>
          </w:p>
        </w:tc>
        <w:tc>
          <w:tcPr>
            <w:tcW w:w="0" w:type="auto"/>
          </w:tcPr>
          <w:p w14:paraId="298141AB" w14:textId="77777777" w:rsidR="001E2A9D" w:rsidRDefault="00000000">
            <w:r>
              <w:t>Significado</w:t>
            </w:r>
          </w:p>
        </w:tc>
      </w:tr>
      <w:tr w:rsidR="00374E05" w14:paraId="5710FC0F" w14:textId="77777777">
        <w:tc>
          <w:tcPr>
            <w:tcW w:w="0" w:type="auto"/>
          </w:tcPr>
          <w:p w14:paraId="2F1C5E3E" w14:textId="77777777" w:rsidR="001E2A9D" w:rsidRDefault="00000000">
            <w:r>
              <w:t>RF</w:t>
            </w:r>
          </w:p>
        </w:tc>
        <w:tc>
          <w:tcPr>
            <w:tcW w:w="0" w:type="auto"/>
          </w:tcPr>
          <w:p w14:paraId="6E582E90" w14:textId="77777777" w:rsidR="001E2A9D" w:rsidRDefault="00000000">
            <w:r>
              <w:t>sigma / step</w:t>
            </w:r>
          </w:p>
        </w:tc>
        <w:tc>
          <w:tcPr>
            <w:tcW w:w="0" w:type="auto"/>
          </w:tcPr>
          <w:p w14:paraId="47FF3370" w14:textId="77777777" w:rsidR="001E2A9D" w:rsidRDefault="00000000">
            <w:r>
              <w:t>10 / 5</w:t>
            </w:r>
          </w:p>
        </w:tc>
        <w:tc>
          <w:tcPr>
            <w:tcW w:w="0" w:type="auto"/>
          </w:tcPr>
          <w:p w14:paraId="24652389" w14:textId="77777777" w:rsidR="001E2A9D" w:rsidRDefault="00000000">
            <w:r>
              <w:t>largura da janela / avanço</w:t>
            </w:r>
          </w:p>
        </w:tc>
      </w:tr>
      <w:tr w:rsidR="00374E05" w14:paraId="1C18BA13" w14:textId="77777777">
        <w:tc>
          <w:tcPr>
            <w:tcW w:w="0" w:type="auto"/>
          </w:tcPr>
          <w:p w14:paraId="41A2BB9E" w14:textId="77777777" w:rsidR="001E2A9D" w:rsidRDefault="00000000">
            <w:r>
              <w:t>RF</w:t>
            </w:r>
          </w:p>
        </w:tc>
        <w:tc>
          <w:tcPr>
            <w:tcW w:w="0" w:type="auto"/>
          </w:tcPr>
          <w:p w14:paraId="1B047305" w14:textId="77777777" w:rsidR="001E2A9D" w:rsidRDefault="00000000">
            <w:r>
              <w:t>l_RF</w:t>
            </w:r>
          </w:p>
        </w:tc>
        <w:tc>
          <w:tcPr>
            <w:tcW w:w="0" w:type="auto"/>
          </w:tcPr>
          <w:p w14:paraId="14BD3965" w14:textId="77777777" w:rsidR="001E2A9D" w:rsidRDefault="00000000">
            <w:r>
              <w:t>120 s</w:t>
            </w:r>
          </w:p>
        </w:tc>
        <w:tc>
          <w:tcPr>
            <w:tcW w:w="0" w:type="auto"/>
          </w:tcPr>
          <w:p w14:paraId="3A4FA278" w14:textId="77777777" w:rsidR="001E2A9D" w:rsidRDefault="00000000">
            <w:r>
              <w:t>limite por janela</w:t>
            </w:r>
          </w:p>
        </w:tc>
      </w:tr>
      <w:tr w:rsidR="00374E05" w:rsidRPr="00D956EB" w14:paraId="047D6960" w14:textId="77777777">
        <w:tc>
          <w:tcPr>
            <w:tcW w:w="0" w:type="auto"/>
          </w:tcPr>
          <w:p w14:paraId="7BA734A1" w14:textId="77777777" w:rsidR="001E2A9D" w:rsidRDefault="00000000">
            <w:r>
              <w:t>RF</w:t>
            </w:r>
          </w:p>
        </w:tc>
        <w:tc>
          <w:tcPr>
            <w:tcW w:w="0" w:type="auto"/>
          </w:tcPr>
          <w:p w14:paraId="589AFA80" w14:textId="77777777" w:rsidR="001E2A9D" w:rsidRDefault="00000000">
            <w:r>
              <w:t>optcr</w:t>
            </w:r>
          </w:p>
        </w:tc>
        <w:tc>
          <w:tcPr>
            <w:tcW w:w="0" w:type="auto"/>
          </w:tcPr>
          <w:p w14:paraId="4C88DDA3" w14:textId="77777777" w:rsidR="001E2A9D" w:rsidRDefault="00000000">
            <w:r>
              <w:t>10^-3</w:t>
            </w:r>
          </w:p>
        </w:tc>
        <w:tc>
          <w:tcPr>
            <w:tcW w:w="0" w:type="auto"/>
          </w:tcPr>
          <w:p w14:paraId="39AB8796" w14:textId="77777777" w:rsidR="001E2A9D" w:rsidRPr="00D956EB" w:rsidRDefault="00000000">
            <w:pPr>
              <w:rPr>
                <w:lang w:val="pt-BR"/>
              </w:rPr>
            </w:pPr>
            <w:r w:rsidRPr="00D956EB">
              <w:rPr>
                <w:lang w:val="pt-BR"/>
              </w:rPr>
              <w:t>tolerância de gap da janela</w:t>
            </w:r>
          </w:p>
        </w:tc>
      </w:tr>
      <w:tr w:rsidR="00374E05" w14:paraId="5DC267E6" w14:textId="77777777">
        <w:tc>
          <w:tcPr>
            <w:tcW w:w="0" w:type="auto"/>
          </w:tcPr>
          <w:p w14:paraId="5A404038" w14:textId="77777777" w:rsidR="001E2A9D" w:rsidRDefault="00000000">
            <w:r>
              <w:t>RF</w:t>
            </w:r>
          </w:p>
        </w:tc>
        <w:tc>
          <w:tcPr>
            <w:tcW w:w="0" w:type="auto"/>
          </w:tcPr>
          <w:p w14:paraId="6DEC94F5" w14:textId="77777777" w:rsidR="001E2A9D" w:rsidRDefault="00000000">
            <w:r>
              <w:t>B_RF</w:t>
            </w:r>
          </w:p>
        </w:tc>
        <w:tc>
          <w:tcPr>
            <w:tcW w:w="0" w:type="auto"/>
          </w:tcPr>
          <w:p w14:paraId="281B7B6F" w14:textId="77777777" w:rsidR="001E2A9D" w:rsidRDefault="00000000">
            <w:r>
              <w:t>min{0.25 B, w l_RF}</w:t>
            </w:r>
          </w:p>
        </w:tc>
        <w:tc>
          <w:tcPr>
            <w:tcW w:w="0" w:type="auto"/>
          </w:tcPr>
          <w:p w14:paraId="415B11B0" w14:textId="77777777" w:rsidR="001E2A9D" w:rsidRDefault="00000000">
            <w:r>
              <w:t>orçamento de construção</w:t>
            </w:r>
          </w:p>
        </w:tc>
      </w:tr>
      <w:tr w:rsidR="00374E05" w:rsidRPr="00D956EB" w14:paraId="0E0F364D" w14:textId="77777777">
        <w:tc>
          <w:tcPr>
            <w:tcW w:w="0" w:type="auto"/>
          </w:tcPr>
          <w:p w14:paraId="0618D007" w14:textId="77777777" w:rsidR="001E2A9D" w:rsidRDefault="00000000">
            <w:r>
              <w:t>FO</w:t>
            </w:r>
          </w:p>
        </w:tc>
        <w:tc>
          <w:tcPr>
            <w:tcW w:w="0" w:type="auto"/>
          </w:tcPr>
          <w:p w14:paraId="00F15E7C" w14:textId="77777777" w:rsidR="001E2A9D" w:rsidRDefault="00000000">
            <w:r>
              <w:t>omega / step</w:t>
            </w:r>
          </w:p>
        </w:tc>
        <w:tc>
          <w:tcPr>
            <w:tcW w:w="0" w:type="auto"/>
          </w:tcPr>
          <w:p w14:paraId="46C26887" w14:textId="77777777" w:rsidR="001E2A9D" w:rsidRDefault="00000000">
            <w:r>
              <w:t>20 / 10</w:t>
            </w:r>
          </w:p>
        </w:tc>
        <w:tc>
          <w:tcPr>
            <w:tcW w:w="0" w:type="auto"/>
          </w:tcPr>
          <w:p w14:paraId="2B30E6B3" w14:textId="77777777" w:rsidR="001E2A9D" w:rsidRPr="00D956EB" w:rsidRDefault="00000000">
            <w:pPr>
              <w:rPr>
                <w:lang w:val="pt-BR"/>
              </w:rPr>
            </w:pPr>
            <w:r w:rsidRPr="00D956EB">
              <w:rPr>
                <w:lang w:val="pt-BR"/>
              </w:rPr>
              <w:t>largura da janela / avanço da varredura</w:t>
            </w:r>
          </w:p>
        </w:tc>
      </w:tr>
      <w:tr w:rsidR="00374E05" w14:paraId="31368B3D" w14:textId="77777777">
        <w:tc>
          <w:tcPr>
            <w:tcW w:w="0" w:type="auto"/>
          </w:tcPr>
          <w:p w14:paraId="78A2D035" w14:textId="77777777" w:rsidR="001E2A9D" w:rsidRDefault="00000000">
            <w:r>
              <w:t>FO</w:t>
            </w:r>
          </w:p>
        </w:tc>
        <w:tc>
          <w:tcPr>
            <w:tcW w:w="0" w:type="auto"/>
          </w:tcPr>
          <w:p w14:paraId="191A6FDA" w14:textId="77777777" w:rsidR="001E2A9D" w:rsidRDefault="00000000">
            <w:r>
              <w:t>l_FO</w:t>
            </w:r>
          </w:p>
        </w:tc>
        <w:tc>
          <w:tcPr>
            <w:tcW w:w="0" w:type="auto"/>
          </w:tcPr>
          <w:p w14:paraId="2641B592" w14:textId="77777777" w:rsidR="001E2A9D" w:rsidRDefault="00000000">
            <w:r>
              <w:t>30 s</w:t>
            </w:r>
          </w:p>
        </w:tc>
        <w:tc>
          <w:tcPr>
            <w:tcW w:w="0" w:type="auto"/>
          </w:tcPr>
          <w:p w14:paraId="41DF5E6E" w14:textId="77777777" w:rsidR="001E2A9D" w:rsidRDefault="00000000">
            <w:r>
              <w:t>limite por janela</w:t>
            </w:r>
          </w:p>
        </w:tc>
      </w:tr>
      <w:tr w:rsidR="00374E05" w:rsidRPr="00D956EB" w14:paraId="6456F484" w14:textId="77777777">
        <w:tc>
          <w:tcPr>
            <w:tcW w:w="0" w:type="auto"/>
          </w:tcPr>
          <w:p w14:paraId="14885E82" w14:textId="77777777" w:rsidR="001E2A9D" w:rsidRDefault="00000000">
            <w:r>
              <w:t>FO</w:t>
            </w:r>
          </w:p>
        </w:tc>
        <w:tc>
          <w:tcPr>
            <w:tcW w:w="0" w:type="auto"/>
          </w:tcPr>
          <w:p w14:paraId="4E9E4F4F" w14:textId="77777777" w:rsidR="001E2A9D" w:rsidRDefault="00000000">
            <w:r>
              <w:t>optcr</w:t>
            </w:r>
          </w:p>
        </w:tc>
        <w:tc>
          <w:tcPr>
            <w:tcW w:w="0" w:type="auto"/>
          </w:tcPr>
          <w:p w14:paraId="2A555860" w14:textId="77777777" w:rsidR="001E2A9D" w:rsidRDefault="00000000">
            <w:r>
              <w:t>10^-2</w:t>
            </w:r>
          </w:p>
        </w:tc>
        <w:tc>
          <w:tcPr>
            <w:tcW w:w="0" w:type="auto"/>
          </w:tcPr>
          <w:p w14:paraId="272C2A13" w14:textId="77777777" w:rsidR="001E2A9D" w:rsidRPr="00D956EB" w:rsidRDefault="00000000">
            <w:pPr>
              <w:rPr>
                <w:lang w:val="pt-BR"/>
              </w:rPr>
            </w:pPr>
            <w:r w:rsidRPr="00D956EB">
              <w:rPr>
                <w:lang w:val="pt-BR"/>
              </w:rPr>
              <w:t>tolerância de gap da janela</w:t>
            </w:r>
          </w:p>
        </w:tc>
      </w:tr>
      <w:tr w:rsidR="00374E05" w14:paraId="38161BF7" w14:textId="77777777">
        <w:tc>
          <w:tcPr>
            <w:tcW w:w="0" w:type="auto"/>
          </w:tcPr>
          <w:p w14:paraId="76EF4F15" w14:textId="77777777" w:rsidR="001E2A9D" w:rsidRDefault="00000000">
            <w:r>
              <w:t>todos</w:t>
            </w:r>
          </w:p>
        </w:tc>
        <w:tc>
          <w:tcPr>
            <w:tcW w:w="0" w:type="auto"/>
          </w:tcPr>
          <w:p w14:paraId="55B9BE61" w14:textId="77777777" w:rsidR="001E2A9D" w:rsidRDefault="00000000">
            <w:r>
              <w:t>threads</w:t>
            </w:r>
          </w:p>
        </w:tc>
        <w:tc>
          <w:tcPr>
            <w:tcW w:w="0" w:type="auto"/>
          </w:tcPr>
          <w:p w14:paraId="51C982DA" w14:textId="77777777" w:rsidR="001E2A9D" w:rsidRDefault="00000000">
            <w:r>
              <w:t>0 (todos os núcleos)</w:t>
            </w:r>
          </w:p>
        </w:tc>
        <w:tc>
          <w:tcPr>
            <w:tcW w:w="0" w:type="auto"/>
          </w:tcPr>
          <w:p w14:paraId="3AADC973" w14:textId="77777777" w:rsidR="001E2A9D" w:rsidRDefault="00000000">
            <w:r>
              <w:t>threads explícitas do solver</w:t>
            </w:r>
          </w:p>
        </w:tc>
      </w:tr>
    </w:tbl>
    <w:p w14:paraId="433BAEBE" w14:textId="77777777" w:rsidR="00374E05" w:rsidRPr="00D956EB" w:rsidRDefault="00000000">
      <w:pPr>
        <w:pStyle w:val="Corpodetexto"/>
        <w:rPr>
          <w:lang w:val="pt-BR"/>
        </w:rPr>
      </w:pPr>
      <w:r w:rsidRPr="00D956EB">
        <w:rPr>
          <w:lang w:val="pt-BR"/>
        </w:rPr>
        <w:t>Todas as execuções registram a proveniência completa (versão do solver, threads, hardware, sementes) e logs por janela (posição da janela, tempo de parede, perfil titular e duais pós-solução de [eq:dem] e [eq:prop]); os logs são liberados com o benchmark.</w:t>
      </w:r>
    </w:p>
    <w:p w14:paraId="63AB8AF5" w14:textId="77777777" w:rsidR="00374E05" w:rsidRPr="00D956EB" w:rsidRDefault="00000000">
      <w:pPr>
        <w:pStyle w:val="Ttulo1"/>
        <w:rPr>
          <w:lang w:val="pt-BR"/>
        </w:rPr>
      </w:pPr>
      <w:r w:rsidRPr="00D956EB">
        <w:rPr>
          <w:lang w:val="pt-BR"/>
        </w:rPr>
        <w:lastRenderedPageBreak/>
        <w:t>Baseline metaheurística híbrida</w:t>
      </w:r>
    </w:p>
    <w:p w14:paraId="46FED456" w14:textId="77777777" w:rsidR="00374E05" w:rsidRPr="00D956EB" w:rsidRDefault="00000000">
      <w:pPr>
        <w:pStyle w:val="FirstParagraph"/>
        <w:rPr>
          <w:lang w:val="pt-BR"/>
        </w:rPr>
      </w:pPr>
      <w:r w:rsidRPr="00D956EB">
        <w:rPr>
          <w:lang w:val="pt-BR"/>
        </w:rPr>
        <w:t>Para situar a mateurística contra a metaheurística pura mais forte que poderíamos construir – uma que nunca chama um solver MIP – desenvolvemos um procedimento híbrido (grasp-ils-pr) combinando componentes com fortes registros na literatura GRASP. Resumimos aqui e consultamos o código-fonte lançado para obter detalhes completos. [A FAZER: Verifique cada descrição de componente com docs/metaheuristicas.docx e grab_ils_psp.py antes do envio; confirme o tamanho do pool de elite, a regra de posse tabu e o cronograma de força de perturbação.]</w:t>
      </w:r>
    </w:p>
    <w:p w14:paraId="3924C055" w14:textId="77777777" w:rsidR="00374E05" w:rsidRPr="00D956EB" w:rsidRDefault="00000000">
      <w:pPr>
        <w:pStyle w:val="Corpodetexto"/>
        <w:rPr>
          <w:lang w:val="pt-BR"/>
        </w:rPr>
      </w:pPr>
      <w:r w:rsidRPr="00D956EB">
        <w:rPr>
          <w:lang w:val="pt-BR"/>
        </w:rPr>
        <w:t>As soluções são cronogramas avaliados exatamente pelo mesmo avaliador usado pela mateurística (Seção 4), portanto, todos os métodos otimizam literalmente o mesmo objetivo. A construção é um GRASP reativo (Feo e Resende 1995; Prais e Ribeiro 2000): os processos candidatos para cada período são classificados pela redução da escassez míope, sendo o parâmetro da lista restrita de candidatos extraído de um pool cujas probabilidades se adaptam à qualidade da solução observada. A pesquisa local é uma descida variável da vizinhança sobre a troca de processos e movimentos de realocação no estilo Or-opt no cronograma; para horizontes longos, os movimentos são restringidos por uma janela de tempo móvel com um mecanismo tabu para manter os custos de iteração limitados. O loop de melhoria é uma busca local iterada (Lourenço et al. 2010) cuja perturbação aplica reinserções multi-pontes de segmentos de cronograma, com força adaptativa. Dez trabalhadores trabalham em paralelo a partir de sementes diferentes e partilham um grupo de elite através da religação de caminhos cruzados (Laguna e Martí 1999; Resende e Ribeiro 2016), e a trajetória atual de cada trabalhador é registada.</w:t>
      </w:r>
    </w:p>
    <w:p w14:paraId="51F35598" w14:textId="77777777" w:rsidR="00374E05" w:rsidRPr="00D956EB" w:rsidRDefault="00000000">
      <w:pPr>
        <w:pStyle w:val="Corpodetexto"/>
        <w:rPr>
          <w:lang w:val="pt-BR"/>
        </w:rPr>
      </w:pPr>
      <w:r w:rsidRPr="00D956EB">
        <w:rPr>
          <w:lang w:val="pt-BR"/>
        </w:rPr>
        <w:t>Sob o protocolo de recursos iguais da Seção 6, grasp-ils-pr ocupa uma posição deliberadamente generosa: seus dez trabalhadores exploram a máquina completa para todo o orçamento de parede, e seu resultado por instância é o melhor de dez execuções. Isto torna a comparação com a mateurística e o solver a fortiori: qualquer déficit observado para grasp-ils-pr não pode ser atribuído a uma desvantagem de recursos. Historicamente, este procedimento é o descendente modernizado das heurísticas propostas para o PSP nos estudos originais (Luche et al. 2009) [A FAZER: + citação de tese], e as melhora substancialmente [DADOS DA SPRINT 2: uma frase com números de melhoria de v1 para v2 das tabelas mestre]; seu papel neste artigo, entretanto, é o de uma linha de base calibrada que representa o paradigma metaheurístico puro.</w:t>
      </w:r>
    </w:p>
    <w:p w14:paraId="7F278474" w14:textId="77777777" w:rsidR="00374E05" w:rsidRPr="00D956EB" w:rsidRDefault="00000000">
      <w:pPr>
        <w:pStyle w:val="Ttulo1"/>
        <w:rPr>
          <w:lang w:val="pt-BR"/>
        </w:rPr>
      </w:pPr>
      <w:r w:rsidRPr="00D956EB">
        <w:rPr>
          <w:lang w:val="pt-BR"/>
        </w:rPr>
        <w:t>Experimentos computacionais</w:t>
      </w:r>
    </w:p>
    <w:p w14:paraId="2A1146FC" w14:textId="77777777" w:rsidR="00374E05" w:rsidRPr="00D956EB" w:rsidRDefault="00000000">
      <w:pPr>
        <w:pStyle w:val="Ttulo2"/>
        <w:rPr>
          <w:lang w:val="pt-BR"/>
        </w:rPr>
      </w:pPr>
      <w:r w:rsidRPr="00D956EB">
        <w:rPr>
          <w:lang w:val="pt-BR"/>
        </w:rPr>
        <w:t>Benchmark</w:t>
      </w:r>
    </w:p>
    <w:p w14:paraId="73DCFA4D" w14:textId="77777777" w:rsidR="00374E05" w:rsidRPr="00D956EB" w:rsidRDefault="00000000">
      <w:pPr>
        <w:pStyle w:val="FirstParagraph"/>
        <w:rPr>
          <w:lang w:val="pt-BR"/>
        </w:rPr>
      </w:pPr>
      <w:r w:rsidRPr="00D956EB">
        <w:rPr>
          <w:lang w:val="pt-BR"/>
        </w:rPr>
        <w:t>[A FAZER: Rascunho após o relatório do Sprint 3. Plano de conteúdo abaixo; a subseção de referência é referenciada na Seção 3.]</w:t>
      </w:r>
    </w:p>
    <w:p w14:paraId="7F7B441F" w14:textId="77777777" w:rsidR="00374E05" w:rsidRPr="00D956EB" w:rsidRDefault="00000000">
      <w:pPr>
        <w:pStyle w:val="Ttulo1"/>
        <w:rPr>
          <w:lang w:val="pt-BR"/>
        </w:rPr>
      </w:pPr>
      <w:r w:rsidRPr="00D956EB">
        <w:rPr>
          <w:lang w:val="pt-BR"/>
        </w:rPr>
        <w:lastRenderedPageBreak/>
        <w:t>Conclusões</w:t>
      </w:r>
    </w:p>
    <w:p w14:paraId="36F145AF" w14:textId="77777777" w:rsidR="00374E05" w:rsidRPr="00D956EB" w:rsidRDefault="00000000">
      <w:pPr>
        <w:pStyle w:val="FirstParagraph"/>
        <w:rPr>
          <w:lang w:val="pt-BR"/>
        </w:rPr>
      </w:pPr>
      <w:r w:rsidRPr="00D956EB">
        <w:rPr>
          <w:lang w:val="pt-BR"/>
        </w:rPr>
        <w:t>[A FAZER: Rascunho por último. Plano de conteúdo:]</w:t>
      </w:r>
    </w:p>
    <w:p w14:paraId="610B1E1E" w14:textId="77777777" w:rsidR="00374E05" w:rsidRPr="00D956EB" w:rsidRDefault="00000000">
      <w:pPr>
        <w:pStyle w:val="Ttulo1"/>
        <w:rPr>
          <w:lang w:val="pt-BR"/>
        </w:rPr>
      </w:pPr>
      <w:r w:rsidRPr="00D956EB">
        <w:rPr>
          <w:lang w:val="pt-BR"/>
        </w:rPr>
        <w:t>Agradecimentos</w:t>
      </w:r>
    </w:p>
    <w:p w14:paraId="028F530C" w14:textId="77777777" w:rsidR="00374E05" w:rsidRPr="00D956EB" w:rsidRDefault="00000000">
      <w:pPr>
        <w:pStyle w:val="FirstParagraph"/>
        <w:rPr>
          <w:lang w:val="pt-BR"/>
        </w:rPr>
      </w:pPr>
      <w:r w:rsidRPr="00D956EB">
        <w:rPr>
          <w:lang w:val="pt-BR"/>
        </w:rPr>
        <w:t>[A FAZER: Agências de fomento (CNPq/FAPESP/CAPES?); reconhecimento da empresa (anonimizado); agradeça à licença acadêmica do GAMS, se aplicável.]</w:t>
      </w:r>
    </w:p>
    <w:p w14:paraId="4F71A749" w14:textId="77777777" w:rsidR="00374E05" w:rsidRPr="00D956EB" w:rsidRDefault="00000000">
      <w:pPr>
        <w:pStyle w:val="Ttulo1"/>
        <w:rPr>
          <w:lang w:val="pt-BR"/>
        </w:rPr>
      </w:pPr>
      <w:r w:rsidRPr="00D956EB">
        <w:rPr>
          <w:lang w:val="pt-BR"/>
        </w:rPr>
        <w:t>Disponibilidade dos dados</w:t>
      </w:r>
    </w:p>
    <w:p w14:paraId="562B70A4" w14:textId="77777777" w:rsidR="00374E05" w:rsidRPr="00D956EB" w:rsidRDefault="00000000">
      <w:pPr>
        <w:pStyle w:val="FirstParagraph"/>
        <w:rPr>
          <w:lang w:val="pt-BR"/>
        </w:rPr>
      </w:pPr>
      <w:r w:rsidRPr="00D956EB">
        <w:rPr>
          <w:lang w:val="pt-BR"/>
        </w:rPr>
        <w:t>O benchmark completo (60 instâncias em formato aberto), todos os arquivos da solução e o código-fonte do pipeline de matemática e análise estão disponíveis em [A FAZER: Zenodo DOI + GitHub URL após decisão de anonimato].</w:t>
      </w:r>
    </w:p>
    <w:p w14:paraId="5B8D1B3E" w14:textId="77777777" w:rsidR="00374E05" w:rsidRDefault="00000000">
      <w:pPr>
        <w:pStyle w:val="Bibliografia"/>
      </w:pPr>
      <w:r>
        <w:t>Achterberg, Tobias, Robert E. Bixby, Zonghao Gu, Edward Rothberg, and Dieter Weninger. 2020. “Presolve Reductions in Mixed Integer Programming.” INFORMS Journal on Computing 32 (2): 473–506.</w:t>
      </w:r>
    </w:p>
    <w:p w14:paraId="4F5B074B" w14:textId="77777777" w:rsidR="00374E05" w:rsidRDefault="00000000">
      <w:pPr>
        <w:pStyle w:val="Bibliografia"/>
      </w:pPr>
      <w:r>
        <w:t>Achterberg, Tobias, and Roland Wunderling. 2013. “Mixed Integer Programming: Analyzing 12 Years of Progress.” In Facets of Combinatorial Optimization: Festschrift for Martin Grötschel. Springer.</w:t>
      </w:r>
    </w:p>
    <w:p w14:paraId="7233A60E" w14:textId="77777777" w:rsidR="00374E05" w:rsidRDefault="00000000">
      <w:pPr>
        <w:pStyle w:val="Bibliografia"/>
      </w:pPr>
      <w:r w:rsidRPr="00D956EB">
        <w:rPr>
          <w:lang w:val="pt-BR"/>
        </w:rPr>
        <w:t xml:space="preserve">Aiex, Renata M., Mauricio G. C. Resende, and Celso C. Ribeiro. </w:t>
      </w:r>
      <w:r>
        <w:t>2007. “TTT Plots: A Perl Program to Create Time-to-Target Plots.” Optimization Letters 1 (4): 355–66. https://doi.org/10.1007/s11590-006-0031-4.</w:t>
      </w:r>
    </w:p>
    <w:p w14:paraId="427650CF" w14:textId="77777777" w:rsidR="00374E05" w:rsidRDefault="00000000">
      <w:pPr>
        <w:pStyle w:val="Bibliografia"/>
      </w:pPr>
      <w:r>
        <w:t>Araujo, Silvio A. de, Marcos N. Arenales, and Alistair R. Clark. 2008. “Lot Sizing and Furnace Scheduling in Small Foundries.” Computers &amp; Operations Research 35 (3): 916–32. https://doi.org/10.1016/j.cor.2006.05.010.</w:t>
      </w:r>
    </w:p>
    <w:p w14:paraId="5006FA6D" w14:textId="77777777" w:rsidR="00374E05" w:rsidRDefault="00000000">
      <w:pPr>
        <w:pStyle w:val="Bibliografia"/>
      </w:pPr>
      <w:r>
        <w:t>Baker, Kenneth R. 1977. “An Experimental Study of the Effectiveness of Rolling Schedules in Production Planning.” Decision Sciences 8 (1): 19–27. https://doi.org/10.1111/j.1540-5915.1977.tb01065.x.</w:t>
      </w:r>
    </w:p>
    <w:p w14:paraId="36C210A6" w14:textId="77777777" w:rsidR="00374E05" w:rsidRDefault="00000000">
      <w:pPr>
        <w:pStyle w:val="Bibliografia"/>
      </w:pPr>
      <w:r>
        <w:t>Bixby, Robert E. 2012. “A Brief History of Linear and Mixed-Integer Programming Computation.” Documenta Mathematica Extra Volume: Optimization Stories: 107–21. https://doi.org/10.4171/DMS/6/16.</w:t>
      </w:r>
    </w:p>
    <w:p w14:paraId="4E057D1B" w14:textId="77777777" w:rsidR="00374E05" w:rsidRDefault="00000000">
      <w:pPr>
        <w:pStyle w:val="Bibliografia"/>
      </w:pPr>
      <w:r>
        <w:t>Buschkühl, Lisbeth, Florian Sahling, Stefan Helber, and Horst Tempelmeier. 2010. “Dynamic Capacitated Lot-Sizing Problems: A Classification and Review of Solution Approaches.” OR Spectrum 32 (2): 231–61. https://doi.org/10.1007/s00291-008-0150-7.</w:t>
      </w:r>
    </w:p>
    <w:p w14:paraId="439D559E" w14:textId="77777777" w:rsidR="00374E05" w:rsidRDefault="00000000">
      <w:pPr>
        <w:pStyle w:val="Bibliografia"/>
      </w:pPr>
      <w:r>
        <w:lastRenderedPageBreak/>
        <w:t>Clark, Alistair R., Reinaldo Morabito, and Eli A. V. Toso. 2010. “Production Setup-Sequencing and Lot-Sizing at an Animal Nutrition Plant Through ATSP Subtour Elimination and Patching.” Journal of Scheduling 13 (2): 111–21.</w:t>
      </w:r>
    </w:p>
    <w:p w14:paraId="05EA5BF4" w14:textId="77777777" w:rsidR="00374E05" w:rsidRPr="00C72B3D" w:rsidRDefault="00000000">
      <w:pPr>
        <w:pStyle w:val="Bibliografia"/>
        <w:rPr>
          <w:lang w:val="pt-BR"/>
        </w:rPr>
      </w:pPr>
      <w:r>
        <w:t xml:space="preserve">Copil, Karina, Martin Wörbelauer, Herbert Meyr, and Horst Tempelmeier. 2017. “Simultaneous Lotsizing and Scheduling Problems: A Classification and Review of Models.” </w:t>
      </w:r>
      <w:r w:rsidRPr="00D956EB">
        <w:rPr>
          <w:lang w:val="pt-BR"/>
        </w:rPr>
        <w:t>OR Spectrum 39 (1): 1–64. https://doi.org/10.1007/s00291-015-0429-4.</w:t>
      </w:r>
    </w:p>
    <w:p w14:paraId="0AD6530C" w14:textId="77777777" w:rsidR="00374E05" w:rsidRPr="00C72B3D" w:rsidRDefault="00000000">
      <w:pPr>
        <w:pStyle w:val="Bibliografia"/>
        <w:rPr>
          <w:lang w:val="pt-BR"/>
        </w:rPr>
      </w:pPr>
      <w:r w:rsidRPr="00D956EB">
        <w:rPr>
          <w:lang w:val="pt-BR"/>
        </w:rPr>
        <w:t xml:space="preserve">Cunha, Artur Lovato, and Maristela Oliveira Santos. </w:t>
      </w:r>
      <w:r>
        <w:t xml:space="preserve">2017. “Mathematical Modelling and Solution Approaches for Production Planning in a Chemical Industry.” </w:t>
      </w:r>
      <w:r w:rsidRPr="00D956EB">
        <w:rPr>
          <w:lang w:val="pt-BR"/>
        </w:rPr>
        <w:t>Pesquisa Operacional 37 (2): 311–31. https://doi.org/10.1590/0101-7438.2017.037.02.0311.</w:t>
      </w:r>
    </w:p>
    <w:p w14:paraId="5B3C97B3" w14:textId="77777777" w:rsidR="00374E05" w:rsidRDefault="00000000">
      <w:pPr>
        <w:pStyle w:val="Bibliografia"/>
      </w:pPr>
      <w:r w:rsidRPr="00D956EB">
        <w:rPr>
          <w:lang w:val="pt-BR"/>
        </w:rPr>
        <w:t xml:space="preserve">Dillenberger, Christof, Laureano F. Escudero, Artur Wollensak, and Wu Zhang. </w:t>
      </w:r>
      <w:r>
        <w:t>1994. “On Practical Resource Allocation for Production Planning and Scheduling with Period Overlapping Setups.” European Journal of Operational Research 75 (2): 275–86. https://doi.org/10.1016/0377-2217(94)90074-4.</w:t>
      </w:r>
    </w:p>
    <w:p w14:paraId="3E948B8A" w14:textId="77777777" w:rsidR="00374E05" w:rsidRDefault="00000000">
      <w:pPr>
        <w:pStyle w:val="Bibliografia"/>
      </w:pPr>
      <w:r>
        <w:t>Dolan, Elizabeth D., and Jorge J. Moré. 2002. “Benchmarking Optimization Software with Performance Profiles.” Mathematical Programming 91 (2): 201–13. https://doi.org/10.1007/s101070100263.</w:t>
      </w:r>
    </w:p>
    <w:p w14:paraId="63B9FAFB" w14:textId="77777777" w:rsidR="00374E05" w:rsidRDefault="00000000">
      <w:pPr>
        <w:pStyle w:val="Bibliografia"/>
      </w:pPr>
      <w:r>
        <w:t>Drexl, Andreas, and Knut Haase. 1995. “Proportional Lotsizing and Scheduling.” International Journal of Production Economics 40 (1): 73–87.</w:t>
      </w:r>
    </w:p>
    <w:p w14:paraId="70DE64D1" w14:textId="77777777" w:rsidR="00374E05" w:rsidRDefault="00000000">
      <w:pPr>
        <w:pStyle w:val="Bibliografia"/>
      </w:pPr>
      <w:r>
        <w:t>Drexl, Andreas, and Alf Kimms. 1997. “Lot Sizing and Scheduling — Survey and Extensions.” European Journal of Operational Research 99 (2): 221–35. https://doi.org/10.1016/S0377-2217(97)00030-1.</w:t>
      </w:r>
    </w:p>
    <w:p w14:paraId="1ECEACE0" w14:textId="77777777" w:rsidR="00374E05" w:rsidRDefault="00000000">
      <w:pPr>
        <w:pStyle w:val="Bibliografia"/>
      </w:pPr>
      <w:r>
        <w:t>Feo, Thomas A., and Mauricio G. C. Resende. 1995. “Greedy Randomized Adaptive Search Procedures.” Journal of Global Optimization 6 (2): 109–33. https://doi.org/10.1007/BF01096763.</w:t>
      </w:r>
    </w:p>
    <w:p w14:paraId="79CAC618" w14:textId="77777777" w:rsidR="00374E05" w:rsidRDefault="00000000">
      <w:pPr>
        <w:pStyle w:val="Bibliografia"/>
      </w:pPr>
      <w:r>
        <w:t>Ferreira, Deisemara, Reinaldo Morabito, and Socorro Rangel. 2009. “Solution Approaches for the Soft Drink Integrated Production Lot Sizing and Scheduling Problem.” European Journal of Operational Research 196 (2): 697–706.</w:t>
      </w:r>
    </w:p>
    <w:p w14:paraId="731E73D0" w14:textId="77777777" w:rsidR="00374E05" w:rsidRDefault="00000000">
      <w:pPr>
        <w:pStyle w:val="Bibliografia"/>
      </w:pPr>
      <w:r>
        <w:t>Figueira, Gonçalo, Maristela O. Santos, and Bernardo Almada-Lobo. 2013. “A Hybrid VNS Approach for the Short-Term Production Planning and Scheduling: A Case Study in the Pulp and Paper Industry.” Computers &amp; Operations Research 40 (7): 1804–18.</w:t>
      </w:r>
    </w:p>
    <w:p w14:paraId="724DDE62" w14:textId="77777777" w:rsidR="00374E05" w:rsidRDefault="00000000">
      <w:pPr>
        <w:pStyle w:val="Bibliografia"/>
      </w:pPr>
      <w:r>
        <w:t>Fischetti, Martina, and Matteo Fischetti. 2018. “Matheuristics.” In Handbook of Heuristics, edited by Rafael Martí, Panos M. Pardalos, and Mauricio G. C. Resende. Springer. https://doi.org/10.1007/978-3-319-07124-4_14.</w:t>
      </w:r>
    </w:p>
    <w:p w14:paraId="30593E21" w14:textId="77777777" w:rsidR="00374E05" w:rsidRDefault="00000000">
      <w:pPr>
        <w:pStyle w:val="Bibliografia"/>
      </w:pPr>
      <w:r>
        <w:t>Fleischmann, Bernhard. 1990. “The Discrete Lot-Sizing and Scheduling Problem.” European Journal of Operational Research 44 (3): 337–48. https://doi.org/10.1016/0377-2217(90)90245-7.</w:t>
      </w:r>
    </w:p>
    <w:p w14:paraId="6AB13A73" w14:textId="77777777" w:rsidR="00374E05" w:rsidRPr="00C72B3D" w:rsidRDefault="00000000">
      <w:pPr>
        <w:pStyle w:val="Bibliografia"/>
        <w:rPr>
          <w:lang w:val="pt-BR"/>
        </w:rPr>
      </w:pPr>
      <w:r>
        <w:lastRenderedPageBreak/>
        <w:t xml:space="preserve">Fleischmann, Bernhard, and Herbert Meyr. 1997. “The General Lotsizing and Scheduling Problem.” </w:t>
      </w:r>
      <w:r w:rsidRPr="00D956EB">
        <w:rPr>
          <w:lang w:val="pt-BR"/>
        </w:rPr>
        <w:t>OR Spektrum 19 (1): 11–21.</w:t>
      </w:r>
    </w:p>
    <w:p w14:paraId="2C1C2C0A" w14:textId="77777777" w:rsidR="00374E05" w:rsidRDefault="00000000">
      <w:pPr>
        <w:pStyle w:val="Bibliografia"/>
      </w:pPr>
      <w:r w:rsidRPr="00D956EB">
        <w:rPr>
          <w:lang w:val="pt-BR"/>
        </w:rPr>
        <w:t xml:space="preserve">Furlan, Marcos, Bernardo Almada-Lobo, Maristela Santos, and Reinaldo Morabito. </w:t>
      </w:r>
      <w:r>
        <w:t>2024. “Matheuristic for the Lot-Sizing and Scheduling Problem in Integrated Pulp and Paper Production.” Computers &amp; Industrial Engineering 192: 110183. https://doi.org/10.1016/j.cie.2024.110183.</w:t>
      </w:r>
    </w:p>
    <w:p w14:paraId="4FD24270" w14:textId="77777777" w:rsidR="00374E05" w:rsidRDefault="00000000">
      <w:pPr>
        <w:pStyle w:val="Bibliografia"/>
      </w:pPr>
      <w:r>
        <w:t>Gleixner, Ambros, Gregor Hendel, Gerald Gamrath, et al. 2021. “MIPLIB 2017: Data-Driven Compilation of the 6th Mixed-Integer Programming Library.” Mathematical Programming Computation 13 (3): 443–90. https://doi.org/10.1007/s12532-020-00194-3.</w:t>
      </w:r>
    </w:p>
    <w:p w14:paraId="504BB57A" w14:textId="77777777" w:rsidR="00374E05" w:rsidRDefault="00000000">
      <w:pPr>
        <w:pStyle w:val="Bibliografia"/>
      </w:pPr>
      <w:r>
        <w:t>Glock, Christoph H., Eric H. Grosse, and Jörg M. Ries. 2014. “The Lot Sizing Problem: A Tertiary Study.” International Journal of Production Economics 155: 39–51. https://doi.org/10.1016/j.ijpe.2013.12.009.</w:t>
      </w:r>
    </w:p>
    <w:p w14:paraId="037DEDA7" w14:textId="77777777" w:rsidR="00374E05" w:rsidRDefault="00000000">
      <w:pPr>
        <w:pStyle w:val="Bibliografia"/>
      </w:pPr>
      <w:r>
        <w:t>Haase, Knut. 1996. “Capacitated Lot-Sizing with Sequence Dependent Setup Costs.” OR Spektrum 18: 51–59. https://doi.org/10.1007/BF01539882.</w:t>
      </w:r>
    </w:p>
    <w:p w14:paraId="1112DB77" w14:textId="77777777" w:rsidR="00374E05" w:rsidRDefault="00000000">
      <w:pPr>
        <w:pStyle w:val="Bibliografia"/>
      </w:pPr>
      <w:r>
        <w:t>Helber, Stefan, and Florian Sahling. 2010. “A Fix-and-Optimize Approach for the Multi-Level Capacitated Lot Sizing Problem.” International Journal of Production Economics 123 (2): 247–56.</w:t>
      </w:r>
    </w:p>
    <w:p w14:paraId="1B7A15C3" w14:textId="77777777" w:rsidR="00374E05" w:rsidRDefault="00000000">
      <w:pPr>
        <w:pStyle w:val="Bibliografia"/>
      </w:pPr>
      <w:r>
        <w:t>James, Ross J. W., and Bernardo Almada-Lobo. 2011. “Single and Parallel Machine Capacitated Lotsizing and Scheduling: New Iterative MIP-Based Neighborhood Search Heuristics.” Computers &amp; Operations Research 38 (12): 1816–25. https://doi.org/10.1016/j.cor.2011.02.005.</w:t>
      </w:r>
    </w:p>
    <w:p w14:paraId="35A18FCA" w14:textId="77777777" w:rsidR="00374E05" w:rsidRDefault="00000000">
      <w:pPr>
        <w:pStyle w:val="Bibliografia"/>
      </w:pPr>
      <w:r>
        <w:t>Jans, Raf, and Zeger Degraeve. 2008. “Modeling Industrial Lot Sizing Problems: A Review.” International Journal of Production Research 46 (6): 1619–43. https://doi.org/10.1080/00207540600902262.</w:t>
      </w:r>
    </w:p>
    <w:p w14:paraId="121609D5" w14:textId="77777777" w:rsidR="00374E05" w:rsidRDefault="00000000">
      <w:pPr>
        <w:pStyle w:val="Bibliografia"/>
      </w:pPr>
      <w:r>
        <w:t>Karimi, B., S. M. T. Fatemi Ghomi, and J. M. Wilson. 2003. “The Capacitated Lot Sizing Problem: A Review of Models and Algorithms.” Omega 31 (5): 365–78. https://doi.org/10.1016/S0305-0483(03)00059-8.</w:t>
      </w:r>
    </w:p>
    <w:p w14:paraId="7283F4DC" w14:textId="77777777" w:rsidR="00374E05" w:rsidRDefault="00000000">
      <w:pPr>
        <w:pStyle w:val="Bibliografia"/>
      </w:pPr>
      <w:r>
        <w:t>Karmarkar, Uday S., and Linus Schrage. 1985. “The Deterministic Dynamic Product Cycling Problem.” Operations Research 33 (2): 326–45. https://doi.org/10.1287/opre.33.2.326.</w:t>
      </w:r>
    </w:p>
    <w:p w14:paraId="4B559CE0" w14:textId="77777777" w:rsidR="00374E05" w:rsidRDefault="00000000">
      <w:pPr>
        <w:pStyle w:val="Bibliografia"/>
      </w:pPr>
      <w:r>
        <w:t>Koch, Thorsten, Timo Berthold, Jaap Pedersen, and Charlie Vanaret. 2022. “Progress in Mathematical Programming Solvers from 2001 to 2020.” EURO Journal on Computational Optimization 10: 100031. https://doi.org/10.1016/j.ejco.2022.100031.</w:t>
      </w:r>
    </w:p>
    <w:p w14:paraId="2E700814" w14:textId="77777777" w:rsidR="00374E05" w:rsidRDefault="00000000">
      <w:pPr>
        <w:pStyle w:val="Bibliografia"/>
      </w:pPr>
      <w:r w:rsidRPr="00D956EB">
        <w:rPr>
          <w:lang w:val="pt-BR"/>
        </w:rPr>
        <w:t xml:space="preserve">Laguna, Manuel, and Rafael Martí. </w:t>
      </w:r>
      <w:r>
        <w:t>1999. “GRASP and Path Relinking for 2-Layer Straight Line Crossing Minimization.” INFORMS Journal on Computing 11 (1): 44–52. https://doi.org/10.1287/ijoc.11.1.44.</w:t>
      </w:r>
    </w:p>
    <w:p w14:paraId="1AF2C4C7" w14:textId="77777777" w:rsidR="00374E05" w:rsidRDefault="00000000">
      <w:pPr>
        <w:pStyle w:val="Bibliografia"/>
      </w:pPr>
      <w:r>
        <w:lastRenderedPageBreak/>
        <w:t>Leachman, Robert C. 2002. “Semiconductor Production Planning.” In Handbook of Applied Optimization, edited by Panos M. Pardalos and Mauricio G. C. Resende. Oxford University Press.</w:t>
      </w:r>
    </w:p>
    <w:p w14:paraId="6E73D424" w14:textId="77777777" w:rsidR="00374E05" w:rsidRDefault="00000000">
      <w:pPr>
        <w:pStyle w:val="Bibliografia"/>
      </w:pPr>
      <w:r>
        <w:t>Lourenço, Helena R., Olivier C. Martin, and Thomas Stützle. 2010. “Iterated Local Search: Framework and Applications.” In Handbook of Metaheuristics, 2nd ed. Springer.</w:t>
      </w:r>
    </w:p>
    <w:p w14:paraId="6C9E5EB7" w14:textId="77777777" w:rsidR="00374E05" w:rsidRDefault="00000000">
      <w:pPr>
        <w:pStyle w:val="Bibliografia"/>
      </w:pPr>
      <w:r>
        <w:t>Luche, José Roberto Dale, Reinaldo Morabito, and Vitória Pureza. 2009. “Combining Process Selection and Lot Sizing Models for Production Scheduling of Electrofused Grains.” Asia-Pacific Journal of Operational Research 26 (3): 421–43. https://doi.org/10.1142/S0217595909002286.</w:t>
      </w:r>
    </w:p>
    <w:p w14:paraId="12A47337" w14:textId="77777777" w:rsidR="00374E05" w:rsidRDefault="00000000">
      <w:pPr>
        <w:pStyle w:val="Bibliografia"/>
      </w:pPr>
      <w:r w:rsidRPr="00D956EB">
        <w:rPr>
          <w:lang w:val="pt-BR"/>
        </w:rPr>
        <w:t xml:space="preserve">Martínez, Karim Pérez, Reinaldo Morabito, and Eli Angela Vitor Toso. 2018. </w:t>
      </w:r>
      <w:r>
        <w:t>“A Coupled Process Configuration, Lot-Sizing and Scheduling Model for Production Planning in the Molded Pulp Industry.” International Journal of Production Economics 204: 227–43.</w:t>
      </w:r>
    </w:p>
    <w:p w14:paraId="49E4CBA3" w14:textId="77777777" w:rsidR="00374E05" w:rsidRDefault="00000000">
      <w:pPr>
        <w:pStyle w:val="Bibliografia"/>
      </w:pPr>
      <w:r>
        <w:t>Ng, T. S., and John Fowler. 2007. “Semiconductor Production Planning Using Robust Optimization.” Proceedings of the IEEE International Conference on Industrial Engineering and Engineering Management (IEEM), 1073–77. https://doi.org/10.1109/IEEM.2007.4419357.</w:t>
      </w:r>
    </w:p>
    <w:p w14:paraId="69651111" w14:textId="77777777" w:rsidR="00374E05" w:rsidRDefault="00000000">
      <w:pPr>
        <w:pStyle w:val="Bibliografia"/>
      </w:pPr>
      <w:r>
        <w:t>Pochet, Yves, and Laurence A. Wolsey. 2006. Production Planning by Mixed Integer Programming. Springer. https://doi.org/10.1007/0-387-33477-7.</w:t>
      </w:r>
    </w:p>
    <w:p w14:paraId="654CA5BF" w14:textId="77777777" w:rsidR="00374E05" w:rsidRDefault="00000000">
      <w:pPr>
        <w:pStyle w:val="Bibliografia"/>
      </w:pPr>
      <w:r>
        <w:t>Prais, Marcelo, and Celso C. Ribeiro. 2000. “Reactive GRASP: An Application to a Matrix Decomposition Problem in TDMA Traffic Assignment.” INFORMS Journal on Computing 12 (3): 164–76. https://doi.org/10.1287/ijoc.12.3.164.12639.</w:t>
      </w:r>
    </w:p>
    <w:p w14:paraId="487F71CB" w14:textId="77777777" w:rsidR="00374E05" w:rsidRDefault="00000000">
      <w:pPr>
        <w:pStyle w:val="Bibliografia"/>
      </w:pPr>
      <w:r>
        <w:t>Resende, Mauricio G. C., and Celso C. Ribeiro. 2016. Optimization by GRASP: Greedy Randomized Adaptive Search Procedures. Springer. https://doi.org/10.1007/978-1-4939-6530-4.</w:t>
      </w:r>
    </w:p>
    <w:p w14:paraId="5C3D57AE" w14:textId="77777777" w:rsidR="00374E05" w:rsidRDefault="00000000">
      <w:pPr>
        <w:pStyle w:val="Bibliografia"/>
      </w:pPr>
      <w:r>
        <w:t>Sahling, Florian, Lisbeth Buschkühl, Horst Tempelmeier, and Stefan Helber. 2009. “Solving a Multi-Level Capacitated Lot Sizing Problem with Multi-Period Setup Carry-over via a Fix-and-Optimize Heuristic.” Computers &amp; Operations Research 36 (9): 2546–53.</w:t>
      </w:r>
    </w:p>
    <w:p w14:paraId="38598D5F" w14:textId="77777777" w:rsidR="00374E05" w:rsidRDefault="00000000">
      <w:pPr>
        <w:pStyle w:val="Bibliografia"/>
      </w:pPr>
      <w:r>
        <w:t>Santos, Maristela O., and Bernardo Almada-Lobo. 2012. “Integrated Pulp and Paper Mill Planning and Scheduling.” Computers &amp; Industrial Engineering 63 (1): 1–12.</w:t>
      </w:r>
    </w:p>
    <w:p w14:paraId="5E914336" w14:textId="77777777" w:rsidR="00374E05" w:rsidRDefault="00000000">
      <w:pPr>
        <w:pStyle w:val="Bibliografia"/>
      </w:pPr>
      <w:r>
        <w:t>Silva, Eduardo M., Gislaine M. Melega, Kerem Akartunalı, and Silvio A. de Araujo. 2023. “Formulations and Theoretical Analysis of the One-Dimensional Multi-Period Cutting Stock Problem with Setup Cost.” European Journal of Operational Research.</w:t>
      </w:r>
    </w:p>
    <w:p w14:paraId="05CC5652" w14:textId="77777777" w:rsidR="00374E05" w:rsidRDefault="00000000">
      <w:pPr>
        <w:pStyle w:val="Bibliografia"/>
      </w:pPr>
      <w:r>
        <w:t>Soler, Willy A. O., Maristela O. Santos, and Kerem Akartunalı. 2021. “MIP Approaches for a Lot Sizing and Scheduling Problem on Multiple Production Lines with Scarce Resources, Temporary Workstations, and Perishable Products.” Journal of the Operational Research Society 72 (8): 1691–706. https://doi.org/10.1080/01605682.2019.1640588.</w:t>
      </w:r>
    </w:p>
    <w:p w14:paraId="0B184A41" w14:textId="77777777" w:rsidR="00374E05" w:rsidRPr="00C72B3D" w:rsidRDefault="00000000">
      <w:pPr>
        <w:pStyle w:val="Bibliografia"/>
        <w:rPr>
          <w:lang w:val="pt-BR"/>
        </w:rPr>
      </w:pPr>
      <w:r>
        <w:lastRenderedPageBreak/>
        <w:t xml:space="preserve">Toledo, Claudio F. M., Alf Kimms, Paulo M. França, and Reinaldo Morabito. 2015. “The Synchronized and Integrated Two-Level Lot Sizing and Scheduling Problem: Evaluating the Generalized Mathematical Model.” </w:t>
      </w:r>
      <w:r w:rsidRPr="00D956EB">
        <w:rPr>
          <w:lang w:val="pt-BR"/>
        </w:rPr>
        <w:t>Mathematical Problems in Engineering 2015: 1–18. https://doi.org/10.1155/2015/182781.</w:t>
      </w:r>
    </w:p>
    <w:p w14:paraId="3DE55783" w14:textId="77777777" w:rsidR="00374E05" w:rsidRDefault="00000000">
      <w:pPr>
        <w:pStyle w:val="Bibliografia"/>
      </w:pPr>
      <w:r w:rsidRPr="00D956EB">
        <w:rPr>
          <w:lang w:val="pt-BR"/>
        </w:rPr>
        <w:t xml:space="preserve">Toledo, Claudio F. M., Márcio da Silva Arantes, Marcelo Y. B. Hossomi, Paulo M. França, and Kerem Akartunalı. </w:t>
      </w:r>
      <w:r>
        <w:t>2015. “A Relax-and-Fix with Fix-and-Optimize Heuristic Applied to Multi-Level Lot-Sizing Problems.” Journal of Heuristics 21 (5): 687–717. https://doi.org/10.1007/s10732-015-9295-0.</w:t>
      </w:r>
    </w:p>
    <w:p w14:paraId="225B0366" w14:textId="77777777" w:rsidR="00374E05" w:rsidRDefault="00000000">
      <w:pPr>
        <w:pStyle w:val="Bibliografia"/>
      </w:pPr>
      <w:r>
        <w:t>Toscano, Alyne, Deisemara Ferreira, and Reinaldo Morabito. 2020. “Formulation and MIP-Heuristics for the Lot Sizing and Scheduling Problem with Temporal Cleanings.” Computers &amp; Chemical Engineering 142: 107038. https://doi.org/10.1016/j.compchemeng.2020.107038.</w:t>
      </w:r>
    </w:p>
    <w:p w14:paraId="189E2C7C" w14:textId="77777777" w:rsidR="00374E05" w:rsidRDefault="00000000">
      <w:pPr>
        <w:pStyle w:val="Bibliografia"/>
      </w:pPr>
      <w:r>
        <w:t>Toso, Eli A. V., Reinaldo Morabito, and Alistair R. Clark. 2009. “Lot Sizing and Sequencing Optimisation at an Animal-Feed Plant.” Computers &amp; Industrial Engineering 57 (3): 813–21.</w:t>
      </w:r>
    </w:p>
    <w:p w14:paraId="071D4F04" w14:textId="77777777" w:rsidR="00374E05" w:rsidRDefault="00000000">
      <w:pPr>
        <w:pStyle w:val="Bibliografia"/>
      </w:pPr>
      <w:r>
        <w:t>Wörbelauer, Martin, Herbert Meyr, and Bernardo Almada-Lobo. 2019. “Simultaneous Lotsizing and Scheduling Considering Secondary Resources: A General Model, Literature Review and Classification.” OR Spectrum 41 (1): 1–43. https://doi.org/10.1007/s00291-018-0536-0.</w:t>
      </w:r>
    </w:p>
    <w:sectPr w:rsidR="00374E05">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le Luche ." w:date="2026-07-31T15:39:00Z" w:initials="D.">
    <w:p w14:paraId="58AEFBA1" w14:textId="77777777" w:rsidR="00F17DB8" w:rsidRDefault="00F17DB8" w:rsidP="00F17DB8">
      <w:pPr>
        <w:pStyle w:val="Textodecomentrio"/>
      </w:pPr>
      <w:r>
        <w:rPr>
          <w:rStyle w:val="Refdecomentrio"/>
        </w:rPr>
        <w:annotationRef/>
      </w:r>
      <w:r>
        <w:t>Verificar se ele comenta sobre qual computador é utilizado com o CPLEX 12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AEFB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A0E42" w16cex:dateUtc="2026-07-31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AEFBA1" w16cid:durableId="668A0E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F000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536366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le Luche .">
    <w15:presenceInfo w15:providerId="Windows Live" w15:userId="dd5d789b73be80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74E05"/>
    <w:rsid w:val="000D6C1C"/>
    <w:rsid w:val="001C416F"/>
    <w:rsid w:val="001E2A9D"/>
    <w:rsid w:val="003432BB"/>
    <w:rsid w:val="00374E05"/>
    <w:rsid w:val="006C5AC7"/>
    <w:rsid w:val="00917CDD"/>
    <w:rsid w:val="00C34B25"/>
    <w:rsid w:val="00C72B3D"/>
    <w:rsid w:val="00CA3B8E"/>
    <w:rsid w:val="00CD0E69"/>
    <w:rsid w:val="00D956EB"/>
    <w:rsid w:val="00DD5B62"/>
    <w:rsid w:val="00DE2736"/>
    <w:rsid w:val="00F17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0F1C2"/>
  <w15:docId w15:val="{0B2C3E39-52F1-4D09-8C55-E00617453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Refdecomentrio">
    <w:name w:val="annotation reference"/>
    <w:basedOn w:val="Fontepargpadro"/>
    <w:rsid w:val="00F17DB8"/>
    <w:rPr>
      <w:sz w:val="16"/>
      <w:szCs w:val="16"/>
    </w:rPr>
  </w:style>
  <w:style w:type="paragraph" w:styleId="Textodecomentrio">
    <w:name w:val="annotation text"/>
    <w:basedOn w:val="Normal"/>
    <w:link w:val="TextodecomentrioChar"/>
    <w:rsid w:val="00F17DB8"/>
    <w:rPr>
      <w:sz w:val="20"/>
      <w:szCs w:val="20"/>
    </w:rPr>
  </w:style>
  <w:style w:type="character" w:customStyle="1" w:styleId="TextodecomentrioChar">
    <w:name w:val="Texto de comentário Char"/>
    <w:basedOn w:val="Fontepargpadro"/>
    <w:link w:val="Textodecomentrio"/>
    <w:rsid w:val="00F17DB8"/>
    <w:rPr>
      <w:sz w:val="20"/>
      <w:szCs w:val="20"/>
    </w:rPr>
  </w:style>
  <w:style w:type="paragraph" w:styleId="Assuntodocomentrio">
    <w:name w:val="annotation subject"/>
    <w:basedOn w:val="Textodecomentrio"/>
    <w:next w:val="Textodecomentrio"/>
    <w:link w:val="AssuntodocomentrioChar"/>
    <w:rsid w:val="00F17DB8"/>
    <w:rPr>
      <w:b/>
      <w:bCs/>
    </w:rPr>
  </w:style>
  <w:style w:type="character" w:customStyle="1" w:styleId="AssuntodocomentrioChar">
    <w:name w:val="Assunto do comentário Char"/>
    <w:basedOn w:val="TextodecomentrioChar"/>
    <w:link w:val="Assuntodocomentrio"/>
    <w:rsid w:val="00F17D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15</Pages>
  <Words>6201</Words>
  <Characters>33490</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Manuscrito traduzido para Português Brasileiro</vt:lpstr>
    </vt:vector>
  </TitlesOfParts>
  <Company/>
  <LinksUpToDate>false</LinksUpToDate>
  <CharactersWithSpaces>39612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Manuscrito traduzido para Português Brasileiro</dc:title>
  <dc:subject>Tradução pt-BR do manuscrito PSP</dc:subject>
  <dc:creator>José Roberto Dale Luche; Vitória Pureza; Reinaldo Morabito</dc:creator>
  <cp:keywords/>
  <cp:lastModifiedBy>Dale Luche .</cp:lastModifiedBy>
  <cp:revision>8</cp:revision>
  <dcterms:created xsi:type="dcterms:W3CDTF">2026-07-31T16:37:00Z</dcterms:created>
  <dcterms:modified xsi:type="dcterms:W3CDTF">2026-07-31T19:34:00Z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[TODO: Write last. Skeleton: (1) real-world PSP with co-production in fixed proportions; (2) fifteen years after the original case study, we revisit the problem with a modern MIP solver, quantifying solver progress; (3) we propose relax-and-fix / fix-and-optimize matheuristics and an RF-warm-started monolithic method, and benchmark them against a state-of-the-art hybrid GRASP-ILS with path relinking under a strict equal-resources protocol with pre-registered hypotheses; (4) headline numbers from Sprint 2; (5) public benchmark of 60 instances and a method-choice frontier in the scale \times time-budget plane.]</vt:lpwstr>
  </property>
  <property fmtid="{D5CDD505-2E9C-101B-9397-08002B2CF9AE}" pid="3" name="address">
    <vt:lpwstr/>
  </property>
  <property fmtid="{D5CDD505-2E9C-101B-9397-08002B2CF9AE}" pid="4" name="bibliography">
    <vt:lpwstr>references.bib</vt:lpwstr>
  </property>
</Properties>
</file>