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Religious</w:t>
      </w:r>
      <w:r>
        <w:t xml:space="preserve"> </w:t>
      </w:r>
      <w:r>
        <w:t xml:space="preserve">Language</w:t>
      </w:r>
    </w:p>
    <w:p>
      <w:pPr>
        <w:pStyle w:val="Author"/>
      </w:pPr>
      <w:r>
        <w:t xml:space="preserve">(Dale</w:t>
      </w:r>
      <w:r>
        <w:t xml:space="preserve"> </w:t>
      </w:r>
      <w:r>
        <w:t xml:space="preserve">Hathaway)</w:t>
      </w:r>
    </w:p>
    <w:p>
      <w:pPr>
        <w:pStyle w:val="Heading2"/>
      </w:pPr>
      <w:bookmarkStart w:id="21" w:name="dale-hathaway"/>
      <w:bookmarkEnd w:id="21"/>
      <w:r>
        <w:t xml:space="preserve">Dale Hathaway</w:t>
      </w:r>
    </w:p>
    <w:p>
      <w:pPr>
        <w:pStyle w:val="Heading2"/>
      </w:pPr>
      <w:bookmarkStart w:id="22" w:name="fall-2020"/>
      <w:bookmarkEnd w:id="22"/>
      <w:r>
        <w:t xml:space="preserve">Fall 2020</w:t>
      </w:r>
    </w:p>
    <w:p>
      <w:pPr>
        <w:pStyle w:val="FirstParagraph"/>
      </w:pPr>
      <w:r>
        <w:t xml:space="preserve">Created: 2020-07-24 Fri 16:15</w:t>
      </w:r>
    </w:p>
    <w:p>
      <w:pPr>
        <w:pStyle w:val="Heading2"/>
      </w:pPr>
      <w:bookmarkStart w:id="23" w:name="table-of-contents"/>
      <w:bookmarkEnd w:id="23"/>
      <w:r>
        <w:t xml:space="preserve">Table of Contents</w:t>
      </w:r>
    </w:p>
    <w:p>
      <w:pPr>
        <w:pStyle w:val="Compact"/>
        <w:numPr>
          <w:numId w:val="1001"/>
          <w:ilvl w:val="0"/>
        </w:numPr>
      </w:pPr>
      <w:hyperlink w:anchor="/slide-org12881ca">
        <w:r>
          <w:rPr>
            <w:rStyle w:val="Hyperlink"/>
          </w:rPr>
          <w:t xml:space="preserve">Guide to app usage</w:t>
        </w:r>
      </w:hyperlink>
    </w:p>
    <w:p>
      <w:pPr>
        <w:pStyle w:val="Compact"/>
        <w:numPr>
          <w:numId w:val="1001"/>
          <w:ilvl w:val="0"/>
        </w:numPr>
      </w:pPr>
      <w:hyperlink w:anchor="/slide-org20e998e">
        <w:r>
          <w:rPr>
            <w:rStyle w:val="Hyperlink"/>
          </w:rPr>
          <w:t xml:space="preserve">Religious language: Interpretation</w:t>
        </w:r>
      </w:hyperlink>
    </w:p>
    <w:p>
      <w:pPr>
        <w:pStyle w:val="Compact"/>
        <w:numPr>
          <w:numId w:val="1002"/>
          <w:ilvl w:val="1"/>
        </w:numPr>
      </w:pPr>
      <w:hyperlink w:anchor="/slide-orge5f0e2c">
        <w:r>
          <w:rPr>
            <w:rStyle w:val="Hyperlink"/>
          </w:rPr>
          <w:t xml:space="preserve">hermeneutics / interpretation</w:t>
        </w:r>
      </w:hyperlink>
    </w:p>
    <w:p>
      <w:pPr>
        <w:pStyle w:val="Compact"/>
        <w:numPr>
          <w:numId w:val="1002"/>
          <w:ilvl w:val="1"/>
        </w:numPr>
      </w:pPr>
      <w:hyperlink w:anchor="/slide-org1a529c2">
        <w:r>
          <w:rPr>
            <w:rStyle w:val="Hyperlink"/>
          </w:rPr>
          <w:t xml:space="preserve">hermeneutics at work</w:t>
        </w:r>
      </w:hyperlink>
    </w:p>
    <w:p>
      <w:pPr>
        <w:pStyle w:val="Compact"/>
        <w:numPr>
          <w:numId w:val="1002"/>
          <w:ilvl w:val="1"/>
        </w:numPr>
      </w:pPr>
      <w:hyperlink w:anchor="/slide-org89ecd47">
        <w:r>
          <w:rPr>
            <w:rStyle w:val="Hyperlink"/>
          </w:rPr>
          <w:t xml:space="preserve">consider …</w:t>
        </w:r>
      </w:hyperlink>
    </w:p>
    <w:p>
      <w:pPr>
        <w:pStyle w:val="Compact"/>
        <w:numPr>
          <w:numId w:val="1001"/>
          <w:ilvl w:val="0"/>
        </w:numPr>
      </w:pPr>
      <w:hyperlink w:anchor="/slide-orga9de34c">
        <w:r>
          <w:rPr>
            <w:rStyle w:val="Hyperlink"/>
          </w:rPr>
          <w:t xml:space="preserve">Religious language: Narrative</w:t>
        </w:r>
      </w:hyperlink>
    </w:p>
    <w:p>
      <w:pPr>
        <w:pStyle w:val="Compact"/>
        <w:numPr>
          <w:numId w:val="1003"/>
          <w:ilvl w:val="1"/>
        </w:numPr>
      </w:pPr>
      <w:hyperlink w:anchor="/slide-org0459930">
        <w:r>
          <w:rPr>
            <w:rStyle w:val="Hyperlink"/>
          </w:rPr>
          <w:t xml:space="preserve">Religious language is Like Poetry</w:t>
        </w:r>
      </w:hyperlink>
    </w:p>
    <w:p>
      <w:pPr>
        <w:pStyle w:val="Compact"/>
        <w:numPr>
          <w:numId w:val="1003"/>
          <w:ilvl w:val="1"/>
        </w:numPr>
      </w:pPr>
      <w:hyperlink w:anchor="/slide-orgc6946ac">
        <w:r>
          <w:rPr>
            <w:rStyle w:val="Hyperlink"/>
          </w:rPr>
          <w:t xml:space="preserve">Religious stories</w:t>
        </w:r>
      </w:hyperlink>
    </w:p>
    <w:p>
      <w:pPr>
        <w:pStyle w:val="Compact"/>
        <w:numPr>
          <w:numId w:val="1003"/>
          <w:ilvl w:val="1"/>
        </w:numPr>
      </w:pPr>
      <w:hyperlink w:anchor="/slide-org734107a">
        <w:r>
          <w:rPr>
            <w:rStyle w:val="Hyperlink"/>
          </w:rPr>
          <w:t xml:space="preserve">Parable:</w:t>
        </w:r>
      </w:hyperlink>
    </w:p>
    <w:p>
      <w:pPr>
        <w:pStyle w:val="Compact"/>
        <w:numPr>
          <w:numId w:val="1003"/>
          <w:ilvl w:val="1"/>
        </w:numPr>
      </w:pPr>
      <w:hyperlink w:anchor="/slide-org668b469">
        <w:r>
          <w:rPr>
            <w:rStyle w:val="Hyperlink"/>
          </w:rPr>
          <w:t xml:space="preserve">Sacred Stories</w:t>
        </w:r>
      </w:hyperlink>
    </w:p>
    <w:p>
      <w:pPr>
        <w:pStyle w:val="Compact"/>
        <w:numPr>
          <w:numId w:val="1001"/>
          <w:ilvl w:val="0"/>
        </w:numPr>
      </w:pPr>
      <w:hyperlink w:anchor="/slide-orgf2bb93d">
        <w:r>
          <w:rPr>
            <w:rStyle w:val="Hyperlink"/>
          </w:rPr>
          <w:t xml:space="preserve">Religious language: Functions</w:t>
        </w:r>
      </w:hyperlink>
    </w:p>
    <w:p>
      <w:pPr>
        <w:pStyle w:val="Heading2"/>
      </w:pPr>
      <w:bookmarkStart w:id="24" w:name="org12881ca"/>
      <w:bookmarkEnd w:id="24"/>
      <w:r>
        <w:t xml:space="preserve">Guide to app usage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Key stroke</w:t>
            </w:r>
          </w:p>
        </w:tc>
        <w:tc>
          <w:tcPr>
            <w:tcBorders>
              <w:bottom w:val="single"/>
            </w:tcBorders>
            <w:vAlign w:val="bottom"/>
          </w:tcPr>
          <w:p>
            <w:pPr>
              <w:pStyle w:val="Compact"/>
              <w:jc w:val="left"/>
            </w:pPr>
            <w:r>
              <w:t xml:space="preserve">Effect</w:t>
            </w:r>
          </w:p>
        </w:tc>
      </w:tr>
      <w:tr>
        <w:tc>
          <w:p>
            <w:pPr>
              <w:pStyle w:val="Compact"/>
              <w:jc w:val="left"/>
            </w:pPr>
            <w:r>
              <w:t xml:space="preserve">n, space</w:t>
            </w:r>
          </w:p>
        </w:tc>
        <w:tc>
          <w:p>
            <w:pPr>
              <w:pStyle w:val="Compact"/>
              <w:jc w:val="left"/>
            </w:pPr>
            <w:r>
              <w:t xml:space="preserve">next slide</w:t>
            </w:r>
          </w:p>
        </w:tc>
      </w:tr>
      <w:tr>
        <w:tc>
          <w:p>
            <w:pPr>
              <w:pStyle w:val="Compact"/>
              <w:jc w:val="left"/>
            </w:pPr>
            <w:r>
              <w:t xml:space="preserve">p</w:t>
            </w:r>
          </w:p>
        </w:tc>
        <w:tc>
          <w:p>
            <w:pPr>
              <w:pStyle w:val="Compact"/>
              <w:jc w:val="left"/>
            </w:pPr>
            <w:r>
              <w:t xml:space="preserve">previous slide</w:t>
            </w:r>
          </w:p>
        </w:tc>
      </w:tr>
      <w:tr>
        <w:tc>
          <w:p>
            <w:pPr>
              <w:pStyle w:val="Compact"/>
              <w:jc w:val="left"/>
            </w:pPr>
            <w:r>
              <w:t xml:space="preserve">f</w:t>
            </w:r>
          </w:p>
        </w:tc>
        <w:tc>
          <w:p>
            <w:pPr>
              <w:pStyle w:val="Compact"/>
              <w:jc w:val="left"/>
            </w:pPr>
            <w:r>
              <w:t xml:space="preserve">fullscreen</w:t>
            </w:r>
          </w:p>
        </w:tc>
      </w:tr>
      <w:tr>
        <w:tc>
          <w:p>
            <w:pPr>
              <w:pStyle w:val="Compact"/>
              <w:jc w:val="left"/>
            </w:pPr>
            <w:r>
              <w:t xml:space="preserve">esc, o</w:t>
            </w:r>
          </w:p>
        </w:tc>
        <w:tc>
          <w:p>
            <w:pPr>
              <w:pStyle w:val="Compact"/>
              <w:jc w:val="left"/>
            </w:pPr>
            <w:r>
              <w:t xml:space="preserve">overview slide</w:t>
            </w:r>
          </w:p>
        </w:tc>
      </w:tr>
      <w:tr>
        <w:tc>
          <w:p>
            <w:pPr>
              <w:pStyle w:val="Compact"/>
              <w:jc w:val="left"/>
            </w:pPr>
            <w:r>
              <w:t xml:space="preserve">m</w:t>
            </w:r>
          </w:p>
        </w:tc>
        <w:tc>
          <w:p>
            <w:pPr>
              <w:pStyle w:val="Compact"/>
              <w:jc w:val="left"/>
            </w:pPr>
            <w:r>
              <w:t xml:space="preserve">toggle menu</w:t>
            </w:r>
          </w:p>
        </w:tc>
      </w:tr>
      <w:tr>
        <w:tc>
          <w:p>
            <w:pPr>
              <w:pStyle w:val="Compact"/>
              <w:jc w:val="left"/>
            </w:pPr>
            <w:r>
              <w:t xml:space="preserve">audio inlay</w:t>
            </w:r>
          </w:p>
        </w:tc>
        <w:tc>
          <w:p>
            <w:pPr>
              <w:pStyle w:val="Compact"/>
              <w:jc w:val="left"/>
            </w:pPr>
            <w:r>
              <w:t xml:space="preserve">start/stop audio playback</w:t>
            </w:r>
          </w:p>
        </w:tc>
      </w:tr>
    </w:tbl>
    <w:p>
      <w:pPr>
        <w:pStyle w:val="Heading2"/>
      </w:pPr>
      <w:bookmarkStart w:id="25" w:name="org20e998e"/>
      <w:bookmarkEnd w:id="25"/>
      <w:r>
        <w:t xml:space="preserve">Religious language: Interpretation</w:t>
      </w:r>
    </w:p>
    <w:p>
      <w:pPr>
        <w:pStyle w:val="Heading3"/>
      </w:pPr>
      <w:bookmarkStart w:id="26" w:name="orge5f0e2c"/>
      <w:bookmarkEnd w:id="26"/>
      <w:r>
        <w:t xml:space="preserve">hermeneutics / interpretation</w:t>
      </w:r>
    </w:p>
    <w:p>
      <w:pPr>
        <w:pStyle w:val="Heading3"/>
      </w:pPr>
      <w:bookmarkStart w:id="27" w:name="org1a529c2"/>
      <w:bookmarkEnd w:id="27"/>
      <w:r>
        <w:t xml:space="preserve">hermeneutics at work</w:t>
      </w:r>
    </w:p>
    <w:p>
      <w:pPr>
        <w:pStyle w:val="FirstParagraph"/>
      </w:pPr>
      <w:r>
        <w:t xml:space="preserve">1 In the beginning when God created the heavens and the earth,</w:t>
      </w:r>
      <w:r>
        <w:t xml:space="preserve"> </w:t>
      </w:r>
      <w:r>
        <w:t xml:space="preserve">2 the earth was a formless void and darkness covered the face of the</w:t>
      </w:r>
      <w:r>
        <w:t xml:space="preserve"> </w:t>
      </w:r>
      <w:r>
        <w:t xml:space="preserve">deep, while a wind from God swept over the face of the waters. 3</w:t>
      </w:r>
      <w:r>
        <w:t xml:space="preserve"> </w:t>
      </w:r>
      <w:r>
        <w:t xml:space="preserve">Then God said, "Let there be light"; and there was light. (NRSV)</w:t>
      </w:r>
    </w:p>
    <w:p>
      <w:pPr>
        <w:pStyle w:val="Heading3"/>
      </w:pPr>
      <w:bookmarkStart w:id="28" w:name="org89ecd47"/>
      <w:bookmarkEnd w:id="28"/>
      <w:r>
        <w:t xml:space="preserve">consider …</w:t>
      </w:r>
    </w:p>
    <w:p>
      <w:pPr>
        <w:pStyle w:val="FirstParagraph"/>
      </w:pPr>
      <w:r>
        <w:t xml:space="preserve">^1 when God began to create or In the beginning God created</w:t>
      </w:r>
    </w:p>
    <w:p>
      <w:pPr>
        <w:pStyle w:val="BodyText"/>
      </w:pPr>
      <w:r>
        <w:t xml:space="preserve">^2 while the spirit of God or while a mighty wind</w:t>
      </w:r>
    </w:p>
    <w:p>
      <w:pPr>
        <w:pStyle w:val="BodyText"/>
      </w:pPr>
      <w:r>
        <w:t xml:space="preserve">בְּרֵאשִׁ֖ית בָּרָ֣א אֱלֹהִ֑ים אֵ֥ת הַשָּׁמַ֖יִם וְאֵ֥ת הָאָֽרֶץ׃</w:t>
      </w:r>
    </w:p>
    <w:p>
      <w:pPr>
        <w:pStyle w:val="BodyText"/>
      </w:pPr>
      <w:r>
        <w:t xml:space="preserve">This is just the beginning of the kinds of things we would have to consider in interpreting this text – as familiar as it.</w:t>
      </w:r>
    </w:p>
    <w:p>
      <w:pPr>
        <w:pStyle w:val="Heading2"/>
      </w:pPr>
      <w:bookmarkStart w:id="29" w:name="orga9de34c"/>
      <w:bookmarkEnd w:id="29"/>
      <w:r>
        <w:t xml:space="preserve">Religious language: Narrative</w:t>
      </w:r>
    </w:p>
    <w:p>
      <w:pPr>
        <w:pStyle w:val="Heading3"/>
      </w:pPr>
      <w:bookmarkStart w:id="30" w:name="org0459930"/>
      <w:bookmarkEnd w:id="30"/>
      <w:r>
        <w:t xml:space="preserve">Religious language is Like Poetry</w:t>
      </w:r>
    </w:p>
    <w:p>
      <w:pPr>
        <w:pStyle w:val="FirstParagraph"/>
      </w:pPr>
      <w:r>
        <w:t xml:space="preserve">Joseph Campbell:</w:t>
      </w:r>
      <w:r>
        <w:t xml:space="preserve"> </w:t>
      </w:r>
      <w:hyperlink r:id="rId31">
        <w:r>
          <w:rPr>
            <w:rStyle w:val="Hyperlink"/>
          </w:rPr>
          <w:t xml:space="preserve">https://youtu.be/R7xuLN8WIkI</w:t>
        </w:r>
      </w:hyperlink>
    </w:p>
    <w:p>
      <w:pPr>
        <w:pStyle w:val="BodyText"/>
      </w:pPr>
      <w:r>
        <w:t xml:space="preserve">Most often</w:t>
      </w:r>
      <w:r>
        <w:t xml:space="preserve"> </w:t>
      </w:r>
      <w:r>
        <w:rPr>
          <w:b/>
        </w:rPr>
        <w:t xml:space="preserve">poetic</w:t>
      </w:r>
      <w:r>
        <w:t xml:space="preserve"> </w:t>
      </w:r>
      <w:r>
        <w:t xml:space="preserve">in the sense that, like poetry, it</w:t>
      </w:r>
      <w:r>
        <w:t xml:space="preserve"> </w:t>
      </w:r>
      <w:r>
        <w:rPr>
          <w:b/>
        </w:rPr>
        <w:t xml:space="preserve">seeks to use ordinary words to convey extraordinary meanings</w:t>
      </w:r>
      <w:r>
        <w:t xml:space="preserve">.</w:t>
      </w:r>
    </w:p>
    <w:tbl>
      <w:tblPr>
        <w:tblStyle w:val="TableNormal"/>
        <w:tblW w:type="pct" w:w="0.0"/>
        <w:tblLook/>
      </w:tblPr>
      <w:tblGrid/>
      <w:tr>
        <w:tc>
          <w:p>
            <w:pPr>
              <w:pStyle w:val="Compact"/>
              <w:jc w:val="left"/>
            </w:pPr>
            <w:r>
              <w:drawing>
                <wp:inline>
                  <wp:extent cx="5334000" cy="4003140"/>
                  <wp:effectExtent b="0" l="0" r="0" t="0"/>
                  <wp:docPr descr="101-3-J-CAMPBELL-top3.jpg" id="1" name="Picture"/>
                  <a:graphic>
                    <a:graphicData uri="http://schemas.openxmlformats.org/drawingml/2006/picture">
                      <pic:pic>
                        <pic:nvPicPr>
                          <pic:cNvPr descr="http://baumwollarchives.com/wp-content/uploads/2012/10/101-3-J-CAMPBELL-top3.jpg" id="0" name="Picture"/>
                          <pic:cNvPicPr>
                            <a:picLocks noChangeArrowheads="1" noChangeAspect="1"/>
                          </pic:cNvPicPr>
                        </pic:nvPicPr>
                        <pic:blipFill>
                          <a:blip r:embed="rId34"/>
                          <a:stretch>
                            <a:fillRect/>
                          </a:stretch>
                        </pic:blipFill>
                        <pic:spPr bwMode="auto">
                          <a:xfrm>
                            <a:off x="0" y="0"/>
                            <a:ext cx="5334000" cy="4003140"/>
                          </a:xfrm>
                          <a:prstGeom prst="rect">
                            <a:avLst/>
                          </a:prstGeom>
                          <a:noFill/>
                          <a:ln w="9525">
                            <a:noFill/>
                            <a:headEnd/>
                            <a:tailEnd/>
                          </a:ln>
                        </pic:spPr>
                      </pic:pic>
                    </a:graphicData>
                  </a:graphic>
                </wp:inline>
              </w:drawing>
            </w:r>
          </w:p>
        </w:tc>
      </w:tr>
    </w:tbl>
    <w:p>
      <w:pPr>
        <w:pStyle w:val="BodyText"/>
      </w:pPr>
      <w:r>
        <w:t xml:space="preserve">Listen to this excerpt from a well-known interpreter of religious language</w:t>
      </w:r>
    </w:p>
    <w:p>
      <w:pPr>
        <w:pStyle w:val="Heading3"/>
      </w:pPr>
      <w:bookmarkStart w:id="35" w:name="orgc6946ac"/>
      <w:bookmarkEnd w:id="35"/>
      <w:r>
        <w:t xml:space="preserve">Religious stories</w:t>
      </w:r>
    </w:p>
    <w:p>
      <w:pPr>
        <w:pStyle w:val="Compact"/>
        <w:numPr>
          <w:numId w:val="1004"/>
          <w:ilvl w:val="0"/>
        </w:numPr>
      </w:pPr>
      <w:r>
        <w:t xml:space="preserve">"Religion is</w:t>
      </w:r>
      <w:r>
        <w:t xml:space="preserve"> </w:t>
      </w:r>
      <w:r>
        <w:rPr>
          <w:i/>
        </w:rPr>
        <w:t xml:space="preserve">my</w:t>
      </w:r>
      <w:r>
        <w:t xml:space="preserve"> </w:t>
      </w:r>
      <w:r>
        <w:t xml:space="preserve">story being shaped by another (religious) story."</w:t>
      </w:r>
    </w:p>
    <w:p>
      <w:pPr>
        <w:pStyle w:val="Compact"/>
        <w:numPr>
          <w:numId w:val="1004"/>
          <w:ilvl w:val="0"/>
        </w:numPr>
      </w:pPr>
      <w:r>
        <w:t xml:space="preserve">religious stories not told to hold onto a historical truth but to</w:t>
      </w:r>
      <w:r>
        <w:t xml:space="preserve"> </w:t>
      </w:r>
      <w:r>
        <w:rPr>
          <w:b/>
        </w:rPr>
        <w:t xml:space="preserve">disclose a notion of the sacred to people.</w:t>
      </w:r>
    </w:p>
    <w:p>
      <w:pPr>
        <w:pStyle w:val="Heading3"/>
      </w:pPr>
      <w:bookmarkStart w:id="36" w:name="org734107a"/>
      <w:bookmarkEnd w:id="36"/>
      <w:r>
        <w:t xml:space="preserve">Parable:</w:t>
      </w:r>
    </w:p>
    <w:p>
      <w:pPr>
        <w:pStyle w:val="Compact"/>
        <w:numPr>
          <w:numId w:val="1005"/>
          <w:ilvl w:val="0"/>
        </w:numPr>
      </w:pPr>
      <w:r>
        <w:t xml:space="preserve">A story that</w:t>
      </w:r>
      <w:r>
        <w:t xml:space="preserve"> </w:t>
      </w:r>
      <w:r>
        <w:rPr>
          <w:b/>
        </w:rPr>
        <w:t xml:space="preserve">upsets an existing world or turns it upside down</w:t>
      </w:r>
      <w:r>
        <w:t xml:space="preserve">;</w:t>
      </w:r>
    </w:p>
    <w:p>
      <w:pPr>
        <w:pStyle w:val="Compact"/>
        <w:numPr>
          <w:numId w:val="1005"/>
          <w:ilvl w:val="0"/>
        </w:numPr>
      </w:pPr>
      <w:r>
        <w:t xml:space="preserve">makes a point by</w:t>
      </w:r>
      <w:r>
        <w:t xml:space="preserve"> </w:t>
      </w:r>
      <w:r>
        <w:rPr>
          <w:b/>
        </w:rPr>
        <w:t xml:space="preserve">violating our expectations</w:t>
      </w:r>
      <w:r>
        <w:t xml:space="preserve"> </w:t>
      </w:r>
      <w:r>
        <w:t xml:space="preserve">and calling into questions our assumptions.</w:t>
      </w:r>
    </w:p>
    <w:p>
      <w:pPr>
        <w:pStyle w:val="Compact"/>
        <w:numPr>
          <w:numId w:val="1005"/>
          <w:ilvl w:val="0"/>
        </w:numPr>
      </w:pPr>
      <w:r>
        <w:t xml:space="preserve">It seeks to shock the hearer into</w:t>
      </w:r>
      <w:r>
        <w:t xml:space="preserve"> </w:t>
      </w:r>
      <w:r>
        <w:rPr>
          <w:b/>
        </w:rPr>
        <w:t xml:space="preserve">seeing ordinary things in a new way</w:t>
      </w:r>
      <w:r>
        <w:t xml:space="preserve">, i.e., in light of the sacred reality which is totally “other" than the ordinary and customary.</w:t>
      </w:r>
    </w:p>
    <w:p>
      <w:pPr>
        <w:pStyle w:val="Compact"/>
        <w:numPr>
          <w:numId w:val="1005"/>
          <w:ilvl w:val="0"/>
        </w:numPr>
      </w:pPr>
      <w:r>
        <w:t xml:space="preserve">A parable seeks to move people into a deeper</w:t>
      </w:r>
      <w:r>
        <w:t xml:space="preserve"> </w:t>
      </w:r>
      <w:r>
        <w:rPr>
          <w:b/>
        </w:rPr>
        <w:t xml:space="preserve">engagement with sacred reality</w:t>
      </w:r>
      <w:r>
        <w:t xml:space="preserve">.</w:t>
      </w:r>
    </w:p>
    <w:p>
      <w:pPr>
        <w:pStyle w:val="Compact"/>
        <w:numPr>
          <w:numId w:val="1005"/>
          <w:ilvl w:val="0"/>
        </w:numPr>
      </w:pPr>
      <w:r>
        <w:rPr>
          <w:b/>
        </w:rPr>
        <w:t xml:space="preserve">Sacred figures often perform “parabolic actions"</w:t>
      </w:r>
      <w:r>
        <w:t xml:space="preserve"> </w:t>
      </w:r>
      <w:r>
        <w:t xml:space="preserve">or actions that upset the way things are and open our eyes to a new reality.</w:t>
      </w:r>
    </w:p>
    <w:p>
      <w:pPr>
        <w:pStyle w:val="FirstParagraph"/>
      </w:pPr>
      <w:r>
        <w:t xml:space="preserve">Parables are short stories that are told in order to get a point across and occur in both testaments of the Bible. The word "parable" (Gk. parabole) was generally used in reference to any short narrative that had symbolic meaning (Louw &amp; Nida 1989, p. 391). There are many stories and saying of Jesus in the New Testament that are identified as parables, but not all of these are parables in the true sense.</w:t>
      </w:r>
      <w:r>
        <w:t xml:space="preserve"> </w:t>
      </w:r>
      <w:r>
        <w:rPr>
          <w:b/>
        </w:rPr>
        <w:t xml:space="preserve">The Good Samaritan (Luke 10:30-35) may be regarded as a true parable</w:t>
      </w:r>
      <w:r>
        <w:t xml:space="preserve"> </w:t>
      </w:r>
      <w:r>
        <w:t xml:space="preserve">because it is a complete story with a beginning, ending and plot, but the Leaven in the Meal is a similitude, "You are the salt of the earth" is a metaphor and "Do people pick grapes from thorn bushes" is an epigram (Fee &amp; Stuart 1993, p. 136-137). When "parable" is used in this section it refers to the true parables.</w:t>
      </w:r>
    </w:p>
    <w:p>
      <w:pPr>
        <w:pStyle w:val="BodyText"/>
      </w:pPr>
      <w:r>
        <w:t xml:space="preserve">A true parable then may be regarded as an extended simile (Blomberg 1990, p. 32). It is a story that resembles real-life natural situations and does not contain any mythical or supernatural elements (Kuske 1995, p. 97).</w:t>
      </w:r>
      <w:r>
        <w:t xml:space="preserve"> </w:t>
      </w:r>
      <w:r>
        <w:rPr>
          <w:b/>
        </w:rPr>
        <w:t xml:space="preserve">These stories were told in order to catch the listener's attention and provoke a response</w:t>
      </w:r>
      <w:r>
        <w:t xml:space="preserve">. C. H. Dodd (1961, p.16) defines a parable as: "a metaphor or simile drawn from nature or common life, arresting the hearer by its vividness or strangeness, and leaving the mind in sufficient doubt about its precise application to tease it into active thought." They often embody a message that may not be communicated in any other way (Marshall &amp; Tasker, in New Bible Dictionary:Parables).</w:t>
      </w:r>
    </w:p>
    <w:p>
      <w:pPr>
        <w:pStyle w:val="BodyText"/>
      </w:pPr>
      <w:r>
        <w:rPr>
          <w:b/>
        </w:rPr>
        <w:t xml:space="preserve">An allegory, however, is quite different. It is essentially an extended metaphor (Kuske 1995, p. 94</w:t>
      </w:r>
      <w:r>
        <w:t xml:space="preserve">) and uses a story or event (often mythical and supernatural) to illustrate a point (Marshall &amp; Tasker, in New Bible Dictionary:Parables).</w:t>
      </w:r>
      <w:r>
        <w:t xml:space="preserve"> </w:t>
      </w:r>
      <w:r>
        <w:rPr>
          <w:b/>
        </w:rPr>
        <w:t xml:space="preserve">They are stories with 2 levels of meaning: human activity and spiritual reality (Blomberg 1990, p. 15</w:t>
      </w:r>
      <w:r>
        <w:t xml:space="preserve">). Allegories encode relatively static series of comparisons that the author wishes to communicate and always need to be interpreted (Blomberg 1990, p. 35).</w:t>
      </w:r>
    </w:p>
    <w:p>
      <w:pPr>
        <w:pStyle w:val="BodyText"/>
      </w:pPr>
      <w:r>
        <w:t xml:space="preserve">Allegories are much less common in the New Testament but are more frequent in the Old Testament.</w:t>
      </w:r>
      <w:r>
        <w:t xml:space="preserve"> </w:t>
      </w:r>
      <w:r>
        <w:rPr>
          <w:b/>
        </w:rPr>
        <w:t xml:space="preserve">In an allegory virtually every person, thing, place and event has a symbolic meaning (Fee &amp; Stuart 1993, p. 140</w:t>
      </w:r>
      <w:r>
        <w:t xml:space="preserve">). Examples of allegories are the visions in Daniel 8:1-11 (which is interpreted in Daniel 8:20-26), and Ezekiel 1. In the New Testament, nearly every chapter of Revelation contains allegorical visions.</w:t>
      </w:r>
      <w:r>
        <w:t xml:space="preserve"> </w:t>
      </w:r>
      <w:hyperlink r:id="rId37">
        <w:r>
          <w:rPr>
            <w:rStyle w:val="Hyperlink"/>
          </w:rPr>
          <w:t xml:space="preserve">http://hermeneutics.kulikovskyonline.net/hermeneutics/parab.htm</w:t>
        </w:r>
      </w:hyperlink>
      <w:r>
        <w:t xml:space="preserve"> </w:t>
      </w:r>
      <w:r>
        <w:t xml:space="preserve">(this a strict, even radical, creationist who argues that the truth of scripture extends to natural world issues (science)</w:t>
      </w:r>
    </w:p>
    <w:p>
      <w:pPr>
        <w:pStyle w:val="Heading4"/>
      </w:pPr>
      <w:bookmarkStart w:id="38" w:name="org0094b11"/>
      <w:bookmarkEnd w:id="38"/>
      <w:r>
        <w:t xml:space="preserve">Allegory</w:t>
      </w:r>
    </w:p>
    <w:p>
      <w:pPr>
        <w:pStyle w:val="Compact"/>
        <w:numPr>
          <w:numId w:val="1006"/>
          <w:ilvl w:val="0"/>
        </w:numPr>
      </w:pPr>
      <w:r>
        <w:t xml:space="preserve">… are stories in which the various characters and incidents actually represent figures and events not a part of the story as such.</w:t>
      </w:r>
    </w:p>
    <w:p>
      <w:pPr>
        <w:pStyle w:val="Compact"/>
        <w:numPr>
          <w:numId w:val="1006"/>
          <w:ilvl w:val="0"/>
        </w:numPr>
      </w:pPr>
      <w:r>
        <w:t xml:space="preserve">cp. George Orwell's</w:t>
      </w:r>
      <w:r>
        <w:t xml:space="preserve"> </w:t>
      </w:r>
      <w:r>
        <w:rPr>
          <w:i/>
        </w:rPr>
        <w:t xml:space="preserve">Animcal Farm</w:t>
      </w:r>
    </w:p>
    <w:p>
      <w:pPr>
        <w:pStyle w:val="Compact"/>
        <w:numPr>
          <w:numId w:val="1006"/>
          <w:ilvl w:val="0"/>
        </w:numPr>
      </w:pPr>
      <w:r>
        <w:t xml:space="preserve">some of Jesus' parables were "explained" by his followers through the use of allegory</w:t>
      </w:r>
    </w:p>
    <w:p>
      <w:pPr>
        <w:pStyle w:val="Heading4"/>
      </w:pPr>
      <w:bookmarkStart w:id="39" w:name="org69b7854"/>
      <w:bookmarkEnd w:id="39"/>
      <w:r>
        <w:t xml:space="preserve">Examples of Parables/Parabolic Actions</w:t>
      </w:r>
    </w:p>
    <w:p>
      <w:pPr>
        <w:pStyle w:val="Compact"/>
        <w:numPr>
          <w:numId w:val="1007"/>
          <w:ilvl w:val="0"/>
        </w:numPr>
      </w:pPr>
      <w:r>
        <w:t xml:space="preserve">Zen koan: "What is the sound of one hand clapping?"</w:t>
      </w:r>
    </w:p>
    <w:p>
      <w:pPr>
        <w:pStyle w:val="Compact"/>
        <w:numPr>
          <w:numId w:val="1007"/>
          <w:ilvl w:val="0"/>
        </w:numPr>
      </w:pPr>
      <w:r>
        <w:t xml:space="preserve">A seeker to the Buddha "Are you a god or a magician?"</w:t>
      </w:r>
    </w:p>
    <w:p>
      <w:pPr>
        <w:pStyle w:val="Compact"/>
        <w:numPr>
          <w:numId w:val="1007"/>
          <w:ilvl w:val="0"/>
        </w:numPr>
      </w:pPr>
      <w:r>
        <w:t xml:space="preserve">Buddha: "I am not a god or a magician. I am awake."</w:t>
      </w:r>
    </w:p>
    <w:p>
      <w:pPr>
        <w:pStyle w:val="Compact"/>
        <w:numPr>
          <w:numId w:val="1007"/>
          <w:ilvl w:val="0"/>
        </w:numPr>
      </w:pPr>
      <w:r>
        <w:t xml:space="preserve">Awake seems ordinary but it is not. Greatness can't lie in it.</w:t>
      </w:r>
    </w:p>
    <w:p>
      <w:pPr>
        <w:pStyle w:val="Compact"/>
        <w:numPr>
          <w:numId w:val="1007"/>
          <w:ilvl w:val="0"/>
        </w:numPr>
      </w:pPr>
      <w:r>
        <w:t xml:space="preserve">Jesus seeks to open people's eyes to the kingdom of God when he reads from</w:t>
      </w:r>
      <w:r>
        <w:t xml:space="preserve"> </w:t>
      </w:r>
      <w:r>
        <w:rPr>
          <w:i/>
        </w:rPr>
        <w:t xml:space="preserve">Isaiah 61:1-2</w:t>
      </w:r>
      <w:r>
        <w:t xml:space="preserve"> </w:t>
      </w:r>
      <w:r>
        <w:t xml:space="preserve">in Luke</w:t>
      </w:r>
    </w:p>
    <w:p>
      <w:pPr>
        <w:pStyle w:val="BlockText"/>
      </w:pPr>
      <w:r>
        <w:t xml:space="preserve">"The Spirit of the Lord Yahweh is upon me, for he has anointed me to bring glad tidings to the poor. He has sent me to proclaim liberty to captives and recovery of sight to the blind, to let the oppressed go free, and to proclaim a year of favor from Yahweh [a jubilee year]" . . . and a day of vengeance for our God . .</w:t>
      </w:r>
      <w:r>
        <w:t xml:space="preserve"> </w:t>
      </w:r>
      <w:r>
        <w:rPr>
          <w:i/>
        </w:rPr>
        <w:t xml:space="preserve">Luke 4:18-19</w:t>
      </w:r>
    </w:p>
    <w:p>
      <w:pPr>
        <w:pStyle w:val="Compact"/>
        <w:numPr>
          <w:numId w:val="1008"/>
          <w:ilvl w:val="0"/>
        </w:numPr>
      </w:pPr>
      <w:r>
        <w:rPr>
          <w:b/>
        </w:rPr>
        <w:t xml:space="preserve">Good Samaritan</w:t>
      </w:r>
      <w:r>
        <w:t xml:space="preserve"> </w:t>
      </w:r>
      <w:r>
        <w:t xml:space="preserve">= like the good Al Qaeda terrorist. Our social status does not determine our holiness; but our compassion—even a compassion that violates social customs re: ritual purity. That is what God wants.</w:t>
      </w:r>
    </w:p>
    <w:p>
      <w:pPr>
        <w:pStyle w:val="Compact"/>
        <w:numPr>
          <w:numId w:val="1008"/>
          <w:ilvl w:val="0"/>
        </w:numPr>
      </w:pPr>
      <w:r>
        <w:rPr>
          <w:b/>
        </w:rPr>
        <w:t xml:space="preserve">Matthew 25</w:t>
      </w:r>
      <w:r>
        <w:t xml:space="preserve">: Whenever you did it to the least of my brothers and sisters you did it to me—Christ is encountered in the needy.</w:t>
      </w:r>
    </w:p>
    <w:p>
      <w:pPr>
        <w:pStyle w:val="Compact"/>
        <w:numPr>
          <w:numId w:val="1008"/>
          <w:ilvl w:val="0"/>
        </w:numPr>
      </w:pPr>
      <w:r>
        <w:rPr>
          <w:b/>
        </w:rPr>
        <w:t xml:space="preserve">Prodigal Son</w:t>
      </w:r>
      <w:r>
        <w:t xml:space="preserve"> </w:t>
      </w:r>
      <w:r>
        <w:t xml:space="preserve">(Who is lost, the younger or the older son?) or Workers in the Vineyard—those who worked a little get paid the same as those who worked a lot; or Unforgiving debtor. (Luke 15-16)</w:t>
      </w:r>
    </w:p>
    <w:p>
      <w:pPr>
        <w:pStyle w:val="FirstParagraph"/>
      </w:pPr>
      <w:r>
        <w:t xml:space="preserve">You may want to look up and read these familiar parables from the New Testament, exercising interpretation skills that you already possess.</w:t>
      </w:r>
    </w:p>
    <w:p>
      <w:pPr>
        <w:pStyle w:val="Heading3"/>
      </w:pPr>
      <w:bookmarkStart w:id="40" w:name="org668b469"/>
      <w:bookmarkEnd w:id="40"/>
      <w:r>
        <w:t xml:space="preserve">Sacred Stories</w:t>
      </w:r>
    </w:p>
    <w:p>
      <w:pPr>
        <w:pStyle w:val="Heading4"/>
      </w:pPr>
      <w:bookmarkStart w:id="41" w:name="orge2910b4"/>
      <w:bookmarkEnd w:id="41"/>
      <w:r>
        <w:t xml:space="preserve">4 functions of Sacred Stories (including scriptures):</w:t>
      </w:r>
    </w:p>
    <w:p>
      <w:pPr>
        <w:pStyle w:val="Compact"/>
        <w:numPr>
          <w:numId w:val="1009"/>
          <w:ilvl w:val="0"/>
        </w:numPr>
      </w:pPr>
      <w:r>
        <w:t xml:space="preserve">connect with sacred,</w:t>
      </w:r>
    </w:p>
    <w:p>
      <w:pPr>
        <w:pStyle w:val="Compact"/>
        <w:numPr>
          <w:numId w:val="1009"/>
          <w:ilvl w:val="0"/>
        </w:numPr>
      </w:pPr>
      <w:r>
        <w:t xml:space="preserve">order cosmos,</w:t>
      </w:r>
    </w:p>
    <w:p>
      <w:pPr>
        <w:pStyle w:val="Compact"/>
        <w:numPr>
          <w:numId w:val="1009"/>
          <w:ilvl w:val="0"/>
        </w:numPr>
      </w:pPr>
      <w:r>
        <w:t xml:space="preserve">pass on the</w:t>
      </w:r>
      <w:r>
        <w:t xml:space="preserve"> </w:t>
      </w:r>
      <w:r>
        <w:rPr>
          <w:b/>
        </w:rPr>
        <w:t xml:space="preserve">traditio</w:t>
      </w:r>
      <w:r>
        <w:t xml:space="preserve">, and</w:t>
      </w:r>
    </w:p>
    <w:p>
      <w:pPr>
        <w:pStyle w:val="Compact"/>
        <w:numPr>
          <w:numId w:val="1009"/>
          <w:ilvl w:val="0"/>
        </w:numPr>
      </w:pPr>
      <w:r>
        <w:t xml:space="preserve">instill ethical expectations and norms</w:t>
      </w:r>
    </w:p>
    <w:p>
      <w:pPr>
        <w:pStyle w:val="FirstParagraph"/>
      </w:pPr>
      <w:r>
        <w:t xml:space="preserve">As a generalization, then, we can identify 4 functions that sacred stories have in the religious community.</w:t>
      </w:r>
    </w:p>
    <w:p>
      <w:pPr>
        <w:pStyle w:val="Heading2"/>
      </w:pPr>
      <w:bookmarkStart w:id="42" w:name="orgf2bb93d"/>
      <w:bookmarkEnd w:id="42"/>
      <w:r>
        <w:t xml:space="preserve">Religious language: Functions</w:t>
      </w:r>
    </w:p>
    <w:p>
      <w:pPr>
        <w:pStyle w:val="Compact"/>
        <w:numPr>
          <w:numId w:val="1010"/>
          <w:ilvl w:val="0"/>
        </w:numPr>
      </w:pPr>
      <w:r>
        <w:t xml:space="preserve">Functions include:</w:t>
      </w:r>
    </w:p>
    <w:p>
      <w:pPr>
        <w:pStyle w:val="Compact"/>
        <w:numPr>
          <w:numId w:val="1011"/>
          <w:ilvl w:val="1"/>
        </w:numPr>
      </w:pPr>
      <w:r>
        <w:t xml:space="preserve">passes on the traditions of a people</w:t>
      </w:r>
    </w:p>
    <w:p>
      <w:pPr>
        <w:pStyle w:val="Compact"/>
        <w:numPr>
          <w:numId w:val="1011"/>
          <w:ilvl w:val="1"/>
        </w:numPr>
      </w:pPr>
      <w:r>
        <w:t xml:space="preserve">recall/retell "paradigmatic moments and/or persons"</w:t>
      </w:r>
    </w:p>
    <w:p>
      <w:pPr>
        <w:pStyle w:val="Compact"/>
        <w:numPr>
          <w:numId w:val="1011"/>
          <w:ilvl w:val="1"/>
        </w:numPr>
      </w:pPr>
      <w:r>
        <w:t xml:space="preserve">vehicle for</w:t>
      </w:r>
      <w:r>
        <w:t xml:space="preserve"> </w:t>
      </w:r>
      <w:r>
        <w:rPr>
          <w:b/>
        </w:rPr>
        <w:t xml:space="preserve">revelation</w:t>
      </w:r>
    </w:p>
    <w:p>
      <w:pPr>
        <w:pStyle w:val="Compact"/>
      </w:pPr>
      <w:r>
        <w:t xml:space="preserve">Created by Dale Hathaway.p&gt;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052fe4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f4c489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201">
    <w:nsid w:val="9b17d90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jpg" /><Relationship Type="http://schemas.openxmlformats.org/officeDocument/2006/relationships/hyperlink" Id="rId37" Target="http://hermeneutics.kulikovskyonline.net/hermeneutics/parab.htm" TargetMode="External" /><Relationship Type="http://schemas.openxmlformats.org/officeDocument/2006/relationships/hyperlink" Id="rId31" Target="https://youtu.be/R7xuLN8WIkI" TargetMode="External" /></Relationships>
</file>

<file path=word/_rels/footnotes.xml.rels><?xml version="1.0" encoding="UTF-8"?>
<Relationships xmlns="http://schemas.openxmlformats.org/package/2006/relationships"><Relationship Type="http://schemas.openxmlformats.org/officeDocument/2006/relationships/hyperlink" Id="rId37" Target="http://hermeneutics.kulikovskyonline.net/hermeneutics/parab.htm" TargetMode="External" /><Relationship Type="http://schemas.openxmlformats.org/officeDocument/2006/relationships/hyperlink" Id="rId31" Target="https://youtu.be/R7xuLN8WIk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Religious Language</dc:title>
  <dc:creator>(Dale Hathaway)</dc:creator>
  <dcterms:created xsi:type="dcterms:W3CDTF">2020-07-26T12:10:24Z</dcterms:created>
  <dcterms:modified xsi:type="dcterms:W3CDTF">2020-07-26T12:10:24Z</dcterms:modified>
</cp:coreProperties>
</file>