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Laboratory work report №7</w:t>
      </w:r>
      <w:r>
        <w:br/>
      </w:r>
      <w:r>
        <w:t xml:space="preserve">administration of local systems</w:t>
      </w:r>
    </w:p>
    <w:p>
      <w:pPr>
        <w:pStyle w:val="Subtitle"/>
      </w:pPr>
      <w:r>
        <w:t xml:space="preserve">Учёт физических параметров сети</w:t>
      </w:r>
    </w:p>
    <w:p>
      <w:pPr>
        <w:pStyle w:val="Author"/>
      </w:pPr>
      <w:r>
        <w:t xml:space="preserve">Выполнил: Леснухин Даниил Дмитриевич,</w:t>
      </w:r>
      <w:r>
        <w:br/>
      </w:r>
      <w:r>
        <w:t xml:space="preserve">НПИбд-02-22, 1132221553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навыки работы с физической рабочей областью Packet Tracer, а также учесть физические параметры сети.</w:t>
      </w:r>
    </w:p>
    <w:bookmarkEnd w:id="20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начала, откроем проект с названием lab06.pkt и сохраним его под названием lab07.pkt. После чего открываем его для дальнейшего редактирования.</w:t>
      </w:r>
    </w:p>
    <w:bookmarkStart w:id="24" w:name="fig:001"/>
    <w:p>
      <w:pPr>
        <w:pStyle w:val="CaptionedFigure"/>
      </w:pPr>
      <w:r>
        <w:drawing>
          <wp:inline>
            <wp:extent cx="5334000" cy="1013573"/>
            <wp:effectExtent b="0" l="0" r="0" t="0"/>
            <wp:docPr descr="Открываем проект lab07" title="" id="22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7\screenshots\Снимок%20экрана%202025-03-29%2022431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проект lab07</w:t>
      </w:r>
    </w:p>
    <w:bookmarkEnd w:id="24"/>
    <w:bookmarkEnd w:id="25"/>
    <w:bookmarkStart w:id="29" w:name="перейдем-в-физическую-область"/>
    <w:p>
      <w:pPr>
        <w:pStyle w:val="Heading1"/>
      </w:pPr>
      <w:r>
        <w:t xml:space="preserve">Перейдем в физическую область</w:t>
      </w:r>
    </w:p>
    <w:p>
      <w:pPr>
        <w:pStyle w:val="FirstParagraph"/>
      </w:pPr>
      <w:r>
        <w:t xml:space="preserve">В физической рабочей области присвоим название городу - Moscow</w:t>
      </w:r>
    </w:p>
    <w:p>
      <w:pPr>
        <w:pStyle w:val="CaptionedFigure"/>
      </w:pPr>
      <w:r>
        <w:drawing>
          <wp:inline>
            <wp:extent cx="4485372" cy="3311090"/>
            <wp:effectExtent b="0" l="0" r="0" t="0"/>
            <wp:docPr descr="Присвоение названия городу" title="" id="27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7\screenshots\Снимок%20экрана%202025-03-29%2022441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33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Присвоение названия городу</w:t>
      </w:r>
    </w:p>
    <w:bookmarkEnd w:id="29"/>
    <w:bookmarkStart w:id="33" w:name="новые-здания"/>
    <w:p>
      <w:pPr>
        <w:pStyle w:val="Heading1"/>
      </w:pPr>
      <w:r>
        <w:t xml:space="preserve">Новые здания</w:t>
      </w:r>
    </w:p>
    <w:p>
      <w:pPr>
        <w:pStyle w:val="FirstParagraph"/>
      </w:pPr>
      <w:r>
        <w:t xml:space="preserve">Щелкнув на изображение города, мы видим здание. Присвоим ему название Donskaya и создадим еще одно под названием Pavlovskaya.</w:t>
      </w:r>
    </w:p>
    <w:p>
      <w:pPr>
        <w:pStyle w:val="CaptionedFigure"/>
      </w:pPr>
      <w:r>
        <w:drawing>
          <wp:inline>
            <wp:extent cx="5334000" cy="1785655"/>
            <wp:effectExtent b="0" l="0" r="0" t="0"/>
            <wp:docPr descr="Добавление нового здания" title="Добавление нового здания" id="31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7\screenshots\Снимок%20экрана%202025-03-29%2022481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5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нового здания</w:t>
      </w:r>
    </w:p>
    <w:p>
      <w:pPr>
        <w:pStyle w:val="BodyText"/>
      </w:pPr>
      <w:r>
        <w:t xml:space="preserve">Щёлкнув на изображение здания Donskaya, переместим изображение, обозначающее серверное помещение, в него</w:t>
      </w:r>
    </w:p>
    <w:bookmarkEnd w:id="33"/>
    <w:bookmarkStart w:id="37" w:name="переместим-серверное-помещение"/>
    <w:p>
      <w:pPr>
        <w:pStyle w:val="Heading1"/>
      </w:pPr>
      <w:r>
        <w:t xml:space="preserve">Переместим серверное помещение</w:t>
      </w:r>
    </w:p>
    <w:p>
      <w:pPr>
        <w:pStyle w:val="FirstParagraph"/>
      </w:pPr>
      <w:r>
        <w:t xml:space="preserve">Нам необходимо переместить серверное помещение внутрь здания</w:t>
      </w:r>
    </w:p>
    <w:p>
      <w:pPr>
        <w:pStyle w:val="CaptionedFigure"/>
      </w:pPr>
      <w:r>
        <w:drawing>
          <wp:inline>
            <wp:extent cx="5334000" cy="2518427"/>
            <wp:effectExtent b="0" l="0" r="0" t="0"/>
            <wp:docPr descr="Перемещение серверного здания" title="" id="35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7\screenshots\Снимок%20экрана%202025-03-29%2022490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8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серверного здания</w:t>
      </w:r>
    </w:p>
    <w:bookmarkEnd w:id="37"/>
    <w:bookmarkStart w:id="41" w:name="серверные-стойки"/>
    <w:p>
      <w:pPr>
        <w:pStyle w:val="Heading1"/>
      </w:pPr>
      <w:r>
        <w:t xml:space="preserve">Серверные стойки</w:t>
      </w:r>
    </w:p>
    <w:p>
      <w:pPr>
        <w:pStyle w:val="FirstParagraph"/>
      </w:pPr>
      <w:r>
        <w:t xml:space="preserve">Щелкнув на изображение серверной, мы видим отображение серверных стоек. Переместим коммутатор msk-pavlovskaya-ddlesnukhin-sw-1 и два оконченных устройства dk-pavlovskaya-1 и other-pavlovkaya-1 на территорию Pavlovskaya.</w:t>
      </w:r>
    </w:p>
    <w:p>
      <w:pPr>
        <w:pStyle w:val="CaptionedFigure"/>
      </w:pPr>
      <w:r>
        <w:drawing>
          <wp:inline>
            <wp:extent cx="5334000" cy="1184748"/>
            <wp:effectExtent b="0" l="0" r="0" t="0"/>
            <wp:docPr descr="Перемещение коммутатора и оконченных устройств" title="" id="39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7\screenshots\Снимок%20экрана%202025-03-29%2022581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коммутатора и оконченных устройств</w:t>
      </w:r>
    </w:p>
    <w:bookmarkEnd w:id="41"/>
    <w:bookmarkStart w:id="45" w:name="section"/>
    <w:p>
      <w:pPr>
        <w:pStyle w:val="Heading1"/>
      </w:pPr>
    </w:p>
    <w:p>
      <w:pPr>
        <w:pStyle w:val="CaptionedFigure"/>
      </w:pPr>
      <w:r>
        <w:drawing>
          <wp:inline>
            <wp:extent cx="5334000" cy="1924807"/>
            <wp:effectExtent b="0" l="0" r="0" t="0"/>
            <wp:docPr descr="Перемещение оконченных устройств" title="" id="43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7\screenshots\Снимок%20экрана%202025-03-29%2022595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4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оконченных устройств</w:t>
      </w:r>
    </w:p>
    <w:bookmarkEnd w:id="45"/>
    <w:bookmarkStart w:id="49" w:name="проверка-работоспособности"/>
    <w:p>
      <w:pPr>
        <w:pStyle w:val="Heading1"/>
      </w:pPr>
      <w:r>
        <w:t xml:space="preserve">Проверка работоспособности</w:t>
      </w:r>
    </w:p>
    <w:p>
      <w:pPr>
        <w:pStyle w:val="FirstParagraph"/>
      </w:pPr>
      <w:r>
        <w:t xml:space="preserve">Вернувшись в логическую рабочую область, пропингуем с коммутатора donskaya коммутатор pavlovkaya и убедимся в работоспособности</w:t>
      </w:r>
    </w:p>
    <w:p>
      <w:pPr>
        <w:pStyle w:val="CaptionedFigure"/>
      </w:pPr>
      <w:r>
        <w:drawing>
          <wp:inline>
            <wp:extent cx="5334000" cy="4507081"/>
            <wp:effectExtent b="0" l="0" r="0" t="0"/>
            <wp:docPr descr="Убедимся в работоспособности" title="" id="47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7\screenshots\Снимок%20экрана%202025-03-29%2023033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7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Убедимся в работоспособности</w:t>
      </w:r>
    </w:p>
    <w:bookmarkEnd w:id="49"/>
    <w:bookmarkStart w:id="53" w:name="X8f92836df30a79fe8dd969353d2655b653aa9cc"/>
    <w:p>
      <w:pPr>
        <w:pStyle w:val="Heading1"/>
      </w:pPr>
      <w:r>
        <w:t xml:space="preserve">Разрешение на учёт физических характеристик среды передачи</w:t>
      </w:r>
    </w:p>
    <w:p>
      <w:pPr>
        <w:pStyle w:val="FirstParagraph"/>
      </w:pPr>
      <w:r>
        <w:t xml:space="preserve">Далее в меню</w:t>
      </w:r>
      <w:r>
        <w:t xml:space="preserve"> </w:t>
      </w:r>
      <w:r>
        <w:t xml:space="preserve">“Options”</w:t>
      </w:r>
      <w:r>
        <w:t xml:space="preserve">,</w:t>
      </w:r>
      <w:r>
        <w:t xml:space="preserve"> </w:t>
      </w:r>
      <w:r>
        <w:t xml:space="preserve">“Preferences”</w:t>
      </w:r>
      <w:r>
        <w:t xml:space="preserve"> </w:t>
      </w:r>
      <w:r>
        <w:t xml:space="preserve">во вкладке</w:t>
      </w:r>
      <w:r>
        <w:t xml:space="preserve"> </w:t>
      </w:r>
      <w:r>
        <w:t xml:space="preserve">“Interface”</w:t>
      </w:r>
      <w:r>
        <w:t xml:space="preserve"> </w:t>
      </w:r>
      <w:r>
        <w:t xml:space="preserve">активируем разрешение на учёт физических характеристик среды передачи</w:t>
      </w:r>
    </w:p>
    <w:p>
      <w:pPr>
        <w:pStyle w:val="CaptionedFigure"/>
      </w:pPr>
      <w:r>
        <w:drawing>
          <wp:inline>
            <wp:extent cx="5334000" cy="1525443"/>
            <wp:effectExtent b="0" l="0" r="0" t="0"/>
            <wp:docPr descr="Активируем разрешение" title="" id="51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7\screenshots\Снимок%20экрана%202025-03-29%2023042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5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Активируем разрешение</w:t>
      </w:r>
    </w:p>
    <w:bookmarkEnd w:id="53"/>
    <w:bookmarkStart w:id="57" w:name="размещение-двух-территорий"/>
    <w:p>
      <w:pPr>
        <w:pStyle w:val="Heading1"/>
      </w:pPr>
      <w:r>
        <w:t xml:space="preserve">Размещение двух территорий</w:t>
      </w:r>
    </w:p>
    <w:p>
      <w:pPr>
        <w:pStyle w:val="FirstParagraph"/>
      </w:pPr>
      <w:r>
        <w:t xml:space="preserve">Теперь в физической рабочей области Packet Tracer разместим две территории на расстоянии более 100 м друг от друга</w:t>
      </w:r>
    </w:p>
    <w:p>
      <w:pPr>
        <w:pStyle w:val="CaptionedFigure"/>
      </w:pPr>
      <w:r>
        <w:drawing>
          <wp:inline>
            <wp:extent cx="5334000" cy="3354924"/>
            <wp:effectExtent b="0" l="0" r="0" t="0"/>
            <wp:docPr descr="Размещение двух территорий" title="" id="55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7\screenshots\Снимок%20экрана%202025-03-29%2023364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4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Размещение двух территорий</w:t>
      </w:r>
    </w:p>
    <w:bookmarkEnd w:id="57"/>
    <w:bookmarkStart w:id="61" w:name="убедимся-в-работоспособности"/>
    <w:p>
      <w:pPr>
        <w:pStyle w:val="Heading1"/>
      </w:pPr>
      <w:r>
        <w:t xml:space="preserve">Убедимся в работоспособности</w:t>
      </w:r>
    </w:p>
    <w:p>
      <w:pPr>
        <w:pStyle w:val="FirstParagraph"/>
      </w:pPr>
      <w:r>
        <w:t xml:space="preserve">Вернувшись в логическую рабочую область, пропингуем с коммутатора donskaya коммутатор pavlovkaya и убедимся в работоспособности</w:t>
      </w:r>
      <w:r>
        <w:t xml:space="preserve"> </w:t>
      </w:r>
      <w:r>
        <w:drawing>
          <wp:inline>
            <wp:extent cx="5334000" cy="4896188"/>
            <wp:effectExtent b="0" l="0" r="0" t="0"/>
            <wp:docPr descr="Ping Pavlovskaya" title="" id="59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7\screenshots\Снимок%20экрана%202025-03-29%2023060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6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5" w:name="изменение-логической-области"/>
    <w:p>
      <w:pPr>
        <w:pStyle w:val="Heading1"/>
      </w:pPr>
      <w:r>
        <w:t xml:space="preserve">Изменение логической области</w:t>
      </w:r>
    </w:p>
    <w:p>
      <w:pPr>
        <w:pStyle w:val="FirstParagraph"/>
      </w:pPr>
      <w:r>
        <w:t xml:space="preserve">Далее удалим соединение между коммутаторами и добавим два повторителя. Заменим модули на PT-REPEATERNM-1FFE и PT-REPEATER-NM-1CFE</w:t>
      </w:r>
    </w:p>
    <w:p>
      <w:pPr>
        <w:pStyle w:val="CaptionedFigure"/>
      </w:pPr>
      <w:r>
        <w:drawing>
          <wp:inline>
            <wp:extent cx="5334000" cy="1332112"/>
            <wp:effectExtent b="0" l="0" r="0" t="0"/>
            <wp:docPr descr="Логическая область" title="" id="63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7\screenshots\Снимок%20экрана%202025-03-29%2023090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2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Логическая область</w:t>
      </w:r>
    </w:p>
    <w:bookmarkEnd w:id="65"/>
    <w:bookmarkStart w:id="69" w:name="изменение-модулей"/>
    <w:p>
      <w:pPr>
        <w:pStyle w:val="Heading1"/>
      </w:pPr>
      <w:r>
        <w:t xml:space="preserve">Изменение модулей</w:t>
      </w:r>
    </w:p>
    <w:p>
      <w:pPr>
        <w:pStyle w:val="CaptionedFigure"/>
      </w:pPr>
      <w:r>
        <w:drawing>
          <wp:inline>
            <wp:extent cx="5334000" cy="1972356"/>
            <wp:effectExtent b="0" l="0" r="0" t="0"/>
            <wp:docPr descr="Изменение модулей" title="" id="67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7\screenshots\Снимок%20экрана%202025-03-29%2023095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модулей</w:t>
      </w:r>
    </w:p>
    <w:p>
      <w:pPr>
        <w:pStyle w:val="BodyText"/>
      </w:pPr>
      <w:r>
        <w:t xml:space="preserve">Теперь переместим msk-pavlovskaya-ddlesnukhin-mc-1 на территорию Pavlovskata.</w:t>
      </w:r>
    </w:p>
    <w:bookmarkEnd w:id="69"/>
    <w:bookmarkStart w:id="73" w:name="section-1"/>
    <w:p>
      <w:pPr>
        <w:pStyle w:val="Heading1"/>
      </w:pPr>
    </w:p>
    <w:p>
      <w:pPr>
        <w:pStyle w:val="CaptionedFigure"/>
      </w:pPr>
      <w:r>
        <w:drawing>
          <wp:inline>
            <wp:extent cx="5334000" cy="1223475"/>
            <wp:effectExtent b="0" l="0" r="0" t="0"/>
            <wp:docPr descr="Перемещение" title="" id="71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7\screenshots\Снимок%20экрана%202025-03-29%20231830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</w:t>
      </w:r>
    </w:p>
    <w:bookmarkEnd w:id="73"/>
    <w:bookmarkStart w:id="77" w:name="убедимся-в-работоспособности-1"/>
    <w:p>
      <w:pPr>
        <w:pStyle w:val="Heading1"/>
      </w:pPr>
      <w:r>
        <w:t xml:space="preserve">Убедимся в работоспособности</w:t>
      </w:r>
    </w:p>
    <w:p>
      <w:pPr>
        <w:pStyle w:val="FirstParagraph"/>
      </w:pPr>
      <w:r>
        <w:t xml:space="preserve">Вернувшись в логическую рабочую область, пропингуем с коммутатора donskaya коммутатор pavlovkaya и убедимся в работоспособности</w:t>
      </w:r>
    </w:p>
    <w:p>
      <w:pPr>
        <w:pStyle w:val="CaptionedFigure"/>
      </w:pPr>
      <w:r>
        <w:drawing>
          <wp:inline>
            <wp:extent cx="5334000" cy="4028475"/>
            <wp:effectExtent b="0" l="0" r="0" t="0"/>
            <wp:docPr descr="Убедимся в работоспособности" title="" id="75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7\screenshots\Снимок%20экрана%202025-03-29%2023195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Убедимся в работоспособности</w:t>
      </w:r>
    </w:p>
    <w:bookmarkEnd w:id="77"/>
    <w:bookmarkStart w:id="7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мы получили навыки работы с физической рабочей областью Packet Tracer, а также научились учитывать физические параметры сети.</w:t>
      </w:r>
    </w:p>
    <w:bookmarkEnd w:id="78"/>
    <w:bookmarkStart w:id="79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pStyle w:val="FirstParagraph"/>
      </w:pPr>
      <w:r>
        <w:t xml:space="preserve">1.     Перечислите возможные среды передачи данных. На какие характеристики среды передачи данных следует обращать внимание при планировании сети? -</w:t>
      </w:r>
      <w:r>
        <w:t xml:space="preserve"> </w:t>
      </w:r>
      <w:r>
        <w:rPr>
          <w:b/>
          <w:bCs/>
        </w:rPr>
        <w:t xml:space="preserve">Коаксиал, витая пара, оптоволокно, беспроводные. Допустимое расстояние, скорость передачи, реальные физические факторы для беспроводных сетей.</w:t>
      </w:r>
    </w:p>
    <w:p>
      <w:pPr>
        <w:pStyle w:val="BodyText"/>
      </w:pPr>
      <w:r>
        <w:t xml:space="preserve">2.     Перечислите категории витой пары. Чем они отличаются? Какая категория в каких условиях может применяться? -</w:t>
      </w:r>
      <w:r>
        <w:t xml:space="preserve"> </w:t>
      </w:r>
      <w:r>
        <w:rPr>
          <w:b/>
          <w:bCs/>
        </w:rPr>
        <w:t xml:space="preserve">Существует несколько категорий кабеля «витая пара», которые нумеруются от 1 до 8 и определяют эффективный пропускаемый частотный диапазон Категории отличаются диапазоном частот, строением кабелей, скоростью передачи. Применяются в зависимости от требуемой скорости передачи/века.</w:t>
      </w:r>
    </w:p>
    <w:p>
      <w:pPr>
        <w:pStyle w:val="BodyText"/>
      </w:pPr>
      <w:r>
        <w:t xml:space="preserve">3.     В чем отличие одномодового и многомодового оптоволокна? Какой тип кабеля в каких условиях может применяться? -</w:t>
      </w:r>
      <w:r>
        <w:t xml:space="preserve"> </w:t>
      </w:r>
      <w:r>
        <w:rPr>
          <w:b/>
          <w:bCs/>
        </w:rPr>
        <w:t xml:space="preserve">В количестве проходящих лучей. Одномодовые — дороже, многомодовые — охватывают меньшее расстояние.</w:t>
      </w:r>
    </w:p>
    <w:p>
      <w:pPr>
        <w:pStyle w:val="BodyText"/>
      </w:pPr>
      <w:r>
        <w:t xml:space="preserve">4.     Какие разъёмы встречаются на патчах оптоволокна? Чем они отличаются? -</w:t>
      </w:r>
      <w:r>
        <w:t xml:space="preserve"> </w:t>
      </w:r>
      <w:r>
        <w:rPr>
          <w:b/>
          <w:bCs/>
        </w:rPr>
        <w:t xml:space="preserve">SC — высокая скорость и плотность коммутации, ненадежный корпус. ST — меньшая плотность коммутации, надежный корпус. FC — большая сложность коммутации.</w:t>
      </w:r>
    </w:p>
    <w:bookmarkEnd w:id="7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work report №7 administration of local systems</dc:title>
  <dc:creator>Выполнил: Леснухин Даниил Дмитриевич, НПИбд-02-22, 1132221553</dc:creator>
  <dc:language>ru-RU</dc:language>
  <cp:keywords/>
  <dcterms:created xsi:type="dcterms:W3CDTF">2025-03-29T20:54:43Z</dcterms:created>
  <dcterms:modified xsi:type="dcterms:W3CDTF">2025-03-29T20:54:43Z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Times New Roman</vt:lpwstr>
  </property>
  <property fmtid="{D5CDD505-2E9C-101B-9397-08002B2CF9AE}" pid="20" name="mainfontoptions">
    <vt:lpwstr>Ligatures=TeX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options">
    <vt:lpwstr>Ligatures=TeX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Учёт физических параметров сети</vt:lpwstr>
  </property>
  <property fmtid="{D5CDD505-2E9C-101B-9397-08002B2CF9AE}" pid="28" name="tableTitle">
    <vt:lpwstr>Таблица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</Properties>
</file>