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№9</w:t>
      </w:r>
      <w:r>
        <w:br/>
      </w:r>
      <w:r>
        <w:t xml:space="preserve">administration of local systems</w:t>
      </w:r>
    </w:p>
    <w:p>
      <w:pPr>
        <w:pStyle w:val="Subtitle"/>
      </w:pPr>
      <w:r>
        <w:t xml:space="preserve">Использование протокола STP. Агрегирование каналов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возможности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20"/>
    <w:bookmarkStart w:id="70" w:name="выполнение-работы"/>
    <w:p>
      <w:pPr>
        <w:pStyle w:val="Heading2"/>
      </w:pP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Откроем проект с названием</w:t>
      </w:r>
      <w:r>
        <w:t xml:space="preserve"> </w:t>
      </w:r>
      <w:r>
        <w:rPr>
          <w:rStyle w:val="VerbatimChar"/>
        </w:rPr>
        <w:t xml:space="preserve">lab_PT-08.pkt</w:t>
      </w:r>
      <w:r>
        <w:t xml:space="preserve"> </w:t>
      </w:r>
      <w:r>
        <w:t xml:space="preserve">и сохраним под названием</w:t>
      </w:r>
      <w:r>
        <w:t xml:space="preserve"> </w:t>
      </w:r>
      <w:r>
        <w:rPr>
          <w:rStyle w:val="VerbatimChar"/>
        </w:rPr>
        <w:t xml:space="preserve">lab_PT-09.pkt</w:t>
      </w:r>
      <w:r>
        <w:t xml:space="preserve">. После чего откроем его для дальнейшего редактирования.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893743"/>
            <wp:effectExtent b="0" l="0" r="0" t="0"/>
            <wp:docPr descr="Рис. 1.1. Открытие проекта lab_PT-09.pkt" title="" id="2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022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1.1. Открытие проекта lab_PT-09.pkt</w:t>
      </w:r>
    </w:p>
    <w:p>
      <w:pPr>
        <w:numPr>
          <w:ilvl w:val="0"/>
          <w:numId w:val="1001"/>
        </w:numPr>
      </w:pPr>
      <w:r>
        <w:t xml:space="preserve">Сформируем резервное соединение между коммутаторами</w:t>
      </w:r>
      <w:r>
        <w:t xml:space="preserve"> </w:t>
      </w:r>
      <w:r>
        <w:rPr>
          <w:rStyle w:val="VerbatimChar"/>
        </w:rPr>
        <w:t xml:space="preserve">msk-donskaya-ddlesnukhin-sw-1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msk-donskaya-ddlesnukhin-sw-3</w:t>
      </w:r>
      <w:r>
        <w:t xml:space="preserve">. Заменим соединение мужду коммутаторами на соединение</w:t>
      </w:r>
      <w:r>
        <w:t xml:space="preserve"> </w:t>
      </w:r>
      <w:r>
        <w:rPr>
          <w:rStyle w:val="VerbatimChar"/>
        </w:rPr>
        <w:t xml:space="preserve">msk-donskaya-ddlesnukhin-sw-1 (gig0/2)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426843"/>
            <wp:effectExtent b="0" l="0" r="0" t="0"/>
            <wp:docPr descr="Рис. 1.2. Формирование резервного соединения между коммутаторами." title="Рис. 1.2. Формирование резервного соединения между коммутаторами." id="2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075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1.2. Формирование резервного соединения между коммутаторами.</w:t>
      </w:r>
    </w:p>
    <w:p>
      <w:pPr>
        <w:numPr>
          <w:ilvl w:val="1"/>
          <w:numId w:val="1002"/>
        </w:numPr>
      </w:pPr>
      <w:r>
        <w:t xml:space="preserve">Настроим порт на интерфейсе</w:t>
      </w:r>
      <w:r>
        <w:t xml:space="preserve"> </w:t>
      </w:r>
      <w:r>
        <w:rPr>
          <w:rStyle w:val="VerbatimChar"/>
        </w:rPr>
        <w:t xml:space="preserve">msk-donskaya-ddlesnukhin-sw-3</w:t>
      </w:r>
      <w:r>
        <w:t xml:space="preserve"> </w:t>
      </w:r>
      <w:r>
        <w:t xml:space="preserve">как транковый.</w:t>
      </w:r>
      <w:r>
        <w:t xml:space="preserve"> </w:t>
      </w:r>
      <w:r>
        <w:drawing>
          <wp:inline>
            <wp:extent cx="5334000" cy="5341326"/>
            <wp:effectExtent b="0" l="0" r="0" t="0"/>
            <wp:docPr descr="Рис. 1.3. Настройка порта в транковом режиме." title="" id="2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095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Соединение между коммутаторами сделаем через интерфейс</w:t>
      </w:r>
      <w:r>
        <w:t xml:space="preserve"> </w:t>
      </w:r>
      <w:r>
        <w:rPr>
          <w:rStyle w:val="VerbatimChar"/>
        </w:rPr>
        <w:t xml:space="preserve">Fa0/23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2368982"/>
            <wp:effectExtent b="0" l="0" r="0" t="0"/>
            <wp:docPr descr="Рис. 1.4. Соединение через интерфейсы Fa0/23" title="" id="3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104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</w:t>
      </w:r>
      <w:r>
        <w:br/>
      </w:r>
      <w:r>
        <w:drawing>
          <wp:inline>
            <wp:extent cx="5334000" cy="5211627"/>
            <wp:effectExtent b="0" l="0" r="0" t="0"/>
            <wp:docPr descr="Рис. 1.5. Активация транкового режима на msk-donskaya-ismakhorin-sw-1." title="" id="34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13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5334000"/>
            <wp:effectExtent b="0" l="0" r="0" t="0"/>
            <wp:docPr descr="Рис. 1.6. Активация транкового режима на msk-donskaya-ismakhorin-sw-4." title="" id="3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144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03"/>
        </w:numPr>
      </w:pPr>
      <w:r>
        <w:t xml:space="preserve">С оконечного устройства</w:t>
      </w:r>
      <w:r>
        <w:t xml:space="preserve"> </w:t>
      </w:r>
      <w:r>
        <w:rPr>
          <w:rStyle w:val="VerbatimChar"/>
        </w:rPr>
        <w:t xml:space="preserve">dk-donskaya-1</w:t>
      </w:r>
      <w:r>
        <w:t xml:space="preserve"> </w:t>
      </w:r>
      <w:r>
        <w:t xml:space="preserve">пропингуем серверы</w:t>
      </w:r>
      <w:r>
        <w:t xml:space="preserve"> </w:t>
      </w:r>
      <w:r>
        <w:rPr>
          <w:rStyle w:val="VerbatimChar"/>
        </w:rPr>
        <w:t xml:space="preserve">mail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web</w:t>
      </w:r>
      <w:r>
        <w:t xml:space="preserve">. В режиме симуляции проследим движение пакетов ICMP и убедимся, что они проходят через коммутатор</w:t>
      </w:r>
      <w:r>
        <w:t xml:space="preserve"> </w:t>
      </w:r>
      <w:r>
        <w:drawing>
          <wp:inline>
            <wp:extent cx="5334000" cy="2108446"/>
            <wp:effectExtent b="0" l="0" r="0" t="0"/>
            <wp:docPr descr="Рис. 1.7. Проверка командой ping." title="" id="40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194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2189145"/>
            <wp:effectExtent b="0" l="0" r="0" t="0"/>
            <wp:docPr descr="Рис. 1.8. Отслеживание пакетов ICMP для web." title="" id="4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214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5254817"/>
            <wp:effectExtent b="0" l="0" r="0" t="0"/>
            <wp:docPr descr="Рис. 1.9. Отслеживание пакетов ICMP для mail." title="" id="46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231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Настроим коммутатор</w:t>
      </w:r>
      <w:r>
        <w:t xml:space="preserve"> </w:t>
      </w:r>
      <w:r>
        <w:rPr>
          <w:rStyle w:val="VerbatimChar"/>
        </w:rPr>
        <w:t xml:space="preserve">msk-donskaya-ddlesnukhin-sw-2</w:t>
      </w:r>
      <w:r>
        <w:t xml:space="preserve"> </w:t>
      </w:r>
      <w:r>
        <w:t xml:space="preserve">как корневой коммутатор STP.</w:t>
      </w:r>
      <w:r>
        <w:t xml:space="preserve"> </w:t>
      </w:r>
      <w:r>
        <w:drawing>
          <wp:inline>
            <wp:extent cx="5334000" cy="5429644"/>
            <wp:effectExtent b="0" l="0" r="0" t="0"/>
            <wp:docPr descr="Рис. 1.10. Состояние протокола STP." title="" id="49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242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Проверим путь ICMP-пакетов от хоста</w:t>
      </w:r>
      <w:r>
        <w:t xml:space="preserve"> </w:t>
      </w:r>
      <w:r>
        <w:rPr>
          <w:rStyle w:val="VerbatimChar"/>
        </w:rPr>
        <w:t xml:space="preserve">dk-donskaya-1</w:t>
      </w:r>
      <w:r>
        <w:t xml:space="preserve"> </w:t>
      </w:r>
      <w:r>
        <w:t xml:space="preserve">до серверов</w:t>
      </w:r>
      <w:r>
        <w:t xml:space="preserve"> </w:t>
      </w:r>
      <w:r>
        <w:rPr>
          <w:rStyle w:val="VerbatimChar"/>
        </w:rPr>
        <w:t xml:space="preserve">mail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через разные коммутаторы.</w:t>
      </w:r>
    </w:p>
    <w:p>
      <w:pPr>
        <w:numPr>
          <w:ilvl w:val="0"/>
          <w:numId w:val="1000"/>
        </w:numPr>
      </w:pPr>
      <w:r>
        <w:t xml:space="preserve">Настроим режим Portfast на интерфейсах, к которым подключены сервера.</w:t>
      </w:r>
    </w:p>
    <w:p>
      <w:pPr>
        <w:numPr>
          <w:ilvl w:val="0"/>
          <w:numId w:val="1000"/>
        </w:numPr>
      </w:pPr>
      <w:r>
        <w:drawing>
          <wp:inline>
            <wp:extent cx="5334000" cy="5348494"/>
            <wp:effectExtent b="0" l="0" r="0" t="0"/>
            <wp:docPr descr="Рис. 1.12. Путь к web." title="" id="5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274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5304812"/>
            <wp:effectExtent b="0" l="0" r="0" t="0"/>
            <wp:docPr descr="Рис. 1.13. Путь к mail" title="" id="5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501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1"/>
          <w:numId w:val="1004"/>
        </w:numPr>
      </w:pPr>
      <w:r>
        <w:t xml:space="preserve">Изучим отказоустойчивость STP, запустив команду</w:t>
      </w:r>
      <w:r>
        <w:t xml:space="preserve"> </w:t>
      </w:r>
      <w:r>
        <w:rPr>
          <w:rStyle w:val="VerbatimChar"/>
        </w:rPr>
        <w:t xml:space="preserve">ping -n 1000 mail.donskaya.rudn.ru</w:t>
      </w:r>
      <w:r>
        <w:t xml:space="preserve">, и отключим интерфейс для проверки восстановления соединения.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395361"/>
            <wp:effectExtent b="0" l="0" r="0" t="0"/>
            <wp:docPr descr="Рис. 1.16. Проверка отказоустойчивости STP." title="" id="5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532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1.16. Проверка отказоустойчивости STP.</w:t>
      </w:r>
    </w:p>
    <w:p>
      <w:pPr>
        <w:numPr>
          <w:ilvl w:val="0"/>
          <w:numId w:val="1001"/>
        </w:numPr>
      </w:pPr>
      <w:r>
        <w:t xml:space="preserve">Переключим коммутаторы в режим Rapid PVST+ и изучим его отказоустойчивость.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233493"/>
            <wp:effectExtent b="0" l="0" r="0" t="0"/>
            <wp:docPr descr="Рис. 1.18. Режим Rapid PVST+." title="" id="6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2550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1.18. Режим Rapid PVST+.</w:t>
      </w:r>
    </w:p>
    <w:p>
      <w:pPr>
        <w:numPr>
          <w:ilvl w:val="0"/>
          <w:numId w:val="1001"/>
        </w:numPr>
      </w:pPr>
      <w:r>
        <w:t xml:space="preserve">Сформируем агрегированное соединение интерфейсов</w:t>
      </w:r>
      <w:r>
        <w:t xml:space="preserve"> </w:t>
      </w:r>
      <w:r>
        <w:rPr>
          <w:rStyle w:val="VerbatimChar"/>
        </w:rPr>
        <w:t xml:space="preserve">Fa0/20 – Fa0/23</w:t>
      </w:r>
      <w:r>
        <w:t xml:space="preserve"> </w:t>
      </w:r>
      <w:r>
        <w:t xml:space="preserve">между коммутаторами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434337"/>
            <wp:effectExtent b="0" l="0" r="0" t="0"/>
            <wp:docPr descr="Рис. 1.21. Агрегация интерфейсов." title="" id="64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3005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1.21. Агрегация интерфейсов.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436016"/>
            <wp:effectExtent b="0" l="0" r="0" t="0"/>
            <wp:docPr descr="ауф" title="" id="6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labs\lab09\screenshots\Снимок%20экрана%202025-04-12%2013030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ауф</w:t>
      </w:r>
    </w:p>
    <w:p>
      <w:pPr>
        <w:pStyle w:val="Heading2"/>
        <w:numPr>
          <w:ilvl w:val="0"/>
          <w:numId w:val="1000"/>
        </w:numPr>
      </w:pPr>
      <w:bookmarkStart w:id="69" w:name="вывод"/>
      <w:r>
        <w:t xml:space="preserve">Вывод</w:t>
      </w:r>
      <w:bookmarkEnd w:id="69"/>
    </w:p>
    <w:p>
      <w:pPr>
        <w:pStyle w:val="FirstParagraph"/>
      </w:pPr>
      <w:r>
        <w:t xml:space="preserve">В ходе выполнения лабораторной работы мы изучили возможности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p>
      <w:r>
        <w:pict>
          <v:rect style="width:0;height:1.5pt" o:hralign="center" o:hrstd="t" o:hr="t"/>
        </w:pict>
      </w:r>
    </w:p>
    <w:bookmarkEnd w:id="70"/>
    <w:bookmarkStart w:id="71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Какую информацию можно получить, воспользовавшись командой определения состояния протокола STP для VLAN?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VLAN:</w:t>
      </w:r>
      <w:r>
        <w:t xml:space="preserve"> </w:t>
      </w:r>
      <w:r>
        <w:t xml:space="preserve">Номер VLAN.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STP:</w:t>
      </w:r>
      <w:r>
        <w:t xml:space="preserve"> </w:t>
      </w:r>
      <w:r>
        <w:t xml:space="preserve">Тип протокола.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Root ID/Bridge ID:</w:t>
      </w:r>
      <w:r>
        <w:t xml:space="preserve"> </w:t>
      </w:r>
      <w:r>
        <w:t xml:space="preserve">Ближайший коммутатор/Текущий коммутатор.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Приоритет.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Address:</w:t>
      </w:r>
      <w:r>
        <w:t xml:space="preserve"> </w:t>
      </w:r>
      <w:r>
        <w:t xml:space="preserve">MAC-адрес.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“Затраты”</w:t>
      </w:r>
      <w:r>
        <w:t xml:space="preserve"> </w:t>
      </w:r>
      <w:r>
        <w:t xml:space="preserve">до этого коммутатора.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Port:</w:t>
      </w:r>
      <w:r>
        <w:t xml:space="preserve"> </w:t>
      </w:r>
      <w:r>
        <w:t xml:space="preserve">Порт.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Hello Time/Max Age/Forward Delay/Aging Time:</w:t>
      </w:r>
      <w:r>
        <w:t xml:space="preserve"> </w:t>
      </w:r>
      <w:r>
        <w:t xml:space="preserve">Время работы STP и свойства портов.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Как узнать режим работы STP или Rapid PVST+?</w:t>
      </w:r>
    </w:p>
    <w:p>
      <w:pPr>
        <w:pStyle w:val="Compact"/>
        <w:numPr>
          <w:ilvl w:val="1"/>
          <w:numId w:val="1007"/>
        </w:numPr>
      </w:pPr>
      <w:r>
        <w:t xml:space="preserve">Команда:</w:t>
      </w:r>
      <w:r>
        <w:t xml:space="preserve"> </w:t>
      </w:r>
      <w:r>
        <w:rPr>
          <w:rStyle w:val="VerbatimChar"/>
        </w:rPr>
        <w:t xml:space="preserve">sh ru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Для чего нужен режим Portfast?</w:t>
      </w:r>
    </w:p>
    <w:p>
      <w:pPr>
        <w:pStyle w:val="Compact"/>
        <w:numPr>
          <w:ilvl w:val="1"/>
          <w:numId w:val="1008"/>
        </w:numPr>
      </w:pPr>
      <w:r>
        <w:t xml:space="preserve">Позволяет сразу включать выделенные порты, поскольку они не участвуют во включении STP.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Принцип работы агрегированного интерфейса:</w:t>
      </w:r>
    </w:p>
    <w:p>
      <w:pPr>
        <w:pStyle w:val="Compact"/>
        <w:numPr>
          <w:ilvl w:val="1"/>
          <w:numId w:val="1009"/>
        </w:numPr>
      </w:pPr>
      <w:r>
        <w:t xml:space="preserve">Увеличение пропускной способности за счёт объединения каналов. Перенаправление трафика при обрыве одного из каналов.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Отличия LACP, PAgP и статического агрегирования: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LACP:</w:t>
      </w:r>
      <w:r>
        <w:t xml:space="preserve"> </w:t>
      </w:r>
      <w:r>
        <w:t xml:space="preserve">Общий стандарт IEEE.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PAgP:</w:t>
      </w:r>
      <w:r>
        <w:t xml:space="preserve"> </w:t>
      </w:r>
      <w:r>
        <w:t xml:space="preserve">Локальный протокол Cisco.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Статическое агрегирование:</w:t>
      </w:r>
      <w:r>
        <w:t xml:space="preserve"> </w:t>
      </w:r>
      <w:r>
        <w:t xml:space="preserve">Без обязательной настройки с обеих сторон.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Как узнать состояние агрегированного канала EtherChannel?</w:t>
      </w:r>
    </w:p>
    <w:p>
      <w:pPr>
        <w:pStyle w:val="Compact"/>
        <w:numPr>
          <w:ilvl w:val="1"/>
          <w:numId w:val="1011"/>
        </w:numPr>
      </w:pPr>
      <w:r>
        <w:t xml:space="preserve">Команда:</w:t>
      </w:r>
      <w:r>
        <w:t xml:space="preserve"> </w:t>
      </w:r>
      <w:r>
        <w:rPr>
          <w:rStyle w:val="VerbatimChar"/>
        </w:rPr>
        <w:t xml:space="preserve">show etherchannel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№9 administration of local systems</dc:title>
  <dc:creator>Выполнил: Леснухин Даниил Дмитриевич, НПИбд-02-22, 1132221553</dc:creator>
  <dc:language>ru-RU</dc:language>
  <cp:keywords/>
  <dcterms:created xsi:type="dcterms:W3CDTF">2025-04-12T10:44:09Z</dcterms:created>
  <dcterms:modified xsi:type="dcterms:W3CDTF">2025-04-12T10:44:09Z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Использование протокола STP. Агрегирование каналов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