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95113" w14:textId="77777777" w:rsidR="00CA5B99" w:rsidRPr="00226DEF" w:rsidRDefault="00EC4FD1" w:rsidP="00066DB5">
      <w:pPr>
        <w:pStyle w:val="FR1"/>
        <w:pBdr>
          <w:bottom w:val="double" w:sz="4" w:space="1" w:color="auto"/>
        </w:pBdr>
        <w:tabs>
          <w:tab w:val="right" w:pos="9810"/>
        </w:tabs>
        <w:spacing w:before="0"/>
        <w:ind w:left="0"/>
        <w:jc w:val="center"/>
        <w:rPr>
          <w:rFonts w:asciiTheme="majorHAnsi" w:hAnsiTheme="majorHAnsi"/>
          <w:sz w:val="32"/>
          <w:szCs w:val="32"/>
          <w:lang w:val="es-ES"/>
        </w:rPr>
      </w:pPr>
      <w:r w:rsidRPr="00226DEF">
        <w:rPr>
          <w:rFonts w:asciiTheme="majorHAnsi" w:hAnsiTheme="majorHAnsi"/>
          <w:sz w:val="32"/>
          <w:szCs w:val="32"/>
          <w:lang w:val="es-ES"/>
        </w:rPr>
        <w:t>ROBERTO SEIRA</w:t>
      </w:r>
    </w:p>
    <w:p w14:paraId="0686F546" w14:textId="77777777" w:rsidR="00CB634B" w:rsidRPr="00CF7DE3" w:rsidRDefault="00442BD0" w:rsidP="00C7236A">
      <w:pPr>
        <w:pStyle w:val="FR1"/>
        <w:tabs>
          <w:tab w:val="right" w:pos="10800"/>
        </w:tabs>
        <w:spacing w:before="0"/>
        <w:ind w:left="0"/>
        <w:rPr>
          <w:rFonts w:asciiTheme="majorHAnsi" w:hAnsiTheme="majorHAnsi"/>
          <w:b w:val="0"/>
        </w:rPr>
      </w:pPr>
      <w:r w:rsidRPr="00D62AB9">
        <w:rPr>
          <w:rFonts w:asciiTheme="majorHAnsi" w:hAnsiTheme="majorHAnsi"/>
          <w:b w:val="0"/>
        </w:rPr>
        <w:t>2915 Lafayette Dr</w:t>
      </w:r>
      <w:r w:rsidR="008D7897" w:rsidRPr="00D62AB9">
        <w:rPr>
          <w:rFonts w:asciiTheme="majorHAnsi" w:hAnsiTheme="majorHAnsi"/>
          <w:b w:val="0"/>
        </w:rPr>
        <w:t>.</w:t>
      </w:r>
      <w:r w:rsidR="0024670D" w:rsidRPr="00CF7DE3">
        <w:rPr>
          <w:rFonts w:asciiTheme="majorHAnsi" w:hAnsiTheme="majorHAnsi"/>
          <w:b w:val="0"/>
        </w:rPr>
        <w:tab/>
        <w:t>Mobile</w:t>
      </w:r>
      <w:r w:rsidR="004E15DA" w:rsidRPr="00CF7DE3">
        <w:rPr>
          <w:rFonts w:asciiTheme="majorHAnsi" w:hAnsiTheme="majorHAnsi"/>
          <w:b w:val="0"/>
        </w:rPr>
        <w:t xml:space="preserve">:  </w:t>
      </w:r>
      <w:r w:rsidR="00EC4FD1" w:rsidRPr="00CF7DE3">
        <w:rPr>
          <w:rFonts w:asciiTheme="majorHAnsi" w:hAnsiTheme="majorHAnsi"/>
          <w:b w:val="0"/>
        </w:rPr>
        <w:t>(303) 718-9039</w:t>
      </w:r>
    </w:p>
    <w:p w14:paraId="027C4385" w14:textId="77777777" w:rsidR="00CA5B99" w:rsidRDefault="00EC4FD1" w:rsidP="00C7236A">
      <w:pPr>
        <w:pStyle w:val="FR1"/>
        <w:tabs>
          <w:tab w:val="right" w:pos="10800"/>
        </w:tabs>
        <w:spacing w:before="0"/>
        <w:ind w:left="0"/>
        <w:rPr>
          <w:rFonts w:asciiTheme="majorHAnsi" w:hAnsiTheme="majorHAnsi"/>
          <w:b w:val="0"/>
        </w:rPr>
      </w:pPr>
      <w:r w:rsidRPr="00CF7DE3">
        <w:rPr>
          <w:rFonts w:asciiTheme="majorHAnsi" w:hAnsiTheme="majorHAnsi"/>
          <w:b w:val="0"/>
        </w:rPr>
        <w:t>Boulder</w:t>
      </w:r>
      <w:r w:rsidR="0036616F" w:rsidRPr="00CF7DE3">
        <w:rPr>
          <w:rFonts w:asciiTheme="majorHAnsi" w:hAnsiTheme="majorHAnsi"/>
          <w:b w:val="0"/>
        </w:rPr>
        <w:t>, CO</w:t>
      </w:r>
      <w:r w:rsidRPr="00CF7DE3">
        <w:rPr>
          <w:rFonts w:asciiTheme="majorHAnsi" w:hAnsiTheme="majorHAnsi"/>
          <w:b w:val="0"/>
        </w:rPr>
        <w:t xml:space="preserve"> 80305</w:t>
      </w:r>
      <w:r w:rsidR="00CA5B99" w:rsidRPr="00CF7DE3">
        <w:rPr>
          <w:rFonts w:asciiTheme="majorHAnsi" w:hAnsiTheme="majorHAnsi"/>
          <w:b w:val="0"/>
        </w:rPr>
        <w:tab/>
      </w:r>
      <w:r w:rsidR="00A134EE" w:rsidRPr="00CF7DE3">
        <w:rPr>
          <w:rFonts w:asciiTheme="majorHAnsi" w:hAnsiTheme="majorHAnsi"/>
          <w:b w:val="0"/>
        </w:rPr>
        <w:t>www</w:t>
      </w:r>
      <w:r w:rsidR="00F56FDC" w:rsidRPr="00CF7DE3">
        <w:rPr>
          <w:rFonts w:asciiTheme="majorHAnsi" w:hAnsiTheme="majorHAnsi"/>
          <w:b w:val="0"/>
        </w:rPr>
        <w:t>.linkedin.com/in/</w:t>
      </w:r>
      <w:r w:rsidRPr="00CF7DE3">
        <w:rPr>
          <w:rFonts w:asciiTheme="majorHAnsi" w:hAnsiTheme="majorHAnsi"/>
          <w:b w:val="0"/>
        </w:rPr>
        <w:t>robertoseira</w:t>
      </w:r>
      <w:r w:rsidR="00611BD7" w:rsidRPr="00CF7DE3">
        <w:rPr>
          <w:rFonts w:asciiTheme="majorHAnsi" w:hAnsiTheme="majorHAnsi"/>
          <w:b w:val="0"/>
        </w:rPr>
        <w:t xml:space="preserve"> </w:t>
      </w:r>
    </w:p>
    <w:p w14:paraId="7436E48F" w14:textId="77777777" w:rsidR="008644F3" w:rsidRPr="00650E38" w:rsidRDefault="008644F3" w:rsidP="003C4CF4">
      <w:pPr>
        <w:pBdr>
          <w:bottom w:val="single" w:sz="4" w:space="1" w:color="auto"/>
        </w:pBdr>
        <w:tabs>
          <w:tab w:val="right" w:pos="9810"/>
        </w:tabs>
        <w:rPr>
          <w:rFonts w:asciiTheme="majorHAnsi" w:hAnsiTheme="majorHAnsi"/>
          <w:sz w:val="16"/>
          <w:szCs w:val="16"/>
        </w:rPr>
      </w:pPr>
    </w:p>
    <w:p w14:paraId="78EB3856" w14:textId="7B275B0F" w:rsidR="00CA5B99" w:rsidRPr="0024670D" w:rsidRDefault="00C00BF9" w:rsidP="003C4CF4">
      <w:pPr>
        <w:pBdr>
          <w:bottom w:val="double" w:sz="4" w:space="1" w:color="auto"/>
        </w:pBdr>
        <w:tabs>
          <w:tab w:val="right" w:pos="9810"/>
        </w:tabs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="005D618B">
        <w:rPr>
          <w:rFonts w:asciiTheme="majorHAnsi" w:hAnsiTheme="majorHAnsi"/>
          <w:b/>
          <w:sz w:val="28"/>
          <w:szCs w:val="28"/>
        </w:rPr>
        <w:t xml:space="preserve"> CFO</w:t>
      </w:r>
    </w:p>
    <w:p w14:paraId="72DD2BDB" w14:textId="77777777" w:rsidR="00E47A06" w:rsidRPr="009F738F" w:rsidRDefault="00E47A06" w:rsidP="00A61FF8">
      <w:pPr>
        <w:tabs>
          <w:tab w:val="right" w:pos="9810"/>
        </w:tabs>
        <w:jc w:val="center"/>
        <w:rPr>
          <w:rFonts w:asciiTheme="majorHAnsi" w:hAnsiTheme="majorHAnsi"/>
          <w:sz w:val="16"/>
          <w:szCs w:val="16"/>
        </w:rPr>
      </w:pPr>
    </w:p>
    <w:p w14:paraId="29E87110" w14:textId="77777777" w:rsidR="00F21139" w:rsidRPr="00CF7DE3" w:rsidRDefault="00EE6304" w:rsidP="00EE6304">
      <w:pPr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eastAsia="Arial Unicode MS" w:hAnsiTheme="majorHAnsi" w:cstheme="minorHAnsi"/>
          <w:sz w:val="22"/>
          <w:szCs w:val="22"/>
        </w:rPr>
        <w:t xml:space="preserve">Corporate </w:t>
      </w:r>
      <w:r w:rsidR="00226DEF">
        <w:rPr>
          <w:rFonts w:asciiTheme="majorHAnsi" w:eastAsia="Arial Unicode MS" w:hAnsiTheme="majorHAnsi" w:cstheme="minorHAnsi"/>
          <w:sz w:val="22"/>
          <w:szCs w:val="22"/>
        </w:rPr>
        <w:t>Finance</w:t>
      </w:r>
      <w:r w:rsidR="00282880" w:rsidRPr="00CF7DE3">
        <w:rPr>
          <w:rFonts w:asciiTheme="majorHAnsi" w:eastAsia="Arial Unicode MS" w:hAnsiTheme="majorHAnsi" w:cstheme="minorHAnsi"/>
          <w:sz w:val="22"/>
          <w:szCs w:val="22"/>
        </w:rPr>
        <w:t xml:space="preserve"> </w:t>
      </w:r>
      <w:r w:rsidR="001D72CD">
        <w:rPr>
          <w:rFonts w:asciiTheme="majorHAnsi" w:eastAsia="Arial Unicode MS" w:hAnsiTheme="majorHAnsi" w:cstheme="minorHAnsi"/>
          <w:sz w:val="22"/>
          <w:szCs w:val="22"/>
        </w:rPr>
        <w:t xml:space="preserve">executive </w:t>
      </w:r>
      <w:r w:rsidR="00CE3322" w:rsidRPr="00CF7DE3">
        <w:rPr>
          <w:rFonts w:asciiTheme="majorHAnsi" w:eastAsia="Arial Unicode MS" w:hAnsiTheme="majorHAnsi" w:cstheme="minorHAnsi"/>
          <w:sz w:val="22"/>
          <w:szCs w:val="22"/>
        </w:rPr>
        <w:t>with</w:t>
      </w:r>
      <w:r w:rsidR="00B32DB0" w:rsidRPr="00CF7DE3">
        <w:rPr>
          <w:rFonts w:asciiTheme="majorHAnsi" w:eastAsia="Arial Unicode MS" w:hAnsiTheme="majorHAnsi" w:cstheme="minorHAnsi"/>
          <w:sz w:val="22"/>
          <w:szCs w:val="22"/>
        </w:rPr>
        <w:t xml:space="preserve"> </w:t>
      </w:r>
      <w:r w:rsidR="00EC4FD1" w:rsidRPr="00CF7DE3">
        <w:rPr>
          <w:rFonts w:asciiTheme="majorHAnsi" w:eastAsia="Arial Unicode MS" w:hAnsiTheme="majorHAnsi" w:cstheme="minorHAnsi"/>
          <w:sz w:val="22"/>
          <w:szCs w:val="22"/>
        </w:rPr>
        <w:t>extensive</w:t>
      </w:r>
      <w:r w:rsidR="00393B01" w:rsidRPr="00CF7DE3">
        <w:rPr>
          <w:rFonts w:asciiTheme="majorHAnsi" w:eastAsia="Arial Unicode MS" w:hAnsiTheme="majorHAnsi" w:cstheme="minorHAnsi"/>
          <w:sz w:val="22"/>
          <w:szCs w:val="22"/>
        </w:rPr>
        <w:t xml:space="preserve"> international</w:t>
      </w:r>
      <w:r w:rsidR="00EC4FD1" w:rsidRPr="00CF7DE3">
        <w:rPr>
          <w:rFonts w:asciiTheme="majorHAnsi" w:eastAsia="Arial Unicode MS" w:hAnsiTheme="majorHAnsi" w:cstheme="minorHAnsi"/>
          <w:sz w:val="22"/>
          <w:szCs w:val="22"/>
        </w:rPr>
        <w:t xml:space="preserve"> experience</w:t>
      </w:r>
      <w:r w:rsidR="00383417">
        <w:rPr>
          <w:rFonts w:asciiTheme="majorHAnsi" w:eastAsia="Arial Unicode MS" w:hAnsiTheme="majorHAnsi" w:cstheme="minorHAnsi"/>
          <w:sz w:val="22"/>
          <w:szCs w:val="22"/>
        </w:rPr>
        <w:t xml:space="preserve"> in Corporate Finance,</w:t>
      </w:r>
      <w:r w:rsidR="00393B01" w:rsidRPr="00CF7DE3">
        <w:rPr>
          <w:rFonts w:asciiTheme="majorHAnsi" w:eastAsia="Arial Unicode MS" w:hAnsiTheme="majorHAnsi" w:cstheme="minorHAnsi"/>
          <w:sz w:val="22"/>
          <w:szCs w:val="22"/>
        </w:rPr>
        <w:t xml:space="preserve"> Treasury Directorship</w:t>
      </w:r>
      <w:r w:rsidR="00383417">
        <w:rPr>
          <w:rFonts w:asciiTheme="majorHAnsi" w:eastAsia="Arial Unicode MS" w:hAnsiTheme="majorHAnsi" w:cstheme="minorHAnsi"/>
          <w:sz w:val="22"/>
          <w:szCs w:val="22"/>
        </w:rPr>
        <w:t>,</w:t>
      </w:r>
      <w:r w:rsidR="00455DCA" w:rsidRPr="00CF7DE3">
        <w:rPr>
          <w:rFonts w:asciiTheme="majorHAnsi" w:eastAsia="Arial Unicode MS" w:hAnsiTheme="majorHAnsi" w:cstheme="minorHAnsi"/>
          <w:sz w:val="22"/>
          <w:szCs w:val="22"/>
        </w:rPr>
        <w:t xml:space="preserve"> and </w:t>
      </w:r>
      <w:r w:rsidR="00383417">
        <w:rPr>
          <w:rFonts w:asciiTheme="majorHAnsi" w:eastAsia="Arial Unicode MS" w:hAnsiTheme="majorHAnsi" w:cstheme="minorHAnsi"/>
          <w:sz w:val="22"/>
          <w:szCs w:val="22"/>
        </w:rPr>
        <w:t xml:space="preserve">Financial </w:t>
      </w:r>
      <w:r w:rsidR="00455DCA" w:rsidRPr="00CF7DE3">
        <w:rPr>
          <w:rFonts w:asciiTheme="majorHAnsi" w:eastAsia="Arial Unicode MS" w:hAnsiTheme="majorHAnsi" w:cstheme="minorHAnsi"/>
          <w:sz w:val="22"/>
          <w:szCs w:val="22"/>
        </w:rPr>
        <w:t>Strategy</w:t>
      </w:r>
      <w:r w:rsidR="00C00BF9" w:rsidRPr="00CF7DE3">
        <w:rPr>
          <w:rFonts w:asciiTheme="majorHAnsi" w:eastAsia="Arial Unicode MS" w:hAnsiTheme="majorHAnsi" w:cstheme="minorHAnsi"/>
          <w:sz w:val="22"/>
          <w:szCs w:val="22"/>
        </w:rPr>
        <w:t xml:space="preserve"> for Fortune 500 Companies</w:t>
      </w:r>
      <w:r w:rsidR="00EC4FD1" w:rsidRPr="00CF7DE3">
        <w:rPr>
          <w:rFonts w:asciiTheme="majorHAnsi" w:eastAsia="Arial Unicode MS" w:hAnsiTheme="majorHAnsi" w:cstheme="minorHAnsi"/>
          <w:sz w:val="22"/>
          <w:szCs w:val="22"/>
        </w:rPr>
        <w:t xml:space="preserve">.  </w:t>
      </w:r>
      <w:r w:rsidR="00393B01" w:rsidRPr="00CF7DE3">
        <w:rPr>
          <w:rFonts w:asciiTheme="majorHAnsi" w:eastAsia="Arial Unicode MS" w:hAnsiTheme="majorHAnsi" w:cstheme="minorHAnsi"/>
          <w:sz w:val="22"/>
          <w:szCs w:val="22"/>
        </w:rPr>
        <w:t>Expert in</w:t>
      </w:r>
      <w:r w:rsidR="00455DCA" w:rsidRPr="00CF7DE3">
        <w:rPr>
          <w:rFonts w:asciiTheme="majorHAnsi" w:eastAsia="Arial Unicode MS" w:hAnsiTheme="majorHAnsi" w:cstheme="minorHAnsi"/>
          <w:sz w:val="22"/>
          <w:szCs w:val="22"/>
        </w:rPr>
        <w:t xml:space="preserve"> capital markets</w:t>
      </w:r>
      <w:r w:rsidR="00C00BF9" w:rsidRPr="00CF7DE3">
        <w:rPr>
          <w:rFonts w:asciiTheme="majorHAnsi" w:eastAsia="Arial Unicode MS" w:hAnsiTheme="majorHAnsi" w:cstheme="minorHAnsi"/>
          <w:sz w:val="22"/>
          <w:szCs w:val="22"/>
        </w:rPr>
        <w:t xml:space="preserve"> with proven ability to</w:t>
      </w:r>
      <w:r w:rsidR="00393B01" w:rsidRPr="00CF7DE3">
        <w:rPr>
          <w:rFonts w:asciiTheme="majorHAnsi" w:eastAsia="Arial Unicode MS" w:hAnsiTheme="majorHAnsi" w:cstheme="minorHAnsi"/>
          <w:sz w:val="22"/>
          <w:szCs w:val="22"/>
        </w:rPr>
        <w:t xml:space="preserve"> </w:t>
      </w:r>
      <w:r w:rsidR="00455DCA" w:rsidRPr="00CF7DE3">
        <w:rPr>
          <w:rFonts w:asciiTheme="majorHAnsi" w:eastAsia="Arial Unicode MS" w:hAnsiTheme="majorHAnsi" w:cstheme="minorHAnsi"/>
          <w:sz w:val="22"/>
          <w:szCs w:val="22"/>
        </w:rPr>
        <w:t>o</w:t>
      </w:r>
      <w:r w:rsidR="00C00BF9" w:rsidRPr="00CF7DE3">
        <w:rPr>
          <w:rFonts w:asciiTheme="majorHAnsi" w:eastAsia="Arial Unicode MS" w:hAnsiTheme="majorHAnsi" w:cstheme="minorHAnsi"/>
          <w:sz w:val="22"/>
          <w:szCs w:val="22"/>
        </w:rPr>
        <w:t>ptimize</w:t>
      </w:r>
      <w:r w:rsidR="00455DCA" w:rsidRPr="00CF7DE3">
        <w:rPr>
          <w:rFonts w:asciiTheme="majorHAnsi" w:eastAsia="Arial Unicode MS" w:hAnsiTheme="majorHAnsi" w:cstheme="minorHAnsi"/>
          <w:sz w:val="22"/>
          <w:szCs w:val="22"/>
        </w:rPr>
        <w:t xml:space="preserve"> capital debt structure and equity</w:t>
      </w:r>
      <w:r w:rsidR="00C00BF9" w:rsidRPr="00CF7DE3">
        <w:rPr>
          <w:rFonts w:asciiTheme="majorHAnsi" w:eastAsia="Arial Unicode MS" w:hAnsiTheme="majorHAnsi" w:cstheme="minorHAnsi"/>
          <w:sz w:val="22"/>
          <w:szCs w:val="22"/>
        </w:rPr>
        <w:t>, identifying cost efficiencies and revenue generating opportunities</w:t>
      </w:r>
      <w:r w:rsidR="00455DCA" w:rsidRPr="00CF7DE3">
        <w:rPr>
          <w:rFonts w:asciiTheme="majorHAnsi" w:eastAsia="Arial Unicode MS" w:hAnsiTheme="majorHAnsi" w:cstheme="minorHAnsi"/>
          <w:sz w:val="22"/>
          <w:szCs w:val="22"/>
        </w:rPr>
        <w:t xml:space="preserve"> while </w:t>
      </w:r>
      <w:bookmarkStart w:id="0" w:name="_GoBack"/>
      <w:r w:rsidR="00455DCA" w:rsidRPr="00CF7DE3">
        <w:rPr>
          <w:rFonts w:asciiTheme="majorHAnsi" w:eastAsia="Arial Unicode MS" w:hAnsiTheme="majorHAnsi" w:cstheme="minorHAnsi"/>
          <w:sz w:val="22"/>
          <w:szCs w:val="22"/>
        </w:rPr>
        <w:t>mit</w:t>
      </w:r>
      <w:r w:rsidR="00C00BF9" w:rsidRPr="00CF7DE3">
        <w:rPr>
          <w:rFonts w:asciiTheme="majorHAnsi" w:eastAsia="Arial Unicode MS" w:hAnsiTheme="majorHAnsi" w:cstheme="minorHAnsi"/>
          <w:sz w:val="22"/>
          <w:szCs w:val="22"/>
        </w:rPr>
        <w:t>igating risk and artfully managing</w:t>
      </w:r>
      <w:r w:rsidR="00383417">
        <w:rPr>
          <w:rFonts w:asciiTheme="majorHAnsi" w:eastAsia="Arial Unicode MS" w:hAnsiTheme="majorHAnsi" w:cstheme="minorHAnsi"/>
          <w:sz w:val="22"/>
          <w:szCs w:val="22"/>
        </w:rPr>
        <w:t xml:space="preserve"> negotiations and</w:t>
      </w:r>
      <w:r w:rsidR="00C00BF9" w:rsidRPr="00CF7DE3">
        <w:rPr>
          <w:rFonts w:asciiTheme="majorHAnsi" w:eastAsia="Arial Unicode MS" w:hAnsiTheme="majorHAnsi" w:cstheme="minorHAnsi"/>
          <w:sz w:val="22"/>
          <w:szCs w:val="22"/>
        </w:rPr>
        <w:t xml:space="preserve"> stakeholder relationships.</w:t>
      </w:r>
      <w:r w:rsidR="00383417">
        <w:rPr>
          <w:rFonts w:asciiTheme="majorHAnsi" w:eastAsia="Arial Unicode MS" w:hAnsiTheme="majorHAnsi" w:cstheme="minorHAnsi"/>
          <w:sz w:val="22"/>
          <w:szCs w:val="22"/>
        </w:rPr>
        <w:t xml:space="preserve">  Known as a strong team leader </w:t>
      </w:r>
      <w:bookmarkEnd w:id="0"/>
      <w:r w:rsidR="00383417">
        <w:rPr>
          <w:rFonts w:asciiTheme="majorHAnsi" w:eastAsia="Arial Unicode MS" w:hAnsiTheme="majorHAnsi" w:cstheme="minorHAnsi"/>
          <w:sz w:val="22"/>
          <w:szCs w:val="22"/>
        </w:rPr>
        <w:t xml:space="preserve">with a passion and skill for utilizing financial expertise to drive corporate success.  </w:t>
      </w:r>
      <w:r w:rsidR="00F21139" w:rsidRPr="00CF7DE3">
        <w:rPr>
          <w:rFonts w:asciiTheme="majorHAnsi" w:hAnsiTheme="majorHAnsi"/>
          <w:sz w:val="22"/>
          <w:szCs w:val="22"/>
        </w:rPr>
        <w:t>Key competencies include:</w:t>
      </w:r>
    </w:p>
    <w:p w14:paraId="55463A11" w14:textId="77777777" w:rsidR="00F21139" w:rsidRPr="00650E38" w:rsidRDefault="00F21139" w:rsidP="00F21139">
      <w:pPr>
        <w:tabs>
          <w:tab w:val="right" w:pos="9810"/>
        </w:tabs>
        <w:rPr>
          <w:rFonts w:asciiTheme="majorHAnsi" w:hAnsiTheme="majorHAnsi"/>
          <w:sz w:val="16"/>
          <w:szCs w:val="16"/>
        </w:rPr>
      </w:pPr>
    </w:p>
    <w:tbl>
      <w:tblPr>
        <w:tblStyle w:val="TableGrid"/>
        <w:tblW w:w="110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6"/>
        <w:gridCol w:w="5345"/>
      </w:tblGrid>
      <w:tr w:rsidR="00F21139" w:rsidRPr="00CF7DE3" w14:paraId="19CFEF1C" w14:textId="77777777" w:rsidTr="00AB0FD5">
        <w:trPr>
          <w:jc w:val="center"/>
        </w:trPr>
        <w:tc>
          <w:tcPr>
            <w:tcW w:w="5706" w:type="dxa"/>
          </w:tcPr>
          <w:p w14:paraId="022E946B" w14:textId="77777777" w:rsidR="00393B01" w:rsidRPr="00CF7DE3" w:rsidRDefault="00226DEF" w:rsidP="00455DCA">
            <w:pPr>
              <w:pStyle w:val="ListParagraph"/>
              <w:numPr>
                <w:ilvl w:val="0"/>
                <w:numId w:val="3"/>
              </w:numPr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</w:t>
            </w:r>
            <w:r w:rsidR="00AB0FD5">
              <w:rPr>
                <w:rFonts w:asciiTheme="majorHAnsi" w:hAnsiTheme="majorHAnsi"/>
                <w:sz w:val="22"/>
                <w:szCs w:val="22"/>
              </w:rPr>
              <w:t>inancial Analysis, Forecasting,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Budgeting.</w:t>
            </w:r>
            <w:r w:rsidR="00EE6304" w:rsidRPr="00CF7DE3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5000721C" w14:textId="77777777" w:rsidR="00F21139" w:rsidRPr="00CF7DE3" w:rsidRDefault="00EE6304" w:rsidP="00455DCA">
            <w:pPr>
              <w:pStyle w:val="ListParagraph"/>
              <w:numPr>
                <w:ilvl w:val="0"/>
                <w:numId w:val="3"/>
              </w:numPr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  <w:r w:rsidRPr="00CF7DE3">
              <w:rPr>
                <w:rFonts w:asciiTheme="majorHAnsi" w:hAnsiTheme="majorHAnsi"/>
                <w:sz w:val="22"/>
                <w:szCs w:val="22"/>
              </w:rPr>
              <w:t>Capital Markets</w:t>
            </w:r>
            <w:r w:rsidR="00B92A53">
              <w:rPr>
                <w:rFonts w:asciiTheme="majorHAnsi" w:hAnsiTheme="majorHAnsi"/>
                <w:sz w:val="22"/>
                <w:szCs w:val="22"/>
              </w:rPr>
              <w:t xml:space="preserve"> Expert, Debt Res</w:t>
            </w:r>
            <w:r w:rsidR="00455DCA" w:rsidRPr="00CF7DE3">
              <w:rPr>
                <w:rFonts w:asciiTheme="majorHAnsi" w:hAnsiTheme="majorHAnsi"/>
                <w:sz w:val="22"/>
                <w:szCs w:val="22"/>
              </w:rPr>
              <w:t>tructure</w:t>
            </w:r>
            <w:r w:rsidR="00084B88" w:rsidRPr="00CF7DE3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3C268094" w14:textId="77777777" w:rsidR="00455DCA" w:rsidRPr="00CF7DE3" w:rsidRDefault="00455DCA" w:rsidP="00455DCA">
            <w:pPr>
              <w:pStyle w:val="ListParagraph"/>
              <w:numPr>
                <w:ilvl w:val="0"/>
                <w:numId w:val="3"/>
              </w:numPr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  <w:r w:rsidRPr="00CF7DE3">
              <w:rPr>
                <w:rFonts w:asciiTheme="majorHAnsi" w:hAnsiTheme="majorHAnsi"/>
                <w:sz w:val="22"/>
                <w:szCs w:val="22"/>
              </w:rPr>
              <w:t xml:space="preserve">FX Market, Multinational Investment </w:t>
            </w:r>
            <w:r w:rsidR="00F81C87">
              <w:rPr>
                <w:rFonts w:asciiTheme="majorHAnsi" w:hAnsiTheme="majorHAnsi"/>
                <w:sz w:val="22"/>
                <w:szCs w:val="22"/>
              </w:rPr>
              <w:t>Management</w:t>
            </w:r>
            <w:r w:rsidRPr="00CF7DE3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2C1F8788" w14:textId="77777777" w:rsidR="00CB37E0" w:rsidRPr="00CF7DE3" w:rsidRDefault="00226DEF" w:rsidP="00455DCA">
            <w:pPr>
              <w:pStyle w:val="ListParagraph"/>
              <w:numPr>
                <w:ilvl w:val="0"/>
                <w:numId w:val="3"/>
              </w:numPr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Financial Reporting and Internal Control Practices</w:t>
            </w:r>
            <w:r w:rsidR="0076010A">
              <w:rPr>
                <w:rFonts w:asciiTheme="majorHAnsi" w:hAnsiTheme="majorHAnsi"/>
                <w:sz w:val="22"/>
                <w:szCs w:val="22"/>
              </w:rPr>
              <w:t>.</w:t>
            </w:r>
            <w:r w:rsidR="00CE3322" w:rsidRPr="00CF7DE3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509F371C" w14:textId="77777777" w:rsidR="00C00BF9" w:rsidRPr="00CF7DE3" w:rsidRDefault="004C3081" w:rsidP="00C00BF9">
            <w:pPr>
              <w:pStyle w:val="ListParagraph"/>
              <w:numPr>
                <w:ilvl w:val="0"/>
                <w:numId w:val="3"/>
              </w:numPr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Enterprise Cash and Liquidity</w:t>
            </w:r>
            <w:r w:rsidR="00C00BF9" w:rsidRPr="00CF7DE3">
              <w:rPr>
                <w:rFonts w:asciiTheme="majorHAnsi" w:hAnsiTheme="majorHAnsi"/>
                <w:sz w:val="22"/>
                <w:szCs w:val="22"/>
              </w:rPr>
              <w:t xml:space="preserve"> Management.</w:t>
            </w:r>
          </w:p>
        </w:tc>
        <w:tc>
          <w:tcPr>
            <w:tcW w:w="5345" w:type="dxa"/>
          </w:tcPr>
          <w:p w14:paraId="07120AB0" w14:textId="77777777" w:rsidR="00C00BF9" w:rsidRPr="00CF7DE3" w:rsidRDefault="00EE6304" w:rsidP="00C00BF9">
            <w:pPr>
              <w:pStyle w:val="ListParagraph"/>
              <w:numPr>
                <w:ilvl w:val="0"/>
                <w:numId w:val="11"/>
              </w:numPr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  <w:r w:rsidRPr="00CF7DE3">
              <w:rPr>
                <w:rFonts w:asciiTheme="majorHAnsi" w:hAnsiTheme="majorHAnsi"/>
                <w:sz w:val="22"/>
                <w:szCs w:val="22"/>
              </w:rPr>
              <w:t xml:space="preserve">M&amp;A, </w:t>
            </w:r>
            <w:r w:rsidR="00393B01" w:rsidRPr="00CF7DE3">
              <w:rPr>
                <w:rFonts w:asciiTheme="majorHAnsi" w:hAnsiTheme="majorHAnsi"/>
                <w:sz w:val="22"/>
                <w:szCs w:val="22"/>
              </w:rPr>
              <w:t>Cor</w:t>
            </w:r>
            <w:r w:rsidR="0006431C">
              <w:rPr>
                <w:rFonts w:asciiTheme="majorHAnsi" w:hAnsiTheme="majorHAnsi"/>
                <w:sz w:val="22"/>
                <w:szCs w:val="22"/>
              </w:rPr>
              <w:t>porate V</w:t>
            </w:r>
            <w:r w:rsidR="00C00BF9" w:rsidRPr="00CF7DE3">
              <w:rPr>
                <w:rFonts w:asciiTheme="majorHAnsi" w:hAnsiTheme="majorHAnsi"/>
                <w:sz w:val="22"/>
                <w:szCs w:val="22"/>
              </w:rPr>
              <w:t xml:space="preserve">aluation, </w:t>
            </w:r>
            <w:r w:rsidR="00226DEF">
              <w:rPr>
                <w:rFonts w:asciiTheme="majorHAnsi" w:hAnsiTheme="majorHAnsi"/>
                <w:sz w:val="22"/>
                <w:szCs w:val="22"/>
              </w:rPr>
              <w:t>Due Diligence</w:t>
            </w:r>
            <w:r w:rsidR="00393B01" w:rsidRPr="00CF7DE3">
              <w:rPr>
                <w:rFonts w:asciiTheme="majorHAnsi" w:hAnsiTheme="majorHAnsi"/>
                <w:sz w:val="22"/>
                <w:szCs w:val="22"/>
              </w:rPr>
              <w:t>.</w:t>
            </w:r>
            <w:r w:rsidR="00C00BF9" w:rsidRPr="00CF7DE3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5A30A96C" w14:textId="77777777" w:rsidR="00C00BF9" w:rsidRPr="00CF7DE3" w:rsidRDefault="007F2884" w:rsidP="00C00BF9">
            <w:pPr>
              <w:pStyle w:val="ListParagraph"/>
              <w:numPr>
                <w:ilvl w:val="0"/>
                <w:numId w:val="11"/>
              </w:numPr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Hedges, Derivatives (Currency, </w:t>
            </w:r>
            <w:r w:rsidR="00AB0FD5">
              <w:rPr>
                <w:rFonts w:asciiTheme="majorHAnsi" w:hAnsiTheme="majorHAnsi"/>
                <w:sz w:val="22"/>
                <w:szCs w:val="22"/>
              </w:rPr>
              <w:t>Interest</w:t>
            </w:r>
            <w:r w:rsidR="00226DEF">
              <w:rPr>
                <w:rFonts w:asciiTheme="majorHAnsi" w:hAnsiTheme="majorHAnsi"/>
                <w:sz w:val="22"/>
                <w:szCs w:val="22"/>
              </w:rPr>
              <w:t xml:space="preserve"> Rates</w:t>
            </w:r>
            <w:r w:rsidR="00C00BF9" w:rsidRPr="00CF7DE3">
              <w:rPr>
                <w:rFonts w:asciiTheme="majorHAnsi" w:hAnsiTheme="majorHAnsi"/>
                <w:sz w:val="22"/>
                <w:szCs w:val="22"/>
              </w:rPr>
              <w:t>).</w:t>
            </w:r>
          </w:p>
          <w:p w14:paraId="17E089E0" w14:textId="77777777" w:rsidR="00C00BF9" w:rsidRPr="00CF7DE3" w:rsidRDefault="0076010A" w:rsidP="00C00BF9">
            <w:pPr>
              <w:pStyle w:val="ListParagraph"/>
              <w:numPr>
                <w:ilvl w:val="0"/>
                <w:numId w:val="11"/>
              </w:numPr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Risk Management &amp; Insurance Programs.</w:t>
            </w:r>
          </w:p>
          <w:p w14:paraId="1C161099" w14:textId="77777777" w:rsidR="00C00BF9" w:rsidRPr="00CF7DE3" w:rsidRDefault="00C00BF9" w:rsidP="00393B01">
            <w:pPr>
              <w:pStyle w:val="ListParagraph"/>
              <w:numPr>
                <w:ilvl w:val="0"/>
                <w:numId w:val="11"/>
              </w:numPr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  <w:r w:rsidRPr="00CF7DE3">
              <w:rPr>
                <w:rFonts w:asciiTheme="majorHAnsi" w:hAnsiTheme="majorHAnsi"/>
                <w:sz w:val="22"/>
                <w:szCs w:val="22"/>
              </w:rPr>
              <w:t>Corporate Accounting, Policies, GAAP.</w:t>
            </w:r>
          </w:p>
          <w:p w14:paraId="1587763B" w14:textId="77777777" w:rsidR="00084B88" w:rsidRDefault="0076010A" w:rsidP="00C00BF9">
            <w:pPr>
              <w:pStyle w:val="ListParagraph"/>
              <w:numPr>
                <w:ilvl w:val="0"/>
                <w:numId w:val="11"/>
              </w:numPr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Working Capital Management.</w:t>
            </w:r>
          </w:p>
          <w:p w14:paraId="08CF7534" w14:textId="77777777" w:rsidR="00D62AB9" w:rsidRPr="00CF7DE3" w:rsidRDefault="00D62AB9" w:rsidP="00D62AB9">
            <w:pPr>
              <w:pStyle w:val="ListParagraph"/>
              <w:tabs>
                <w:tab w:val="right" w:pos="9810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5914C6E2" w14:textId="77777777" w:rsidR="00CA5B99" w:rsidRPr="00650E38" w:rsidRDefault="00CA5B99" w:rsidP="003C4CF4">
      <w:pPr>
        <w:pBdr>
          <w:bottom w:val="single" w:sz="4" w:space="1" w:color="auto"/>
        </w:pBdr>
        <w:tabs>
          <w:tab w:val="right" w:pos="9810"/>
        </w:tabs>
        <w:rPr>
          <w:rFonts w:asciiTheme="majorHAnsi" w:hAnsiTheme="majorHAnsi"/>
          <w:sz w:val="16"/>
          <w:szCs w:val="16"/>
        </w:rPr>
      </w:pPr>
    </w:p>
    <w:p w14:paraId="0D1EB168" w14:textId="77777777" w:rsidR="008644F3" w:rsidRPr="007B590D" w:rsidRDefault="00CA5B99" w:rsidP="003C4CF4">
      <w:pPr>
        <w:pBdr>
          <w:bottom w:val="double" w:sz="4" w:space="1" w:color="auto"/>
        </w:pBdr>
        <w:tabs>
          <w:tab w:val="right" w:pos="9810"/>
        </w:tabs>
        <w:jc w:val="center"/>
        <w:rPr>
          <w:rFonts w:asciiTheme="majorHAnsi" w:hAnsiTheme="majorHAnsi"/>
          <w:b/>
        </w:rPr>
      </w:pPr>
      <w:r w:rsidRPr="007B590D">
        <w:rPr>
          <w:rFonts w:asciiTheme="majorHAnsi" w:hAnsiTheme="majorHAnsi"/>
          <w:b/>
        </w:rPr>
        <w:t>PROFESSIONAL EXPERIENCE</w:t>
      </w:r>
    </w:p>
    <w:p w14:paraId="6D88AC6F" w14:textId="77777777" w:rsidR="008644F3" w:rsidRPr="009F738F" w:rsidRDefault="008644F3" w:rsidP="00A61FF8">
      <w:pPr>
        <w:tabs>
          <w:tab w:val="right" w:pos="9810"/>
        </w:tabs>
        <w:rPr>
          <w:rFonts w:asciiTheme="majorHAnsi" w:hAnsiTheme="majorHAnsi"/>
          <w:sz w:val="16"/>
          <w:szCs w:val="16"/>
        </w:rPr>
      </w:pPr>
    </w:p>
    <w:p w14:paraId="2F4C0D5F" w14:textId="77777777" w:rsidR="0036616F" w:rsidRPr="00D62AB9" w:rsidRDefault="00D62AB9" w:rsidP="0036616F">
      <w:pPr>
        <w:tabs>
          <w:tab w:val="right" w:pos="10800"/>
        </w:tabs>
        <w:rPr>
          <w:sz w:val="22"/>
          <w:szCs w:val="22"/>
        </w:rPr>
      </w:pPr>
      <w:r w:rsidRPr="00D62AB9">
        <w:rPr>
          <w:rFonts w:asciiTheme="majorHAnsi" w:hAnsiTheme="majorHAnsi" w:cstheme="minorHAnsi"/>
          <w:b/>
          <w:sz w:val="22"/>
          <w:szCs w:val="22"/>
        </w:rPr>
        <w:t xml:space="preserve">Visiting Professor – Finance, M&amp;A, Derivatives </w:t>
      </w:r>
      <w:r w:rsidR="00EC4FD1" w:rsidRPr="00D62AB9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EC4FD1" w:rsidRPr="00D62AB9">
        <w:rPr>
          <w:rFonts w:asciiTheme="majorHAnsi" w:hAnsiTheme="majorHAnsi" w:cstheme="minorHAnsi"/>
          <w:b/>
          <w:sz w:val="22"/>
          <w:szCs w:val="22"/>
        </w:rPr>
        <w:tab/>
      </w:r>
      <w:r w:rsidR="00EC4FD1" w:rsidRPr="00D62AB9">
        <w:rPr>
          <w:rFonts w:asciiTheme="majorHAnsi" w:hAnsiTheme="majorHAnsi" w:cstheme="minorHAnsi"/>
          <w:sz w:val="22"/>
          <w:szCs w:val="22"/>
        </w:rPr>
        <w:t>20</w:t>
      </w:r>
      <w:r w:rsidRPr="00D62AB9">
        <w:rPr>
          <w:rFonts w:asciiTheme="majorHAnsi" w:hAnsiTheme="majorHAnsi" w:cstheme="minorHAnsi"/>
          <w:sz w:val="22"/>
          <w:szCs w:val="22"/>
        </w:rPr>
        <w:t>14</w:t>
      </w:r>
      <w:r w:rsidR="0036616F" w:rsidRPr="00D62AB9">
        <w:rPr>
          <w:rFonts w:asciiTheme="majorHAnsi" w:hAnsiTheme="majorHAnsi" w:cstheme="minorHAnsi"/>
          <w:sz w:val="22"/>
          <w:szCs w:val="22"/>
        </w:rPr>
        <w:t xml:space="preserve"> – Present</w:t>
      </w:r>
    </w:p>
    <w:p w14:paraId="13A9B07C" w14:textId="77777777" w:rsidR="00EC4FD1" w:rsidRPr="00D62AB9" w:rsidRDefault="00D62AB9" w:rsidP="000F526F">
      <w:pPr>
        <w:pStyle w:val="FR1"/>
        <w:tabs>
          <w:tab w:val="right" w:pos="6840"/>
          <w:tab w:val="right" w:pos="10800"/>
        </w:tabs>
        <w:spacing w:before="0"/>
        <w:ind w:left="0"/>
        <w:rPr>
          <w:rFonts w:asciiTheme="majorHAnsi" w:eastAsia="Times New Roman" w:hAnsiTheme="majorHAnsi" w:cstheme="minorHAnsi"/>
          <w:b w:val="0"/>
          <w:bCs w:val="0"/>
          <w:lang w:val="es-ES" w:eastAsia="en-US"/>
        </w:rPr>
      </w:pPr>
      <w:r w:rsidRPr="00D62AB9">
        <w:rPr>
          <w:rFonts w:asciiTheme="majorHAnsi" w:eastAsia="Times New Roman" w:hAnsiTheme="majorHAnsi" w:cstheme="minorHAnsi"/>
          <w:b w:val="0"/>
          <w:bCs w:val="0"/>
          <w:lang w:val="es-ES" w:eastAsia="en-US"/>
        </w:rPr>
        <w:t>Tecnologico de Monterrey (Miami &amp; Mexico programs)</w:t>
      </w:r>
      <w:r w:rsidR="000F526F" w:rsidRPr="00D62AB9">
        <w:rPr>
          <w:rFonts w:asciiTheme="majorHAnsi" w:eastAsia="Times New Roman" w:hAnsiTheme="majorHAnsi" w:cstheme="minorHAnsi"/>
          <w:b w:val="0"/>
          <w:bCs w:val="0"/>
          <w:lang w:val="es-ES" w:eastAsia="en-US"/>
        </w:rPr>
        <w:t xml:space="preserve"> </w:t>
      </w:r>
    </w:p>
    <w:p w14:paraId="6FE436A6" w14:textId="77777777" w:rsidR="000F526F" w:rsidRPr="00CF7DE3" w:rsidRDefault="00D62AB9" w:rsidP="000F526F">
      <w:pPr>
        <w:pStyle w:val="FR1"/>
        <w:numPr>
          <w:ilvl w:val="0"/>
          <w:numId w:val="32"/>
        </w:numPr>
        <w:tabs>
          <w:tab w:val="right" w:pos="6840"/>
          <w:tab w:val="right" w:pos="10800"/>
        </w:tabs>
        <w:spacing w:before="0"/>
        <w:ind w:left="720"/>
        <w:rPr>
          <w:rFonts w:asciiTheme="majorHAnsi" w:eastAsia="Times New Roman" w:hAnsiTheme="majorHAnsi" w:cstheme="minorHAnsi"/>
          <w:b w:val="0"/>
          <w:bCs w:val="0"/>
          <w:lang w:eastAsia="en-US"/>
        </w:rPr>
      </w:pPr>
      <w:r>
        <w:rPr>
          <w:rFonts w:asciiTheme="majorHAnsi" w:eastAsia="Times New Roman" w:hAnsiTheme="majorHAnsi" w:cstheme="minorHAnsi"/>
          <w:b w:val="0"/>
          <w:bCs w:val="0"/>
          <w:lang w:eastAsia="en-US"/>
        </w:rPr>
        <w:t>Currently teaching Corporate Finance,</w:t>
      </w:r>
      <w:r w:rsidR="00442BD0">
        <w:rPr>
          <w:rFonts w:asciiTheme="majorHAnsi" w:eastAsia="Times New Roman" w:hAnsiTheme="majorHAnsi" w:cstheme="minorHAnsi"/>
          <w:b w:val="0"/>
          <w:bCs w:val="0"/>
          <w:lang w:eastAsia="en-US"/>
        </w:rPr>
        <w:t xml:space="preserve"> M&amp;A</w:t>
      </w:r>
      <w:r w:rsidR="000F526F" w:rsidRPr="00CF7DE3">
        <w:rPr>
          <w:rFonts w:asciiTheme="majorHAnsi" w:eastAsia="Times New Roman" w:hAnsiTheme="majorHAnsi" w:cstheme="minorHAnsi"/>
          <w:b w:val="0"/>
          <w:bCs w:val="0"/>
          <w:lang w:eastAsia="en-US"/>
        </w:rPr>
        <w:t xml:space="preserve"> </w:t>
      </w:r>
      <w:r>
        <w:rPr>
          <w:rFonts w:asciiTheme="majorHAnsi" w:eastAsia="Times New Roman" w:hAnsiTheme="majorHAnsi" w:cstheme="minorHAnsi"/>
          <w:b w:val="0"/>
          <w:bCs w:val="0"/>
          <w:lang w:eastAsia="en-US"/>
        </w:rPr>
        <w:t>and Derivatives (BA &amp; MBA level)</w:t>
      </w:r>
      <w:r w:rsidR="000F526F" w:rsidRPr="00CF7DE3">
        <w:rPr>
          <w:rFonts w:asciiTheme="majorHAnsi" w:eastAsia="Times New Roman" w:hAnsiTheme="majorHAnsi" w:cstheme="minorHAnsi"/>
          <w:b w:val="0"/>
          <w:bCs w:val="0"/>
          <w:lang w:eastAsia="en-US"/>
        </w:rPr>
        <w:t>.</w:t>
      </w:r>
    </w:p>
    <w:p w14:paraId="21116196" w14:textId="77777777" w:rsidR="000F526F" w:rsidRDefault="000F526F" w:rsidP="000F526F">
      <w:pPr>
        <w:tabs>
          <w:tab w:val="right" w:pos="10800"/>
        </w:tabs>
        <w:rPr>
          <w:rFonts w:asciiTheme="majorHAnsi" w:hAnsiTheme="majorHAnsi" w:cstheme="minorHAnsi"/>
          <w:b/>
          <w:sz w:val="22"/>
          <w:szCs w:val="22"/>
        </w:rPr>
      </w:pPr>
    </w:p>
    <w:p w14:paraId="32D984E5" w14:textId="77777777" w:rsidR="000F526F" w:rsidRPr="00CF7DE3" w:rsidRDefault="00383417" w:rsidP="000F526F">
      <w:pPr>
        <w:tabs>
          <w:tab w:val="right" w:pos="10800"/>
        </w:tabs>
        <w:rPr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C</w:t>
      </w:r>
      <w:r w:rsidR="00CA61FE">
        <w:rPr>
          <w:rFonts w:asciiTheme="majorHAnsi" w:hAnsiTheme="majorHAnsi" w:cstheme="minorHAnsi"/>
          <w:b/>
          <w:sz w:val="22"/>
          <w:szCs w:val="22"/>
        </w:rPr>
        <w:t xml:space="preserve">hief Financial Officer (CFO and Co-Founder) </w:t>
      </w:r>
      <w:r w:rsidR="000F526F" w:rsidRPr="00CF7DE3">
        <w:rPr>
          <w:rFonts w:asciiTheme="majorHAnsi" w:hAnsiTheme="majorHAnsi" w:cstheme="minorHAnsi"/>
          <w:b/>
          <w:sz w:val="22"/>
          <w:szCs w:val="22"/>
        </w:rPr>
        <w:tab/>
      </w:r>
      <w:r w:rsidR="002D172D">
        <w:rPr>
          <w:rFonts w:asciiTheme="majorHAnsi" w:hAnsiTheme="majorHAnsi" w:cstheme="minorHAnsi"/>
          <w:sz w:val="22"/>
          <w:szCs w:val="22"/>
        </w:rPr>
        <w:t>2010 – 2014</w:t>
      </w:r>
    </w:p>
    <w:p w14:paraId="5DCC1104" w14:textId="77777777" w:rsidR="000F526F" w:rsidRDefault="000F526F" w:rsidP="000F526F">
      <w:pPr>
        <w:pStyle w:val="FR1"/>
        <w:tabs>
          <w:tab w:val="right" w:pos="6840"/>
          <w:tab w:val="right" w:pos="10800"/>
        </w:tabs>
        <w:spacing w:before="0"/>
        <w:ind w:left="0"/>
        <w:rPr>
          <w:rFonts w:asciiTheme="majorHAnsi" w:eastAsia="Times New Roman" w:hAnsiTheme="majorHAnsi" w:cstheme="minorHAnsi"/>
          <w:b w:val="0"/>
          <w:bCs w:val="0"/>
          <w:lang w:eastAsia="en-US"/>
        </w:rPr>
      </w:pPr>
      <w:r w:rsidRPr="00CF7DE3">
        <w:rPr>
          <w:rFonts w:asciiTheme="majorHAnsi" w:eastAsia="Times New Roman" w:hAnsiTheme="majorHAnsi" w:cstheme="minorHAnsi"/>
          <w:b w:val="0"/>
          <w:bCs w:val="0"/>
          <w:lang w:eastAsia="en-US"/>
        </w:rPr>
        <w:t>PROTEGO CAPITAL, LLC – Miami, FL</w:t>
      </w:r>
    </w:p>
    <w:p w14:paraId="78B5BFC2" w14:textId="77777777" w:rsidR="00851544" w:rsidRPr="00851544" w:rsidRDefault="00851544" w:rsidP="000F526F">
      <w:pPr>
        <w:pStyle w:val="FR1"/>
        <w:tabs>
          <w:tab w:val="right" w:pos="6840"/>
          <w:tab w:val="right" w:pos="10800"/>
        </w:tabs>
        <w:spacing w:before="0"/>
        <w:ind w:left="0"/>
        <w:rPr>
          <w:rFonts w:asciiTheme="majorHAnsi" w:eastAsia="Times New Roman" w:hAnsiTheme="majorHAnsi" w:cstheme="minorHAnsi"/>
          <w:b w:val="0"/>
          <w:bCs w:val="0"/>
          <w:lang w:eastAsia="en-US"/>
        </w:rPr>
      </w:pPr>
      <w:r>
        <w:rPr>
          <w:rFonts w:asciiTheme="majorHAnsi" w:hAnsiTheme="majorHAnsi"/>
          <w:b w:val="0"/>
          <w:color w:val="000000"/>
        </w:rPr>
        <w:t>R</w:t>
      </w:r>
      <w:r w:rsidRPr="00851544">
        <w:rPr>
          <w:rFonts w:asciiTheme="majorHAnsi" w:hAnsiTheme="majorHAnsi"/>
          <w:b w:val="0"/>
          <w:color w:val="000000"/>
        </w:rPr>
        <w:t xml:space="preserve">esponsible for the strategic and operational leadership of the accounting function, ensuring alignment with the goals of the </w:t>
      </w:r>
      <w:r>
        <w:rPr>
          <w:rFonts w:asciiTheme="majorHAnsi" w:hAnsiTheme="majorHAnsi"/>
          <w:b w:val="0"/>
          <w:color w:val="000000"/>
        </w:rPr>
        <w:t xml:space="preserve">company </w:t>
      </w:r>
      <w:r w:rsidRPr="00851544">
        <w:rPr>
          <w:rFonts w:asciiTheme="majorHAnsi" w:hAnsiTheme="majorHAnsi"/>
          <w:b w:val="0"/>
          <w:color w:val="000000"/>
        </w:rPr>
        <w:t xml:space="preserve">and continued financial soundness. Among other things, directing, planning and controlling all fiscal functions of the </w:t>
      </w:r>
      <w:r>
        <w:rPr>
          <w:rFonts w:asciiTheme="majorHAnsi" w:hAnsiTheme="majorHAnsi"/>
          <w:b w:val="0"/>
          <w:color w:val="000000"/>
        </w:rPr>
        <w:t>company</w:t>
      </w:r>
      <w:r w:rsidRPr="00851544">
        <w:rPr>
          <w:rFonts w:asciiTheme="majorHAnsi" w:hAnsiTheme="majorHAnsi"/>
          <w:b w:val="0"/>
          <w:color w:val="000000"/>
        </w:rPr>
        <w:t>; setting financial objectives and policies; timely reporting and accurate analysis of b</w:t>
      </w:r>
      <w:r>
        <w:rPr>
          <w:rFonts w:asciiTheme="majorHAnsi" w:hAnsiTheme="majorHAnsi"/>
          <w:b w:val="0"/>
          <w:color w:val="000000"/>
        </w:rPr>
        <w:t>udgets and financial statements.</w:t>
      </w:r>
    </w:p>
    <w:p w14:paraId="6F8A7899" w14:textId="77777777" w:rsidR="000F526F" w:rsidRPr="00CF7DE3" w:rsidRDefault="000F526F" w:rsidP="000F526F">
      <w:pPr>
        <w:pStyle w:val="FR1"/>
        <w:tabs>
          <w:tab w:val="right" w:pos="6840"/>
          <w:tab w:val="right" w:pos="10800"/>
        </w:tabs>
        <w:spacing w:before="0"/>
        <w:ind w:left="0"/>
        <w:rPr>
          <w:rFonts w:asciiTheme="majorHAnsi" w:eastAsia="Times New Roman" w:hAnsiTheme="majorHAnsi" w:cstheme="minorHAnsi"/>
          <w:b w:val="0"/>
          <w:bCs w:val="0"/>
          <w:lang w:eastAsia="en-US"/>
        </w:rPr>
      </w:pPr>
      <w:r w:rsidRPr="00CF7DE3">
        <w:rPr>
          <w:rFonts w:asciiTheme="majorHAnsi" w:eastAsia="Times New Roman" w:hAnsiTheme="majorHAnsi" w:cstheme="minorHAnsi"/>
          <w:b w:val="0"/>
          <w:bCs w:val="0"/>
          <w:lang w:eastAsia="en-US"/>
        </w:rPr>
        <w:t>Acquisition of two companies lacking sound management and capital, leveraging skilled financial analysis and intelligent capital investments to value, merge, and restructure companies, selling</w:t>
      </w:r>
      <w:r w:rsidR="004C3081">
        <w:rPr>
          <w:rFonts w:asciiTheme="majorHAnsi" w:eastAsia="Times New Roman" w:hAnsiTheme="majorHAnsi" w:cstheme="minorHAnsi"/>
          <w:b w:val="0"/>
          <w:bCs w:val="0"/>
          <w:lang w:eastAsia="en-US"/>
        </w:rPr>
        <w:t xml:space="preserve"> for</w:t>
      </w:r>
      <w:r w:rsidRPr="00CF7DE3">
        <w:rPr>
          <w:rFonts w:asciiTheme="majorHAnsi" w:eastAsia="Times New Roman" w:hAnsiTheme="majorHAnsi" w:cstheme="minorHAnsi"/>
          <w:b w:val="0"/>
          <w:bCs w:val="0"/>
          <w:lang w:eastAsia="en-US"/>
        </w:rPr>
        <w:t xml:space="preserve"> </w:t>
      </w:r>
      <w:r w:rsidR="00D502BA">
        <w:rPr>
          <w:rFonts w:asciiTheme="majorHAnsi" w:eastAsia="Times New Roman" w:hAnsiTheme="majorHAnsi" w:cstheme="minorHAnsi"/>
          <w:b w:val="0"/>
          <w:bCs w:val="0"/>
          <w:lang w:eastAsia="en-US"/>
        </w:rPr>
        <w:t>$1.1M (</w:t>
      </w:r>
      <w:r w:rsidR="004C3081">
        <w:rPr>
          <w:rFonts w:asciiTheme="majorHAnsi" w:eastAsia="Times New Roman" w:hAnsiTheme="majorHAnsi" w:cstheme="minorHAnsi"/>
          <w:b w:val="0"/>
          <w:bCs w:val="0"/>
          <w:lang w:eastAsia="en-US"/>
        </w:rPr>
        <w:t>90%</w:t>
      </w:r>
      <w:r w:rsidRPr="00CF7DE3">
        <w:rPr>
          <w:rFonts w:asciiTheme="majorHAnsi" w:eastAsia="Times New Roman" w:hAnsiTheme="majorHAnsi" w:cstheme="minorHAnsi"/>
          <w:b w:val="0"/>
          <w:bCs w:val="0"/>
          <w:lang w:eastAsia="en-US"/>
        </w:rPr>
        <w:t xml:space="preserve"> profit</w:t>
      </w:r>
      <w:r w:rsidR="004C3081">
        <w:rPr>
          <w:rFonts w:asciiTheme="majorHAnsi" w:eastAsia="Times New Roman" w:hAnsiTheme="majorHAnsi" w:cstheme="minorHAnsi"/>
          <w:b w:val="0"/>
          <w:bCs w:val="0"/>
          <w:lang w:eastAsia="en-US"/>
        </w:rPr>
        <w:t>)</w:t>
      </w:r>
      <w:r w:rsidRPr="00CF7DE3">
        <w:rPr>
          <w:rFonts w:asciiTheme="majorHAnsi" w:eastAsia="Times New Roman" w:hAnsiTheme="majorHAnsi" w:cstheme="minorHAnsi"/>
          <w:b w:val="0"/>
          <w:bCs w:val="0"/>
          <w:lang w:eastAsia="en-US"/>
        </w:rPr>
        <w:t xml:space="preserve">.  </w:t>
      </w:r>
    </w:p>
    <w:p w14:paraId="2E4180FE" w14:textId="77777777" w:rsidR="000F526F" w:rsidRPr="00CF7DE3" w:rsidRDefault="000F526F" w:rsidP="000F526F">
      <w:pPr>
        <w:pStyle w:val="Heading1"/>
        <w:numPr>
          <w:ilvl w:val="0"/>
          <w:numId w:val="32"/>
        </w:numPr>
        <w:tabs>
          <w:tab w:val="left" w:pos="0"/>
          <w:tab w:val="right" w:pos="10800"/>
        </w:tabs>
        <w:ind w:left="720"/>
        <w:rPr>
          <w:rFonts w:asciiTheme="majorHAnsi" w:hAnsiTheme="majorHAnsi" w:cstheme="minorHAnsi"/>
          <w:b w:val="0"/>
          <w:szCs w:val="22"/>
          <w:lang w:val="en-US"/>
        </w:rPr>
      </w:pPr>
      <w:r w:rsidRPr="00CF7DE3">
        <w:rPr>
          <w:rFonts w:asciiTheme="majorHAnsi" w:hAnsiTheme="majorHAnsi" w:cstheme="minorHAnsi"/>
          <w:b w:val="0"/>
          <w:szCs w:val="22"/>
          <w:lang w:val="en-US"/>
        </w:rPr>
        <w:t>Transformed two broke companies into</w:t>
      </w:r>
      <w:r w:rsidR="004C3081">
        <w:rPr>
          <w:rFonts w:asciiTheme="majorHAnsi" w:hAnsiTheme="majorHAnsi" w:cstheme="minorHAnsi"/>
          <w:b w:val="0"/>
          <w:szCs w:val="22"/>
          <w:lang w:val="en-US"/>
        </w:rPr>
        <w:t xml:space="preserve"> still</w:t>
      </w:r>
      <w:r w:rsidRPr="00CF7DE3">
        <w:rPr>
          <w:rFonts w:asciiTheme="majorHAnsi" w:hAnsiTheme="majorHAnsi" w:cstheme="minorHAnsi"/>
          <w:b w:val="0"/>
          <w:szCs w:val="22"/>
          <w:lang w:val="en-US"/>
        </w:rPr>
        <w:t xml:space="preserve"> thr</w:t>
      </w:r>
      <w:r w:rsidR="004C3081">
        <w:rPr>
          <w:rFonts w:asciiTheme="majorHAnsi" w:hAnsiTheme="majorHAnsi" w:cstheme="minorHAnsi"/>
          <w:b w:val="0"/>
          <w:szCs w:val="22"/>
          <w:lang w:val="en-US"/>
        </w:rPr>
        <w:t xml:space="preserve">iving business generating $800K in </w:t>
      </w:r>
      <w:r w:rsidRPr="00CF7DE3">
        <w:rPr>
          <w:rFonts w:asciiTheme="majorHAnsi" w:hAnsiTheme="majorHAnsi" w:cstheme="minorHAnsi"/>
          <w:b w:val="0"/>
          <w:szCs w:val="22"/>
          <w:lang w:val="en-US"/>
        </w:rPr>
        <w:t>annual revenue.</w:t>
      </w:r>
    </w:p>
    <w:p w14:paraId="21FE4A0C" w14:textId="77777777" w:rsidR="000F526F" w:rsidRPr="00CF7DE3" w:rsidRDefault="000F526F" w:rsidP="000F526F">
      <w:pPr>
        <w:pStyle w:val="Heading1"/>
        <w:numPr>
          <w:ilvl w:val="0"/>
          <w:numId w:val="32"/>
        </w:numPr>
        <w:tabs>
          <w:tab w:val="left" w:pos="0"/>
          <w:tab w:val="right" w:pos="10800"/>
        </w:tabs>
        <w:ind w:left="720"/>
        <w:rPr>
          <w:rFonts w:asciiTheme="majorHAnsi" w:hAnsiTheme="majorHAnsi" w:cstheme="minorHAnsi"/>
          <w:b w:val="0"/>
          <w:szCs w:val="22"/>
          <w:lang w:val="en-US"/>
        </w:rPr>
      </w:pPr>
      <w:r w:rsidRPr="00CF7DE3">
        <w:rPr>
          <w:rFonts w:asciiTheme="majorHAnsi" w:hAnsiTheme="majorHAnsi" w:cstheme="minorHAnsi"/>
          <w:b w:val="0"/>
          <w:szCs w:val="22"/>
          <w:lang w:val="en-US"/>
        </w:rPr>
        <w:t xml:space="preserve">Provided asset management and financial consulting services for $3M in </w:t>
      </w:r>
      <w:r w:rsidR="004C3081">
        <w:rPr>
          <w:rFonts w:asciiTheme="majorHAnsi" w:hAnsiTheme="majorHAnsi" w:cstheme="minorHAnsi"/>
          <w:b w:val="0"/>
          <w:szCs w:val="22"/>
          <w:lang w:val="en-US"/>
        </w:rPr>
        <w:t xml:space="preserve">private </w:t>
      </w:r>
      <w:r w:rsidRPr="00CF7DE3">
        <w:rPr>
          <w:rFonts w:asciiTheme="majorHAnsi" w:hAnsiTheme="majorHAnsi" w:cstheme="minorHAnsi"/>
          <w:b w:val="0"/>
          <w:szCs w:val="22"/>
          <w:lang w:val="en-US"/>
        </w:rPr>
        <w:t xml:space="preserve">assets. </w:t>
      </w:r>
    </w:p>
    <w:p w14:paraId="336B638F" w14:textId="77777777" w:rsidR="000F526F" w:rsidRDefault="000F526F" w:rsidP="000F526F">
      <w:pPr>
        <w:pStyle w:val="Heading1"/>
        <w:tabs>
          <w:tab w:val="left" w:pos="0"/>
          <w:tab w:val="right" w:pos="10800"/>
        </w:tabs>
        <w:jc w:val="left"/>
        <w:rPr>
          <w:rFonts w:asciiTheme="majorHAnsi" w:hAnsiTheme="majorHAnsi" w:cstheme="minorHAnsi"/>
          <w:szCs w:val="22"/>
          <w:lang w:val="en-US"/>
        </w:rPr>
      </w:pPr>
    </w:p>
    <w:p w14:paraId="39D73D71" w14:textId="77777777" w:rsidR="000F526F" w:rsidRPr="00CF7DE3" w:rsidRDefault="000F526F" w:rsidP="000F526F">
      <w:pPr>
        <w:tabs>
          <w:tab w:val="right" w:pos="1080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b/>
          <w:sz w:val="22"/>
          <w:szCs w:val="22"/>
        </w:rPr>
        <w:t>Chief Financial Officer</w:t>
      </w:r>
      <w:r w:rsidR="00CF7DE3" w:rsidRPr="00CF7DE3">
        <w:rPr>
          <w:rFonts w:asciiTheme="majorHAnsi" w:hAnsiTheme="majorHAnsi"/>
          <w:b/>
          <w:sz w:val="22"/>
          <w:szCs w:val="22"/>
        </w:rPr>
        <w:t xml:space="preserve"> (CFO)</w:t>
      </w:r>
      <w:r w:rsidRPr="00CF7DE3">
        <w:rPr>
          <w:rFonts w:asciiTheme="majorHAnsi" w:hAnsiTheme="majorHAnsi"/>
          <w:b/>
          <w:sz w:val="22"/>
          <w:szCs w:val="22"/>
        </w:rPr>
        <w:tab/>
      </w:r>
      <w:r w:rsidRPr="00CF7DE3">
        <w:rPr>
          <w:rFonts w:asciiTheme="majorHAnsi" w:hAnsiTheme="majorHAnsi"/>
          <w:sz w:val="22"/>
          <w:szCs w:val="22"/>
        </w:rPr>
        <w:t>2008 – 2010</w:t>
      </w:r>
      <w:r w:rsidRPr="00CF7DE3">
        <w:rPr>
          <w:rFonts w:asciiTheme="majorHAnsi" w:hAnsiTheme="majorHAnsi"/>
          <w:b/>
          <w:sz w:val="22"/>
          <w:szCs w:val="22"/>
        </w:rPr>
        <w:t xml:space="preserve"> </w:t>
      </w:r>
    </w:p>
    <w:p w14:paraId="115CDF63" w14:textId="77777777" w:rsidR="000F526F" w:rsidRPr="00CF7DE3" w:rsidRDefault="000F526F" w:rsidP="000F526F">
      <w:pPr>
        <w:tabs>
          <w:tab w:val="right" w:pos="45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FRIENDSHIP BRIDGE – Evergreen, CO</w:t>
      </w:r>
    </w:p>
    <w:p w14:paraId="32F28972" w14:textId="77777777" w:rsidR="000F526F" w:rsidRPr="00CF7DE3" w:rsidRDefault="000F526F" w:rsidP="000F526F">
      <w:p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Provided fi</w:t>
      </w:r>
      <w:r w:rsidR="00CF7DE3">
        <w:rPr>
          <w:rFonts w:asciiTheme="majorHAnsi" w:hAnsiTheme="majorHAnsi"/>
          <w:sz w:val="22"/>
          <w:szCs w:val="22"/>
        </w:rPr>
        <w:t>nancial leadership</w:t>
      </w:r>
      <w:r w:rsidR="00AF129B">
        <w:rPr>
          <w:rFonts w:asciiTheme="majorHAnsi" w:hAnsiTheme="majorHAnsi"/>
          <w:sz w:val="22"/>
          <w:szCs w:val="22"/>
        </w:rPr>
        <w:t xml:space="preserve"> </w:t>
      </w:r>
      <w:r w:rsidRPr="00CF7DE3">
        <w:rPr>
          <w:rFonts w:asciiTheme="majorHAnsi" w:hAnsiTheme="majorHAnsi"/>
          <w:sz w:val="22"/>
          <w:szCs w:val="22"/>
        </w:rPr>
        <w:t>for</w:t>
      </w:r>
      <w:r w:rsidR="00CF7DE3" w:rsidRPr="00CF7DE3">
        <w:rPr>
          <w:rFonts w:asciiTheme="majorHAnsi" w:hAnsiTheme="majorHAnsi"/>
          <w:sz w:val="22"/>
          <w:szCs w:val="22"/>
        </w:rPr>
        <w:t xml:space="preserve"> </w:t>
      </w:r>
      <w:r w:rsidR="00AF129B">
        <w:rPr>
          <w:rFonts w:asciiTheme="majorHAnsi" w:hAnsiTheme="majorHAnsi"/>
          <w:sz w:val="22"/>
          <w:szCs w:val="22"/>
        </w:rPr>
        <w:t>international</w:t>
      </w:r>
      <w:r w:rsidR="00AB0FD5">
        <w:rPr>
          <w:rFonts w:asciiTheme="majorHAnsi" w:hAnsiTheme="majorHAnsi"/>
          <w:sz w:val="22"/>
          <w:szCs w:val="22"/>
        </w:rPr>
        <w:t xml:space="preserve"> financial</w:t>
      </w:r>
      <w:r w:rsidR="00AF129B">
        <w:rPr>
          <w:rFonts w:asciiTheme="majorHAnsi" w:hAnsiTheme="majorHAnsi"/>
          <w:sz w:val="22"/>
          <w:szCs w:val="22"/>
        </w:rPr>
        <w:t xml:space="preserve"> non-profit</w:t>
      </w:r>
      <w:r w:rsidR="009B6AD8">
        <w:rPr>
          <w:rFonts w:asciiTheme="majorHAnsi" w:hAnsiTheme="majorHAnsi"/>
          <w:sz w:val="22"/>
          <w:szCs w:val="22"/>
        </w:rPr>
        <w:t xml:space="preserve"> providing</w:t>
      </w:r>
      <w:r w:rsidR="00D502BA">
        <w:rPr>
          <w:rFonts w:asciiTheme="majorHAnsi" w:hAnsiTheme="majorHAnsi"/>
          <w:sz w:val="22"/>
          <w:szCs w:val="22"/>
        </w:rPr>
        <w:t xml:space="preserve"> micro-credit to </w:t>
      </w:r>
      <w:r w:rsidR="009B6AD8">
        <w:rPr>
          <w:rFonts w:asciiTheme="majorHAnsi" w:hAnsiTheme="majorHAnsi"/>
          <w:sz w:val="22"/>
          <w:szCs w:val="22"/>
        </w:rPr>
        <w:t xml:space="preserve">Central American </w:t>
      </w:r>
      <w:r w:rsidR="00D502BA">
        <w:rPr>
          <w:rFonts w:asciiTheme="majorHAnsi" w:hAnsiTheme="majorHAnsi"/>
          <w:sz w:val="22"/>
          <w:szCs w:val="22"/>
        </w:rPr>
        <w:t>families in ex</w:t>
      </w:r>
      <w:r w:rsidR="009B6AD8">
        <w:rPr>
          <w:rFonts w:asciiTheme="majorHAnsi" w:hAnsiTheme="majorHAnsi"/>
          <w:sz w:val="22"/>
          <w:szCs w:val="22"/>
        </w:rPr>
        <w:t>treme poverty</w:t>
      </w:r>
      <w:r w:rsidR="00AF129B">
        <w:rPr>
          <w:rFonts w:asciiTheme="majorHAnsi" w:hAnsiTheme="majorHAnsi"/>
          <w:sz w:val="22"/>
          <w:szCs w:val="22"/>
        </w:rPr>
        <w:t>.  Oversaw f</w:t>
      </w:r>
      <w:r w:rsidR="00AB0FD5">
        <w:rPr>
          <w:rFonts w:asciiTheme="majorHAnsi" w:hAnsiTheme="majorHAnsi"/>
          <w:sz w:val="22"/>
          <w:szCs w:val="22"/>
        </w:rPr>
        <w:t>inancial and</w:t>
      </w:r>
      <w:r w:rsidR="00CF7DE3" w:rsidRPr="00CF7DE3">
        <w:rPr>
          <w:rFonts w:asciiTheme="majorHAnsi" w:hAnsiTheme="majorHAnsi"/>
          <w:sz w:val="22"/>
          <w:szCs w:val="22"/>
        </w:rPr>
        <w:t xml:space="preserve"> regulatory reporting</w:t>
      </w:r>
      <w:r w:rsidR="00AF129B">
        <w:rPr>
          <w:rFonts w:asciiTheme="majorHAnsi" w:hAnsiTheme="majorHAnsi"/>
          <w:sz w:val="22"/>
          <w:szCs w:val="22"/>
        </w:rPr>
        <w:t>, directed</w:t>
      </w:r>
      <w:r w:rsidR="00CF7DE3">
        <w:rPr>
          <w:rFonts w:asciiTheme="majorHAnsi" w:hAnsiTheme="majorHAnsi"/>
          <w:sz w:val="22"/>
          <w:szCs w:val="22"/>
        </w:rPr>
        <w:t xml:space="preserve"> accounti</w:t>
      </w:r>
      <w:r w:rsidR="00AF129B">
        <w:rPr>
          <w:rFonts w:asciiTheme="majorHAnsi" w:hAnsiTheme="majorHAnsi"/>
          <w:sz w:val="22"/>
          <w:szCs w:val="22"/>
        </w:rPr>
        <w:t>ng</w:t>
      </w:r>
      <w:r w:rsidRPr="00CF7DE3">
        <w:rPr>
          <w:rFonts w:asciiTheme="majorHAnsi" w:hAnsiTheme="majorHAnsi"/>
          <w:sz w:val="22"/>
          <w:szCs w:val="22"/>
        </w:rPr>
        <w:t xml:space="preserve"> operations, establish</w:t>
      </w:r>
      <w:r w:rsidR="00AF129B">
        <w:rPr>
          <w:rFonts w:asciiTheme="majorHAnsi" w:hAnsiTheme="majorHAnsi"/>
          <w:sz w:val="22"/>
          <w:szCs w:val="22"/>
        </w:rPr>
        <w:t>ed</w:t>
      </w:r>
      <w:r w:rsidRPr="00CF7DE3">
        <w:rPr>
          <w:rFonts w:asciiTheme="majorHAnsi" w:hAnsiTheme="majorHAnsi"/>
          <w:sz w:val="22"/>
          <w:szCs w:val="22"/>
        </w:rPr>
        <w:t xml:space="preserve"> </w:t>
      </w:r>
      <w:r w:rsidR="009B6AD8">
        <w:rPr>
          <w:rFonts w:asciiTheme="majorHAnsi" w:hAnsiTheme="majorHAnsi"/>
          <w:sz w:val="22"/>
          <w:szCs w:val="22"/>
        </w:rPr>
        <w:t>policies and</w:t>
      </w:r>
      <w:r w:rsidR="00CF7DE3">
        <w:rPr>
          <w:rFonts w:asciiTheme="majorHAnsi" w:hAnsiTheme="majorHAnsi"/>
          <w:sz w:val="22"/>
          <w:szCs w:val="22"/>
        </w:rPr>
        <w:t xml:space="preserve"> best practices, </w:t>
      </w:r>
      <w:r w:rsidR="004C3081">
        <w:rPr>
          <w:rFonts w:asciiTheme="majorHAnsi" w:hAnsiTheme="majorHAnsi"/>
          <w:sz w:val="22"/>
          <w:szCs w:val="22"/>
        </w:rPr>
        <w:t xml:space="preserve">and </w:t>
      </w:r>
      <w:r w:rsidRPr="00CF7DE3">
        <w:rPr>
          <w:rFonts w:asciiTheme="majorHAnsi" w:hAnsiTheme="majorHAnsi"/>
          <w:sz w:val="22"/>
          <w:szCs w:val="22"/>
        </w:rPr>
        <w:t>s</w:t>
      </w:r>
      <w:r w:rsidR="00AF129B">
        <w:rPr>
          <w:rFonts w:asciiTheme="majorHAnsi" w:hAnsiTheme="majorHAnsi"/>
          <w:sz w:val="22"/>
          <w:szCs w:val="22"/>
        </w:rPr>
        <w:t>upported</w:t>
      </w:r>
      <w:r w:rsidRPr="00CF7DE3">
        <w:rPr>
          <w:rFonts w:asciiTheme="majorHAnsi" w:hAnsiTheme="majorHAnsi"/>
          <w:sz w:val="22"/>
          <w:szCs w:val="22"/>
        </w:rPr>
        <w:t xml:space="preserve"> </w:t>
      </w:r>
      <w:r w:rsidR="00CF7DE3">
        <w:rPr>
          <w:rFonts w:asciiTheme="majorHAnsi" w:hAnsiTheme="majorHAnsi"/>
          <w:sz w:val="22"/>
          <w:szCs w:val="22"/>
        </w:rPr>
        <w:t>Finance &amp;</w:t>
      </w:r>
      <w:r w:rsidRPr="00CF7DE3">
        <w:rPr>
          <w:rFonts w:asciiTheme="majorHAnsi" w:hAnsiTheme="majorHAnsi"/>
          <w:sz w:val="22"/>
          <w:szCs w:val="22"/>
        </w:rPr>
        <w:t xml:space="preserve"> Investment Committee.</w:t>
      </w:r>
    </w:p>
    <w:p w14:paraId="1D8FA1E6" w14:textId="77777777" w:rsidR="000F526F" w:rsidRPr="00CF7DE3" w:rsidRDefault="000F526F" w:rsidP="000F526F">
      <w:pPr>
        <w:pStyle w:val="ListParagraph"/>
        <w:numPr>
          <w:ilvl w:val="0"/>
          <w:numId w:val="32"/>
        </w:numPr>
        <w:tabs>
          <w:tab w:val="right" w:pos="9810"/>
        </w:tabs>
        <w:ind w:left="720"/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 xml:space="preserve">Managed cash flow, projections, external audit/tax filings, forecasts, </w:t>
      </w:r>
      <w:r w:rsidR="004C3081">
        <w:rPr>
          <w:rFonts w:asciiTheme="majorHAnsi" w:hAnsiTheme="majorHAnsi"/>
          <w:sz w:val="22"/>
          <w:szCs w:val="22"/>
        </w:rPr>
        <w:t xml:space="preserve">and </w:t>
      </w:r>
      <w:r w:rsidRPr="00CF7DE3">
        <w:rPr>
          <w:rFonts w:asciiTheme="majorHAnsi" w:hAnsiTheme="majorHAnsi"/>
          <w:sz w:val="22"/>
          <w:szCs w:val="22"/>
        </w:rPr>
        <w:t>developed operating budget.</w:t>
      </w:r>
    </w:p>
    <w:p w14:paraId="2A42B2F9" w14:textId="77777777" w:rsidR="000F526F" w:rsidRPr="00CF7DE3" w:rsidRDefault="000F526F" w:rsidP="000F526F">
      <w:pPr>
        <w:pStyle w:val="ListParagraph"/>
        <w:numPr>
          <w:ilvl w:val="0"/>
          <w:numId w:val="32"/>
        </w:numPr>
        <w:tabs>
          <w:tab w:val="right" w:pos="9810"/>
        </w:tabs>
        <w:ind w:left="720"/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 xml:space="preserve">Ensured U.S. &amp; Guatemala offices used </w:t>
      </w:r>
      <w:r w:rsidR="004C3081">
        <w:rPr>
          <w:rFonts w:asciiTheme="majorHAnsi" w:hAnsiTheme="majorHAnsi"/>
          <w:sz w:val="22"/>
          <w:szCs w:val="22"/>
        </w:rPr>
        <w:t>proper</w:t>
      </w:r>
      <w:r w:rsidRPr="00CF7DE3">
        <w:rPr>
          <w:rFonts w:asciiTheme="majorHAnsi" w:hAnsiTheme="majorHAnsi"/>
          <w:sz w:val="22"/>
          <w:szCs w:val="22"/>
        </w:rPr>
        <w:t xml:space="preserve"> MIS to ga</w:t>
      </w:r>
      <w:r w:rsidR="004C3081">
        <w:rPr>
          <w:rFonts w:asciiTheme="majorHAnsi" w:hAnsiTheme="majorHAnsi"/>
          <w:sz w:val="22"/>
          <w:szCs w:val="22"/>
        </w:rPr>
        <w:t xml:space="preserve">in operational efficiency and </w:t>
      </w:r>
      <w:r w:rsidRPr="00CF7DE3">
        <w:rPr>
          <w:rFonts w:asciiTheme="majorHAnsi" w:hAnsiTheme="majorHAnsi"/>
          <w:sz w:val="22"/>
          <w:szCs w:val="22"/>
        </w:rPr>
        <w:t>integrate financials.</w:t>
      </w:r>
    </w:p>
    <w:p w14:paraId="5BD8B9B2" w14:textId="77777777" w:rsidR="00EC4FD1" w:rsidRDefault="00EC4FD1">
      <w:pPr>
        <w:rPr>
          <w:rFonts w:asciiTheme="majorHAnsi" w:hAnsiTheme="majorHAnsi" w:cstheme="minorHAnsi"/>
          <w:sz w:val="22"/>
          <w:szCs w:val="22"/>
        </w:rPr>
      </w:pPr>
    </w:p>
    <w:p w14:paraId="2458C732" w14:textId="77777777" w:rsidR="00CF7DE3" w:rsidRPr="00CF7DE3" w:rsidRDefault="00D502BA" w:rsidP="00CF7DE3">
      <w:pPr>
        <w:tabs>
          <w:tab w:val="right" w:pos="1080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Corporate Finance </w:t>
      </w:r>
      <w:r w:rsidR="00FA2FD0">
        <w:rPr>
          <w:rFonts w:asciiTheme="majorHAnsi" w:hAnsiTheme="majorHAnsi"/>
          <w:b/>
          <w:sz w:val="22"/>
          <w:szCs w:val="22"/>
        </w:rPr>
        <w:t xml:space="preserve">and Treasury </w:t>
      </w:r>
      <w:r w:rsidR="00CF7DE3" w:rsidRPr="00CF7DE3">
        <w:rPr>
          <w:rFonts w:asciiTheme="majorHAnsi" w:hAnsiTheme="majorHAnsi"/>
          <w:b/>
          <w:sz w:val="22"/>
          <w:szCs w:val="22"/>
        </w:rPr>
        <w:t xml:space="preserve">Director </w:t>
      </w:r>
      <w:r w:rsidR="00CF7DE3" w:rsidRPr="00CF7DE3">
        <w:rPr>
          <w:rFonts w:asciiTheme="majorHAnsi" w:hAnsiTheme="majorHAnsi"/>
          <w:b/>
          <w:sz w:val="22"/>
          <w:szCs w:val="22"/>
        </w:rPr>
        <w:tab/>
      </w:r>
      <w:r w:rsidR="00CF7DE3" w:rsidRPr="00CF7DE3">
        <w:rPr>
          <w:rFonts w:asciiTheme="majorHAnsi" w:hAnsiTheme="majorHAnsi"/>
          <w:sz w:val="22"/>
          <w:szCs w:val="22"/>
        </w:rPr>
        <w:t>2006 – 2008</w:t>
      </w:r>
      <w:r w:rsidR="00CF7DE3" w:rsidRPr="00CF7DE3">
        <w:rPr>
          <w:rFonts w:asciiTheme="majorHAnsi" w:hAnsiTheme="majorHAnsi"/>
          <w:b/>
          <w:sz w:val="22"/>
          <w:szCs w:val="22"/>
        </w:rPr>
        <w:t xml:space="preserve"> </w:t>
      </w:r>
    </w:p>
    <w:p w14:paraId="7CDE815B" w14:textId="77777777" w:rsidR="00CF7DE3" w:rsidRPr="00CF7DE3" w:rsidRDefault="00CF7DE3" w:rsidP="00CF7DE3">
      <w:pPr>
        <w:tabs>
          <w:tab w:val="right" w:pos="45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MOLSON COORS BREWING CO. – Denver, CO</w:t>
      </w:r>
    </w:p>
    <w:p w14:paraId="7F158919" w14:textId="77777777" w:rsidR="00FA2FD0" w:rsidRDefault="00CF7DE3" w:rsidP="00CF7DE3">
      <w:p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 xml:space="preserve">Oversight of all core </w:t>
      </w:r>
      <w:r w:rsidR="00FA2FD0">
        <w:rPr>
          <w:rFonts w:asciiTheme="majorHAnsi" w:hAnsiTheme="majorHAnsi"/>
          <w:sz w:val="22"/>
          <w:szCs w:val="22"/>
        </w:rPr>
        <w:t xml:space="preserve">corporate finance </w:t>
      </w:r>
      <w:r w:rsidR="004C3081">
        <w:rPr>
          <w:rFonts w:asciiTheme="majorHAnsi" w:hAnsiTheme="majorHAnsi"/>
          <w:sz w:val="22"/>
          <w:szCs w:val="22"/>
        </w:rPr>
        <w:t>activities including</w:t>
      </w:r>
      <w:r w:rsidR="00FA2FD0">
        <w:rPr>
          <w:rFonts w:asciiTheme="majorHAnsi" w:hAnsiTheme="majorHAnsi"/>
          <w:sz w:val="22"/>
          <w:szCs w:val="22"/>
        </w:rPr>
        <w:t xml:space="preserve"> </w:t>
      </w:r>
      <w:r w:rsidRPr="00CF7DE3">
        <w:rPr>
          <w:rFonts w:asciiTheme="majorHAnsi" w:hAnsiTheme="majorHAnsi"/>
          <w:sz w:val="22"/>
          <w:szCs w:val="22"/>
        </w:rPr>
        <w:t>bank and rating agency relationship, corporate financing and capital structure, interest expense, enterpris</w:t>
      </w:r>
      <w:r w:rsidR="00FA2FD0">
        <w:rPr>
          <w:rFonts w:asciiTheme="majorHAnsi" w:hAnsiTheme="majorHAnsi"/>
          <w:sz w:val="22"/>
          <w:szCs w:val="22"/>
        </w:rPr>
        <w:t>e cash and liquidity management</w:t>
      </w:r>
      <w:r w:rsidR="00AB0FD5">
        <w:rPr>
          <w:rFonts w:asciiTheme="majorHAnsi" w:hAnsiTheme="majorHAnsi"/>
          <w:sz w:val="22"/>
          <w:szCs w:val="22"/>
        </w:rPr>
        <w:t>,</w:t>
      </w:r>
      <w:r w:rsidR="00FA2FD0">
        <w:rPr>
          <w:rFonts w:asciiTheme="majorHAnsi" w:hAnsiTheme="majorHAnsi"/>
          <w:sz w:val="22"/>
          <w:szCs w:val="22"/>
        </w:rPr>
        <w:t xml:space="preserve"> and risk management.</w:t>
      </w:r>
      <w:r w:rsidRPr="00CF7DE3">
        <w:rPr>
          <w:rFonts w:asciiTheme="majorHAnsi" w:hAnsiTheme="majorHAnsi"/>
          <w:sz w:val="22"/>
          <w:szCs w:val="22"/>
        </w:rPr>
        <w:t xml:space="preserve"> </w:t>
      </w:r>
    </w:p>
    <w:p w14:paraId="78398CD3" w14:textId="77777777" w:rsidR="00FA2FD0" w:rsidRDefault="00FA2FD0" w:rsidP="00FA2FD0">
      <w:pPr>
        <w:pStyle w:val="ListParagraph"/>
        <w:numPr>
          <w:ilvl w:val="0"/>
          <w:numId w:val="35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Provided financial analysis, modeling, and recommendations for corporate finance projects</w:t>
      </w:r>
      <w:r>
        <w:rPr>
          <w:rFonts w:asciiTheme="majorHAnsi" w:hAnsiTheme="majorHAnsi"/>
          <w:sz w:val="22"/>
          <w:szCs w:val="22"/>
        </w:rPr>
        <w:t xml:space="preserve"> including Miller-Coors joint venture</w:t>
      </w:r>
      <w:r w:rsidRPr="00CF7DE3">
        <w:rPr>
          <w:rFonts w:asciiTheme="majorHAnsi" w:hAnsiTheme="majorHAnsi"/>
          <w:sz w:val="22"/>
          <w:szCs w:val="22"/>
        </w:rPr>
        <w:t>.</w:t>
      </w:r>
    </w:p>
    <w:p w14:paraId="52DC6786" w14:textId="77777777" w:rsidR="00CF7DE3" w:rsidRPr="00CF7DE3" w:rsidRDefault="00CF7DE3" w:rsidP="00CF7DE3">
      <w:pPr>
        <w:pStyle w:val="ListParagraph"/>
        <w:numPr>
          <w:ilvl w:val="0"/>
          <w:numId w:val="35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Managed inv</w:t>
      </w:r>
      <w:r w:rsidR="007F2884">
        <w:rPr>
          <w:rFonts w:asciiTheme="majorHAnsi" w:hAnsiTheme="majorHAnsi"/>
          <w:sz w:val="22"/>
          <w:szCs w:val="22"/>
        </w:rPr>
        <w:t>estment strategies of $500M average</w:t>
      </w:r>
      <w:r w:rsidRPr="00CF7DE3">
        <w:rPr>
          <w:rFonts w:asciiTheme="majorHAnsi" w:hAnsiTheme="majorHAnsi"/>
          <w:sz w:val="22"/>
          <w:szCs w:val="22"/>
        </w:rPr>
        <w:t xml:space="preserve"> cash portfolio (BOA, Fidelity, Deutsche, JPM) and development and implementation of inve</w:t>
      </w:r>
      <w:r w:rsidR="007F2884">
        <w:rPr>
          <w:rFonts w:asciiTheme="majorHAnsi" w:hAnsiTheme="majorHAnsi"/>
          <w:sz w:val="22"/>
          <w:szCs w:val="22"/>
        </w:rPr>
        <w:t>stment policies</w:t>
      </w:r>
      <w:r w:rsidRPr="00CF7DE3">
        <w:rPr>
          <w:rFonts w:asciiTheme="majorHAnsi" w:hAnsiTheme="majorHAnsi"/>
          <w:sz w:val="22"/>
          <w:szCs w:val="22"/>
        </w:rPr>
        <w:t>.</w:t>
      </w:r>
    </w:p>
    <w:p w14:paraId="6C7C56AB" w14:textId="77777777" w:rsidR="00CF7DE3" w:rsidRPr="00CF7DE3" w:rsidRDefault="00CF7DE3" w:rsidP="00CF7DE3">
      <w:pPr>
        <w:pStyle w:val="ListParagraph"/>
        <w:numPr>
          <w:ilvl w:val="0"/>
          <w:numId w:val="35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Restructured $1.4B revolving credit facility and implemented company stock split.</w:t>
      </w:r>
    </w:p>
    <w:p w14:paraId="7915D9E6" w14:textId="77777777" w:rsidR="00CF7DE3" w:rsidRPr="00CF7DE3" w:rsidRDefault="00CF7DE3" w:rsidP="00CF7DE3">
      <w:pPr>
        <w:pStyle w:val="ListParagraph"/>
        <w:numPr>
          <w:ilvl w:val="0"/>
          <w:numId w:val="35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Reduced interest expenses with $575M convertible bond issue and $625M debt tender offer.</w:t>
      </w:r>
    </w:p>
    <w:p w14:paraId="56554F74" w14:textId="77777777" w:rsidR="00CF7DE3" w:rsidRPr="00CF7DE3" w:rsidRDefault="00CF7DE3" w:rsidP="00CF7DE3">
      <w:pPr>
        <w:pStyle w:val="ListParagraph"/>
        <w:numPr>
          <w:ilvl w:val="0"/>
          <w:numId w:val="35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lastRenderedPageBreak/>
        <w:t>Led tax restructure project streamlining company structure and reducing effective tax rate.</w:t>
      </w:r>
    </w:p>
    <w:p w14:paraId="21D5FB92" w14:textId="77777777" w:rsidR="00CF7DE3" w:rsidRDefault="00FA2FD0" w:rsidP="00CF7DE3">
      <w:pPr>
        <w:pStyle w:val="ListParagraph"/>
        <w:numPr>
          <w:ilvl w:val="0"/>
          <w:numId w:val="35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Responsible for treasury </w:t>
      </w:r>
      <w:r w:rsidR="00CF7DE3" w:rsidRPr="00CF7DE3">
        <w:rPr>
          <w:rFonts w:asciiTheme="majorHAnsi" w:hAnsiTheme="majorHAnsi"/>
          <w:sz w:val="22"/>
          <w:szCs w:val="22"/>
        </w:rPr>
        <w:t xml:space="preserve">reporting:  SOX, Finance Committee incl. Pension Plan funding, interest expense and cash forecast, and debt covenant to rating agencies (Moody’s, S&amp;P, DBRS). </w:t>
      </w:r>
    </w:p>
    <w:p w14:paraId="2920CF21" w14:textId="77777777" w:rsidR="004704EC" w:rsidRDefault="004704EC" w:rsidP="004704EC">
      <w:pPr>
        <w:tabs>
          <w:tab w:val="right" w:pos="450"/>
        </w:tabs>
        <w:ind w:left="360"/>
        <w:rPr>
          <w:rFonts w:asciiTheme="majorHAnsi" w:hAnsiTheme="majorHAnsi"/>
          <w:sz w:val="22"/>
          <w:szCs w:val="22"/>
        </w:rPr>
      </w:pPr>
    </w:p>
    <w:p w14:paraId="6AB6FC94" w14:textId="77777777" w:rsidR="00EC4FD1" w:rsidRPr="00CF7DE3" w:rsidRDefault="00EC4FD1" w:rsidP="00EC4FD1">
      <w:pPr>
        <w:tabs>
          <w:tab w:val="right" w:pos="1080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b/>
          <w:sz w:val="22"/>
          <w:szCs w:val="22"/>
        </w:rPr>
        <w:t>Corporate Treasurer</w:t>
      </w:r>
      <w:r w:rsidRPr="00CF7DE3">
        <w:rPr>
          <w:rFonts w:asciiTheme="majorHAnsi" w:hAnsiTheme="majorHAnsi"/>
          <w:b/>
          <w:sz w:val="22"/>
          <w:szCs w:val="22"/>
        </w:rPr>
        <w:tab/>
      </w:r>
      <w:r w:rsidRPr="00CF7DE3">
        <w:rPr>
          <w:rFonts w:asciiTheme="majorHAnsi" w:hAnsiTheme="majorHAnsi"/>
          <w:sz w:val="22"/>
          <w:szCs w:val="22"/>
        </w:rPr>
        <w:t xml:space="preserve">1998 – 2006 </w:t>
      </w:r>
      <w:r w:rsidRPr="00CF7DE3">
        <w:rPr>
          <w:rFonts w:asciiTheme="majorHAnsi" w:hAnsiTheme="majorHAnsi"/>
          <w:b/>
          <w:sz w:val="22"/>
          <w:szCs w:val="22"/>
        </w:rPr>
        <w:t xml:space="preserve"> </w:t>
      </w:r>
    </w:p>
    <w:p w14:paraId="0904A092" w14:textId="77777777" w:rsidR="00EC4FD1" w:rsidRPr="00CF7DE3" w:rsidRDefault="00EC4FD1" w:rsidP="00EC4FD1">
      <w:pPr>
        <w:tabs>
          <w:tab w:val="right" w:pos="45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 xml:space="preserve">PANAMERICAN BEVERAGES </w:t>
      </w:r>
      <w:r w:rsidR="00E060F3">
        <w:rPr>
          <w:rFonts w:asciiTheme="majorHAnsi" w:hAnsiTheme="majorHAnsi"/>
          <w:sz w:val="22"/>
          <w:szCs w:val="22"/>
        </w:rPr>
        <w:t>INC (Panamco</w:t>
      </w:r>
      <w:r w:rsidR="001D72CD">
        <w:rPr>
          <w:rFonts w:asciiTheme="majorHAnsi" w:hAnsiTheme="majorHAnsi"/>
          <w:sz w:val="22"/>
          <w:szCs w:val="22"/>
        </w:rPr>
        <w:t>)</w:t>
      </w:r>
      <w:r w:rsidR="001D72CD" w:rsidRPr="00CF7DE3">
        <w:rPr>
          <w:rFonts w:asciiTheme="majorHAnsi" w:hAnsiTheme="majorHAnsi"/>
          <w:sz w:val="22"/>
          <w:szCs w:val="22"/>
        </w:rPr>
        <w:t xml:space="preserve"> –</w:t>
      </w:r>
      <w:r w:rsidRPr="00CF7DE3">
        <w:rPr>
          <w:rFonts w:asciiTheme="majorHAnsi" w:hAnsiTheme="majorHAnsi"/>
          <w:sz w:val="22"/>
          <w:szCs w:val="22"/>
        </w:rPr>
        <w:t xml:space="preserve"> Miami, FL</w:t>
      </w:r>
    </w:p>
    <w:p w14:paraId="1190BC9C" w14:textId="77777777" w:rsidR="00884CB8" w:rsidRPr="00CF7DE3" w:rsidRDefault="00C228F1" w:rsidP="00C228F1">
      <w:pPr>
        <w:tabs>
          <w:tab w:val="right" w:pos="9810"/>
        </w:tabs>
        <w:rPr>
          <w:rFonts w:asciiTheme="majorHAnsi" w:hAnsiTheme="majorHAnsi"/>
          <w:i/>
          <w:sz w:val="22"/>
          <w:szCs w:val="22"/>
        </w:rPr>
      </w:pPr>
      <w:r w:rsidRPr="00CF7DE3">
        <w:rPr>
          <w:rFonts w:asciiTheme="majorHAnsi" w:hAnsiTheme="majorHAnsi"/>
          <w:i/>
          <w:sz w:val="22"/>
          <w:szCs w:val="22"/>
        </w:rPr>
        <w:t>Largest Coca-Cola bottler in Latin America</w:t>
      </w:r>
      <w:r w:rsidR="00884CB8" w:rsidRPr="00CF7DE3">
        <w:rPr>
          <w:rFonts w:asciiTheme="majorHAnsi" w:hAnsiTheme="majorHAnsi"/>
          <w:i/>
          <w:sz w:val="22"/>
          <w:szCs w:val="22"/>
        </w:rPr>
        <w:t>.</w:t>
      </w:r>
    </w:p>
    <w:p w14:paraId="78A06FA8" w14:textId="77777777" w:rsidR="00884CB8" w:rsidRPr="00CF7DE3" w:rsidRDefault="00884CB8" w:rsidP="00884CB8">
      <w:p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 xml:space="preserve">Directed </w:t>
      </w:r>
      <w:r w:rsidR="00C228F1" w:rsidRPr="00CF7DE3">
        <w:rPr>
          <w:rFonts w:asciiTheme="majorHAnsi" w:hAnsiTheme="majorHAnsi"/>
          <w:sz w:val="22"/>
          <w:szCs w:val="22"/>
        </w:rPr>
        <w:t>overal</w:t>
      </w:r>
      <w:r w:rsidRPr="00CF7DE3">
        <w:rPr>
          <w:rFonts w:asciiTheme="majorHAnsi" w:hAnsiTheme="majorHAnsi"/>
          <w:sz w:val="22"/>
          <w:szCs w:val="22"/>
        </w:rPr>
        <w:t>l strategic treasury activities</w:t>
      </w:r>
      <w:r w:rsidR="007F2884">
        <w:rPr>
          <w:rFonts w:asciiTheme="majorHAnsi" w:hAnsiTheme="majorHAnsi"/>
          <w:sz w:val="22"/>
          <w:szCs w:val="22"/>
        </w:rPr>
        <w:t xml:space="preserve"> including</w:t>
      </w:r>
      <w:r w:rsidR="00C228F1" w:rsidRPr="00CF7DE3">
        <w:rPr>
          <w:rFonts w:asciiTheme="majorHAnsi" w:hAnsiTheme="majorHAnsi"/>
          <w:sz w:val="22"/>
          <w:szCs w:val="22"/>
        </w:rPr>
        <w:t xml:space="preserve"> capital markets, corporate finance, banking relations, debt and cash management policies, and over</w:t>
      </w:r>
      <w:r w:rsidRPr="00CF7DE3">
        <w:rPr>
          <w:rFonts w:asciiTheme="majorHAnsi" w:hAnsiTheme="majorHAnsi"/>
          <w:sz w:val="22"/>
          <w:szCs w:val="22"/>
        </w:rPr>
        <w:t>all risk management.  F</w:t>
      </w:r>
      <w:r w:rsidR="00CF7DE3" w:rsidRPr="00CF7DE3">
        <w:rPr>
          <w:rFonts w:asciiTheme="majorHAnsi" w:hAnsiTheme="majorHAnsi"/>
          <w:sz w:val="22"/>
          <w:szCs w:val="22"/>
        </w:rPr>
        <w:t>irst and only treasurer</w:t>
      </w:r>
      <w:r w:rsidR="007F2884">
        <w:rPr>
          <w:rFonts w:asciiTheme="majorHAnsi" w:hAnsiTheme="majorHAnsi"/>
          <w:sz w:val="22"/>
          <w:szCs w:val="22"/>
        </w:rPr>
        <w:t xml:space="preserve"> for company</w:t>
      </w:r>
      <w:r w:rsidRPr="00CF7DE3">
        <w:rPr>
          <w:rFonts w:asciiTheme="majorHAnsi" w:hAnsiTheme="majorHAnsi"/>
          <w:sz w:val="22"/>
          <w:szCs w:val="22"/>
        </w:rPr>
        <w:t>, tasked with consolidating</w:t>
      </w:r>
      <w:r w:rsidR="00CF7DE3" w:rsidRPr="00CF7DE3">
        <w:rPr>
          <w:rFonts w:asciiTheme="majorHAnsi" w:hAnsiTheme="majorHAnsi"/>
          <w:sz w:val="22"/>
          <w:szCs w:val="22"/>
        </w:rPr>
        <w:t xml:space="preserve"> </w:t>
      </w:r>
      <w:r w:rsidRPr="00CF7DE3">
        <w:rPr>
          <w:rFonts w:asciiTheme="majorHAnsi" w:hAnsiTheme="majorHAnsi"/>
          <w:sz w:val="22"/>
          <w:szCs w:val="22"/>
        </w:rPr>
        <w:t>treasury departments (9 countries in South/</w:t>
      </w:r>
      <w:r w:rsidR="00CF7DE3" w:rsidRPr="00CF7DE3">
        <w:rPr>
          <w:rFonts w:asciiTheme="majorHAnsi" w:hAnsiTheme="majorHAnsi"/>
          <w:sz w:val="22"/>
          <w:szCs w:val="22"/>
        </w:rPr>
        <w:t>Central America) into</w:t>
      </w:r>
      <w:r w:rsidRPr="00CF7DE3">
        <w:rPr>
          <w:rFonts w:asciiTheme="majorHAnsi" w:hAnsiTheme="majorHAnsi"/>
          <w:sz w:val="22"/>
          <w:szCs w:val="22"/>
        </w:rPr>
        <w:t xml:space="preserve"> </w:t>
      </w:r>
      <w:r w:rsidR="007F2884">
        <w:rPr>
          <w:rFonts w:asciiTheme="majorHAnsi" w:hAnsiTheme="majorHAnsi"/>
          <w:sz w:val="22"/>
          <w:szCs w:val="22"/>
        </w:rPr>
        <w:t xml:space="preserve">centralized </w:t>
      </w:r>
      <w:r w:rsidR="00EE6304" w:rsidRPr="00CF7DE3">
        <w:rPr>
          <w:rFonts w:asciiTheme="majorHAnsi" w:hAnsiTheme="majorHAnsi"/>
          <w:sz w:val="22"/>
          <w:szCs w:val="22"/>
        </w:rPr>
        <w:t>corporate</w:t>
      </w:r>
      <w:r w:rsidRPr="00CF7DE3">
        <w:rPr>
          <w:rFonts w:asciiTheme="majorHAnsi" w:hAnsiTheme="majorHAnsi"/>
          <w:sz w:val="22"/>
          <w:szCs w:val="22"/>
        </w:rPr>
        <w:t xml:space="preserve"> office.</w:t>
      </w:r>
    </w:p>
    <w:p w14:paraId="3DE868B5" w14:textId="77777777" w:rsidR="00C228F1" w:rsidRPr="00CF7DE3" w:rsidRDefault="007F2884" w:rsidP="00884CB8">
      <w:pPr>
        <w:pStyle w:val="ListParagraph"/>
        <w:numPr>
          <w:ilvl w:val="0"/>
          <w:numId w:val="36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Remitted more than $500M to c</w:t>
      </w:r>
      <w:r w:rsidR="00C228F1" w:rsidRPr="00CF7DE3">
        <w:rPr>
          <w:rFonts w:asciiTheme="majorHAnsi" w:hAnsiTheme="majorHAnsi"/>
          <w:sz w:val="22"/>
          <w:szCs w:val="22"/>
        </w:rPr>
        <w:t>orporate from subsidiaries at tax efficient zero cost, representing mo</w:t>
      </w:r>
      <w:r w:rsidR="00884CB8" w:rsidRPr="00CF7DE3">
        <w:rPr>
          <w:rFonts w:asciiTheme="majorHAnsi" w:hAnsiTheme="majorHAnsi"/>
          <w:sz w:val="22"/>
          <w:szCs w:val="22"/>
        </w:rPr>
        <w:t xml:space="preserve">re than $40M in withholding </w:t>
      </w:r>
      <w:r w:rsidR="00C228F1" w:rsidRPr="00CF7DE3">
        <w:rPr>
          <w:rFonts w:asciiTheme="majorHAnsi" w:hAnsiTheme="majorHAnsi"/>
          <w:sz w:val="22"/>
          <w:szCs w:val="22"/>
        </w:rPr>
        <w:t>savings.</w:t>
      </w:r>
      <w:r>
        <w:rPr>
          <w:rFonts w:asciiTheme="majorHAnsi" w:hAnsiTheme="majorHAnsi"/>
          <w:sz w:val="22"/>
          <w:szCs w:val="22"/>
        </w:rPr>
        <w:t xml:space="preserve"> </w:t>
      </w:r>
      <w:r w:rsidR="00C228F1" w:rsidRPr="00CF7DE3">
        <w:rPr>
          <w:rFonts w:asciiTheme="majorHAnsi" w:hAnsiTheme="majorHAnsi"/>
          <w:sz w:val="22"/>
          <w:szCs w:val="22"/>
        </w:rPr>
        <w:t xml:space="preserve"> </w:t>
      </w:r>
      <w:r w:rsidR="00884CB8" w:rsidRPr="00CF7DE3">
        <w:rPr>
          <w:rFonts w:asciiTheme="majorHAnsi" w:hAnsiTheme="majorHAnsi"/>
          <w:sz w:val="22"/>
          <w:szCs w:val="22"/>
        </w:rPr>
        <w:t>Managed</w:t>
      </w:r>
      <w:r w:rsidR="00C228F1" w:rsidRPr="00CF7DE3">
        <w:rPr>
          <w:rFonts w:asciiTheme="majorHAnsi" w:hAnsiTheme="majorHAnsi"/>
          <w:sz w:val="22"/>
          <w:szCs w:val="22"/>
        </w:rPr>
        <w:t xml:space="preserve"> complex tax exposure across Latin America.</w:t>
      </w:r>
    </w:p>
    <w:p w14:paraId="1805B828" w14:textId="77777777" w:rsidR="00884CB8" w:rsidRPr="00CF7DE3" w:rsidRDefault="00C228F1" w:rsidP="00C228F1">
      <w:pPr>
        <w:pStyle w:val="ListParagraph"/>
        <w:numPr>
          <w:ilvl w:val="0"/>
          <w:numId w:val="36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Managed company-wide fund raising, debt levels</w:t>
      </w:r>
      <w:r w:rsidR="007F2884">
        <w:rPr>
          <w:rFonts w:asciiTheme="majorHAnsi" w:hAnsiTheme="majorHAnsi"/>
          <w:sz w:val="22"/>
          <w:szCs w:val="22"/>
        </w:rPr>
        <w:t>, and rating agencies including</w:t>
      </w:r>
      <w:r w:rsidR="00884CB8" w:rsidRPr="00CF7DE3">
        <w:rPr>
          <w:rFonts w:asciiTheme="majorHAnsi" w:hAnsiTheme="majorHAnsi"/>
          <w:sz w:val="22"/>
          <w:szCs w:val="22"/>
        </w:rPr>
        <w:t xml:space="preserve"> US $1.2</w:t>
      </w:r>
      <w:r w:rsidRPr="00CF7DE3">
        <w:rPr>
          <w:rFonts w:asciiTheme="majorHAnsi" w:hAnsiTheme="majorHAnsi"/>
          <w:sz w:val="22"/>
          <w:szCs w:val="22"/>
        </w:rPr>
        <w:t xml:space="preserve">B bank debt. </w:t>
      </w:r>
    </w:p>
    <w:p w14:paraId="2E768630" w14:textId="77777777" w:rsidR="00884CB8" w:rsidRDefault="00884CB8" w:rsidP="00884CB8">
      <w:pPr>
        <w:pStyle w:val="ListParagraph"/>
        <w:numPr>
          <w:ilvl w:val="0"/>
          <w:numId w:val="36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 xml:space="preserve">Performed ongoing evaluation of rolling and budget projections and cash flow modeling.  </w:t>
      </w:r>
    </w:p>
    <w:p w14:paraId="1406A6FF" w14:textId="77777777" w:rsidR="00AB0FD5" w:rsidRPr="00CF7DE3" w:rsidRDefault="00AB0FD5" w:rsidP="00AB0FD5">
      <w:pPr>
        <w:pStyle w:val="ListParagraph"/>
        <w:numPr>
          <w:ilvl w:val="0"/>
          <w:numId w:val="36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Managed $400M accounts receivable (A/R) portfolio, maintaining aggressive and effective collection program, establishing acceptable reserve levels, recommending write-offs, and setting client limits.</w:t>
      </w:r>
      <w:r w:rsidRPr="00CF7DE3">
        <w:rPr>
          <w:rFonts w:asciiTheme="majorHAnsi" w:hAnsiTheme="majorHAnsi"/>
          <w:sz w:val="22"/>
          <w:szCs w:val="22"/>
        </w:rPr>
        <w:t xml:space="preserve"> </w:t>
      </w:r>
      <w:r w:rsidR="00851544">
        <w:rPr>
          <w:rFonts w:asciiTheme="majorHAnsi" w:hAnsiTheme="majorHAnsi"/>
          <w:sz w:val="22"/>
          <w:szCs w:val="22"/>
        </w:rPr>
        <w:t xml:space="preserve"> </w:t>
      </w:r>
    </w:p>
    <w:p w14:paraId="5E414A05" w14:textId="77777777" w:rsidR="00884CB8" w:rsidRPr="00CF7DE3" w:rsidRDefault="00884CB8" w:rsidP="00C228F1">
      <w:pPr>
        <w:pStyle w:val="ListParagraph"/>
        <w:numPr>
          <w:ilvl w:val="0"/>
          <w:numId w:val="36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Oversaw debt restructure and</w:t>
      </w:r>
      <w:r w:rsidR="00C228F1" w:rsidRPr="00CF7DE3">
        <w:rPr>
          <w:rFonts w:asciiTheme="majorHAnsi" w:hAnsiTheme="majorHAnsi"/>
          <w:sz w:val="22"/>
          <w:szCs w:val="22"/>
        </w:rPr>
        <w:t xml:space="preserve"> debt issues in different currencies/countries (syndicated loans, Yankee bond issues, local currency bonds), currency risk </w:t>
      </w:r>
      <w:r w:rsidR="007F2884">
        <w:rPr>
          <w:rFonts w:asciiTheme="majorHAnsi" w:hAnsiTheme="majorHAnsi"/>
          <w:sz w:val="22"/>
          <w:szCs w:val="22"/>
        </w:rPr>
        <w:t>management</w:t>
      </w:r>
      <w:r w:rsidR="00C228F1" w:rsidRPr="00CF7DE3">
        <w:rPr>
          <w:rFonts w:asciiTheme="majorHAnsi" w:hAnsiTheme="majorHAnsi"/>
          <w:sz w:val="22"/>
          <w:szCs w:val="22"/>
        </w:rPr>
        <w:t xml:space="preserve"> and use of derivatives and hedges. </w:t>
      </w:r>
    </w:p>
    <w:p w14:paraId="09C1834D" w14:textId="77777777" w:rsidR="00C228F1" w:rsidRPr="00CF7DE3" w:rsidRDefault="00C228F1" w:rsidP="00C228F1">
      <w:pPr>
        <w:pStyle w:val="ListParagraph"/>
        <w:numPr>
          <w:ilvl w:val="0"/>
          <w:numId w:val="36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Deve</w:t>
      </w:r>
      <w:r w:rsidR="00884CB8" w:rsidRPr="00CF7DE3">
        <w:rPr>
          <w:rFonts w:asciiTheme="majorHAnsi" w:hAnsiTheme="majorHAnsi"/>
          <w:sz w:val="22"/>
          <w:szCs w:val="22"/>
        </w:rPr>
        <w:t xml:space="preserve">loped and implemented policies on </w:t>
      </w:r>
      <w:r w:rsidRPr="00CF7DE3">
        <w:rPr>
          <w:rFonts w:asciiTheme="majorHAnsi" w:hAnsiTheme="majorHAnsi"/>
          <w:sz w:val="22"/>
          <w:szCs w:val="22"/>
        </w:rPr>
        <w:t>credit and working capital, investment</w:t>
      </w:r>
      <w:r w:rsidR="00884CB8" w:rsidRPr="00CF7DE3">
        <w:rPr>
          <w:rFonts w:asciiTheme="majorHAnsi" w:hAnsiTheme="majorHAnsi"/>
          <w:sz w:val="22"/>
          <w:szCs w:val="22"/>
        </w:rPr>
        <w:t>s, banks, etc</w:t>
      </w:r>
      <w:r w:rsidRPr="00CF7DE3">
        <w:rPr>
          <w:rFonts w:asciiTheme="majorHAnsi" w:hAnsiTheme="majorHAnsi"/>
          <w:sz w:val="22"/>
          <w:szCs w:val="22"/>
        </w:rPr>
        <w:t>.</w:t>
      </w:r>
    </w:p>
    <w:p w14:paraId="5FD6E083" w14:textId="77777777" w:rsidR="00C228F1" w:rsidRPr="00CF7DE3" w:rsidRDefault="00884CB8" w:rsidP="00C228F1">
      <w:pPr>
        <w:pStyle w:val="ListParagraph"/>
        <w:numPr>
          <w:ilvl w:val="0"/>
          <w:numId w:val="36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Managed $1</w:t>
      </w:r>
      <w:r w:rsidR="00C228F1" w:rsidRPr="00CF7DE3">
        <w:rPr>
          <w:rFonts w:asciiTheme="majorHAnsi" w:hAnsiTheme="majorHAnsi"/>
          <w:sz w:val="22"/>
          <w:szCs w:val="22"/>
        </w:rPr>
        <w:t>B of insured assets f</w:t>
      </w:r>
      <w:r w:rsidR="00FA2FD0">
        <w:rPr>
          <w:rFonts w:asciiTheme="majorHAnsi" w:hAnsiTheme="majorHAnsi"/>
          <w:sz w:val="22"/>
          <w:szCs w:val="22"/>
        </w:rPr>
        <w:t xml:space="preserve">or </w:t>
      </w:r>
      <w:r w:rsidR="00851544">
        <w:rPr>
          <w:rFonts w:asciiTheme="majorHAnsi" w:hAnsiTheme="majorHAnsi"/>
          <w:sz w:val="22"/>
          <w:szCs w:val="22"/>
        </w:rPr>
        <w:t>Panamco</w:t>
      </w:r>
      <w:r w:rsidR="00AB0FD5">
        <w:rPr>
          <w:rFonts w:asciiTheme="majorHAnsi" w:hAnsiTheme="majorHAnsi"/>
          <w:sz w:val="22"/>
          <w:szCs w:val="22"/>
        </w:rPr>
        <w:t xml:space="preserve"> insurance programs (D&amp;O,</w:t>
      </w:r>
      <w:r w:rsidR="00FA2FD0">
        <w:rPr>
          <w:rFonts w:asciiTheme="majorHAnsi" w:hAnsiTheme="majorHAnsi"/>
          <w:sz w:val="22"/>
          <w:szCs w:val="22"/>
        </w:rPr>
        <w:t xml:space="preserve"> Property and Casualty).</w:t>
      </w:r>
    </w:p>
    <w:p w14:paraId="516FDCA1" w14:textId="77777777" w:rsidR="00EC4FD1" w:rsidRPr="00CF7DE3" w:rsidRDefault="00EC4FD1" w:rsidP="00EC4FD1">
      <w:pPr>
        <w:tabs>
          <w:tab w:val="right" w:pos="9810"/>
        </w:tabs>
        <w:rPr>
          <w:rFonts w:asciiTheme="majorHAnsi" w:hAnsiTheme="majorHAnsi"/>
          <w:sz w:val="22"/>
          <w:szCs w:val="22"/>
        </w:rPr>
      </w:pPr>
    </w:p>
    <w:p w14:paraId="4B6FDA90" w14:textId="77777777" w:rsidR="00EC4FD1" w:rsidRPr="00CF7DE3" w:rsidRDefault="00AD25CF" w:rsidP="00EC4FD1">
      <w:pPr>
        <w:tabs>
          <w:tab w:val="right" w:pos="1080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b/>
          <w:sz w:val="22"/>
          <w:szCs w:val="22"/>
        </w:rPr>
        <w:t>Director Mergers &amp; Acquisitions and Equity Private Placements</w:t>
      </w:r>
      <w:r w:rsidR="00EC4FD1" w:rsidRPr="00CF7DE3">
        <w:rPr>
          <w:rFonts w:asciiTheme="majorHAnsi" w:hAnsiTheme="majorHAnsi"/>
          <w:b/>
          <w:sz w:val="22"/>
          <w:szCs w:val="22"/>
        </w:rPr>
        <w:tab/>
      </w:r>
      <w:r w:rsidRPr="00CF7DE3">
        <w:rPr>
          <w:rFonts w:asciiTheme="majorHAnsi" w:hAnsiTheme="majorHAnsi"/>
          <w:sz w:val="22"/>
          <w:szCs w:val="22"/>
        </w:rPr>
        <w:t>1993 – 1998</w:t>
      </w:r>
      <w:r w:rsidR="00EC4FD1" w:rsidRPr="00CF7DE3">
        <w:rPr>
          <w:rFonts w:asciiTheme="majorHAnsi" w:hAnsiTheme="majorHAnsi"/>
          <w:b/>
          <w:sz w:val="22"/>
          <w:szCs w:val="22"/>
        </w:rPr>
        <w:t xml:space="preserve"> </w:t>
      </w:r>
    </w:p>
    <w:p w14:paraId="1D20AA7E" w14:textId="77777777" w:rsidR="00EC4FD1" w:rsidRPr="00CF7DE3" w:rsidRDefault="00AD25CF" w:rsidP="00EC4FD1">
      <w:pPr>
        <w:tabs>
          <w:tab w:val="right" w:pos="45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PROTEGO INVESTMENT ASSOCIATES</w:t>
      </w:r>
      <w:r w:rsidR="00EC4FD1" w:rsidRPr="00CF7DE3">
        <w:rPr>
          <w:rFonts w:asciiTheme="majorHAnsi" w:hAnsiTheme="majorHAnsi"/>
          <w:sz w:val="22"/>
          <w:szCs w:val="22"/>
        </w:rPr>
        <w:t xml:space="preserve"> – </w:t>
      </w:r>
      <w:r w:rsidRPr="00CF7DE3">
        <w:rPr>
          <w:rFonts w:asciiTheme="majorHAnsi" w:hAnsiTheme="majorHAnsi"/>
          <w:sz w:val="22"/>
          <w:szCs w:val="22"/>
        </w:rPr>
        <w:t>Mexico City, Mexico</w:t>
      </w:r>
    </w:p>
    <w:p w14:paraId="093977FF" w14:textId="77777777" w:rsidR="00C228F1" w:rsidRPr="00CF7DE3" w:rsidRDefault="00C228F1" w:rsidP="00C228F1">
      <w:pPr>
        <w:tabs>
          <w:tab w:val="right" w:pos="9810"/>
        </w:tabs>
        <w:rPr>
          <w:rFonts w:asciiTheme="majorHAnsi" w:hAnsiTheme="majorHAnsi"/>
          <w:i/>
          <w:sz w:val="22"/>
          <w:szCs w:val="22"/>
        </w:rPr>
      </w:pPr>
      <w:r w:rsidRPr="00CF7DE3">
        <w:rPr>
          <w:rFonts w:asciiTheme="majorHAnsi" w:hAnsiTheme="majorHAnsi"/>
          <w:i/>
          <w:sz w:val="22"/>
          <w:szCs w:val="22"/>
        </w:rPr>
        <w:t>Private financial boutique providing M&amp;A advice and venture capital to clients</w:t>
      </w:r>
      <w:r w:rsidR="00EE6304" w:rsidRPr="00CF7DE3">
        <w:rPr>
          <w:rFonts w:asciiTheme="majorHAnsi" w:hAnsiTheme="majorHAnsi"/>
          <w:i/>
          <w:sz w:val="22"/>
          <w:szCs w:val="22"/>
        </w:rPr>
        <w:t>.</w:t>
      </w:r>
    </w:p>
    <w:p w14:paraId="7CBD2B67" w14:textId="77777777" w:rsidR="00C228F1" w:rsidRPr="00CF7DE3" w:rsidRDefault="00C228F1" w:rsidP="00EE6304">
      <w:p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Performed deal originations, strategic and managerial consulting, structuring and negoti</w:t>
      </w:r>
      <w:r w:rsidR="00EE6304" w:rsidRPr="00CF7DE3">
        <w:rPr>
          <w:rFonts w:asciiTheme="majorHAnsi" w:hAnsiTheme="majorHAnsi"/>
          <w:sz w:val="22"/>
          <w:szCs w:val="22"/>
        </w:rPr>
        <w:t>ation of transactions including</w:t>
      </w:r>
      <w:r w:rsidRPr="00CF7DE3">
        <w:rPr>
          <w:rFonts w:asciiTheme="majorHAnsi" w:hAnsiTheme="majorHAnsi"/>
          <w:sz w:val="22"/>
          <w:szCs w:val="22"/>
        </w:rPr>
        <w:t xml:space="preserve"> financial modeling and valuation analysis. </w:t>
      </w:r>
    </w:p>
    <w:p w14:paraId="00371059" w14:textId="77777777" w:rsidR="00C228F1" w:rsidRPr="00CF7DE3" w:rsidRDefault="00C228F1" w:rsidP="00C228F1">
      <w:pPr>
        <w:pStyle w:val="ListParagraph"/>
        <w:numPr>
          <w:ilvl w:val="0"/>
          <w:numId w:val="37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Advised Mexica</w:t>
      </w:r>
      <w:r w:rsidR="00EE6304" w:rsidRPr="00CF7DE3">
        <w:rPr>
          <w:rFonts w:asciiTheme="majorHAnsi" w:hAnsiTheme="majorHAnsi"/>
          <w:sz w:val="22"/>
          <w:szCs w:val="22"/>
        </w:rPr>
        <w:t>n waste management company on potential merger valued at $20</w:t>
      </w:r>
      <w:r w:rsidRPr="00CF7DE3">
        <w:rPr>
          <w:rFonts w:asciiTheme="majorHAnsi" w:hAnsiTheme="majorHAnsi"/>
          <w:sz w:val="22"/>
          <w:szCs w:val="22"/>
        </w:rPr>
        <w:t>M.</w:t>
      </w:r>
    </w:p>
    <w:p w14:paraId="5B7AD89C" w14:textId="77777777" w:rsidR="00C228F1" w:rsidRPr="00CF7DE3" w:rsidRDefault="00C228F1" w:rsidP="00C228F1">
      <w:pPr>
        <w:pStyle w:val="ListParagraph"/>
        <w:numPr>
          <w:ilvl w:val="0"/>
          <w:numId w:val="37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 xml:space="preserve">Obtained mandate from </w:t>
      </w:r>
      <w:r w:rsidR="00884CB8" w:rsidRPr="00CF7DE3">
        <w:rPr>
          <w:rFonts w:asciiTheme="majorHAnsi" w:hAnsiTheme="majorHAnsi"/>
          <w:sz w:val="22"/>
          <w:szCs w:val="22"/>
        </w:rPr>
        <w:t>H</w:t>
      </w:r>
      <w:r w:rsidR="00E060F3">
        <w:rPr>
          <w:rFonts w:asciiTheme="majorHAnsi" w:hAnsiTheme="majorHAnsi"/>
          <w:sz w:val="22"/>
          <w:szCs w:val="22"/>
        </w:rPr>
        <w:t xml:space="preserve">icks </w:t>
      </w:r>
      <w:r w:rsidR="00884CB8" w:rsidRPr="00CF7DE3">
        <w:rPr>
          <w:rFonts w:asciiTheme="majorHAnsi" w:hAnsiTheme="majorHAnsi"/>
          <w:sz w:val="22"/>
          <w:szCs w:val="22"/>
        </w:rPr>
        <w:t>M</w:t>
      </w:r>
      <w:r w:rsidR="00E060F3">
        <w:rPr>
          <w:rFonts w:asciiTheme="majorHAnsi" w:hAnsiTheme="majorHAnsi"/>
          <w:sz w:val="22"/>
          <w:szCs w:val="22"/>
        </w:rPr>
        <w:t>use &amp; Tate</w:t>
      </w:r>
      <w:r w:rsidR="00AB0FD5">
        <w:rPr>
          <w:rFonts w:asciiTheme="majorHAnsi" w:hAnsiTheme="majorHAnsi"/>
          <w:sz w:val="22"/>
          <w:szCs w:val="22"/>
        </w:rPr>
        <w:t xml:space="preserve"> </w:t>
      </w:r>
      <w:r w:rsidR="00AB0FD5">
        <w:rPr>
          <w:rFonts w:asciiTheme="majorHAnsi" w:hAnsiTheme="majorHAnsi"/>
          <w:i/>
          <w:sz w:val="22"/>
          <w:szCs w:val="22"/>
        </w:rPr>
        <w:t>(HM Capital Partners)</w:t>
      </w:r>
      <w:r w:rsidRPr="00CF7DE3">
        <w:rPr>
          <w:rFonts w:asciiTheme="majorHAnsi" w:hAnsiTheme="majorHAnsi"/>
          <w:sz w:val="22"/>
          <w:szCs w:val="22"/>
        </w:rPr>
        <w:t xml:space="preserve"> to acquir</w:t>
      </w:r>
      <w:r w:rsidR="00AB0FD5">
        <w:rPr>
          <w:rFonts w:asciiTheme="majorHAnsi" w:hAnsiTheme="majorHAnsi"/>
          <w:sz w:val="22"/>
          <w:szCs w:val="22"/>
        </w:rPr>
        <w:t xml:space="preserve">e Mexican </w:t>
      </w:r>
      <w:r w:rsidR="00EE6304" w:rsidRPr="00CF7DE3">
        <w:rPr>
          <w:rFonts w:asciiTheme="majorHAnsi" w:hAnsiTheme="majorHAnsi"/>
          <w:sz w:val="22"/>
          <w:szCs w:val="22"/>
        </w:rPr>
        <w:t>companies for $25</w:t>
      </w:r>
      <w:r w:rsidRPr="00CF7DE3">
        <w:rPr>
          <w:rFonts w:asciiTheme="majorHAnsi" w:hAnsiTheme="majorHAnsi"/>
          <w:sz w:val="22"/>
          <w:szCs w:val="22"/>
        </w:rPr>
        <w:t>M.</w:t>
      </w:r>
    </w:p>
    <w:p w14:paraId="12D4ADF2" w14:textId="77777777" w:rsidR="00C228F1" w:rsidRPr="00CF7DE3" w:rsidRDefault="00EE6304" w:rsidP="00C228F1">
      <w:pPr>
        <w:pStyle w:val="ListParagraph"/>
        <w:numPr>
          <w:ilvl w:val="0"/>
          <w:numId w:val="37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 xml:space="preserve">Sold Mexican </w:t>
      </w:r>
      <w:r w:rsidR="00C228F1" w:rsidRPr="00CF7DE3">
        <w:rPr>
          <w:rFonts w:asciiTheme="majorHAnsi" w:hAnsiTheme="majorHAnsi"/>
          <w:sz w:val="22"/>
          <w:szCs w:val="22"/>
        </w:rPr>
        <w:t xml:space="preserve">Company </w:t>
      </w:r>
      <w:r w:rsidRPr="00CF7DE3">
        <w:rPr>
          <w:rFonts w:asciiTheme="majorHAnsi" w:hAnsiTheme="majorHAnsi"/>
          <w:sz w:val="22"/>
          <w:szCs w:val="22"/>
        </w:rPr>
        <w:t xml:space="preserve">in financial distress worth $30M to </w:t>
      </w:r>
      <w:r w:rsidR="00C228F1" w:rsidRPr="00CF7DE3">
        <w:rPr>
          <w:rFonts w:asciiTheme="majorHAnsi" w:hAnsiTheme="majorHAnsi"/>
          <w:sz w:val="22"/>
          <w:szCs w:val="22"/>
        </w:rPr>
        <w:t xml:space="preserve">foreign </w:t>
      </w:r>
      <w:proofErr w:type="gramStart"/>
      <w:r w:rsidR="00E060F3">
        <w:rPr>
          <w:rFonts w:asciiTheme="majorHAnsi" w:hAnsiTheme="majorHAnsi"/>
          <w:sz w:val="22"/>
          <w:szCs w:val="22"/>
        </w:rPr>
        <w:t>multinational c</w:t>
      </w:r>
      <w:r w:rsidR="00E060F3" w:rsidRPr="00CF7DE3">
        <w:rPr>
          <w:rFonts w:asciiTheme="majorHAnsi" w:hAnsiTheme="majorHAnsi"/>
          <w:sz w:val="22"/>
          <w:szCs w:val="22"/>
        </w:rPr>
        <w:t>orporation</w:t>
      </w:r>
      <w:proofErr w:type="gramEnd"/>
      <w:r w:rsidR="00C228F1" w:rsidRPr="00CF7DE3">
        <w:rPr>
          <w:rFonts w:asciiTheme="majorHAnsi" w:hAnsiTheme="majorHAnsi"/>
          <w:sz w:val="22"/>
          <w:szCs w:val="22"/>
        </w:rPr>
        <w:t>.</w:t>
      </w:r>
    </w:p>
    <w:p w14:paraId="0421D38A" w14:textId="77777777" w:rsidR="00C228F1" w:rsidRPr="00CF7DE3" w:rsidRDefault="00EE6304" w:rsidP="00C228F1">
      <w:pPr>
        <w:pStyle w:val="ListParagraph"/>
        <w:numPr>
          <w:ilvl w:val="0"/>
          <w:numId w:val="37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Obtained mandate for private equity placement of Mexi</w:t>
      </w:r>
      <w:r w:rsidR="00884CB8" w:rsidRPr="00CF7DE3">
        <w:rPr>
          <w:rFonts w:asciiTheme="majorHAnsi" w:hAnsiTheme="majorHAnsi"/>
          <w:sz w:val="22"/>
          <w:szCs w:val="22"/>
        </w:rPr>
        <w:t xml:space="preserve">can </w:t>
      </w:r>
      <w:r w:rsidRPr="00CF7DE3">
        <w:rPr>
          <w:rFonts w:asciiTheme="majorHAnsi" w:hAnsiTheme="majorHAnsi"/>
          <w:sz w:val="22"/>
          <w:szCs w:val="22"/>
        </w:rPr>
        <w:t>packaging industry</w:t>
      </w:r>
      <w:r w:rsidR="00884CB8" w:rsidRPr="00CF7DE3">
        <w:rPr>
          <w:rFonts w:asciiTheme="majorHAnsi" w:hAnsiTheme="majorHAnsi"/>
          <w:sz w:val="22"/>
          <w:szCs w:val="22"/>
        </w:rPr>
        <w:t xml:space="preserve"> corp.</w:t>
      </w:r>
      <w:r w:rsidRPr="00CF7DE3">
        <w:rPr>
          <w:rFonts w:asciiTheme="majorHAnsi" w:hAnsiTheme="majorHAnsi"/>
          <w:sz w:val="22"/>
          <w:szCs w:val="22"/>
        </w:rPr>
        <w:t xml:space="preserve"> worth $35</w:t>
      </w:r>
      <w:r w:rsidR="00C228F1" w:rsidRPr="00CF7DE3">
        <w:rPr>
          <w:rFonts w:asciiTheme="majorHAnsi" w:hAnsiTheme="majorHAnsi"/>
          <w:sz w:val="22"/>
          <w:szCs w:val="22"/>
        </w:rPr>
        <w:t>M.</w:t>
      </w:r>
    </w:p>
    <w:p w14:paraId="20BD1892" w14:textId="77777777" w:rsidR="00EC4FD1" w:rsidRPr="00CF7DE3" w:rsidRDefault="00EC4FD1" w:rsidP="00AD25CF">
      <w:pPr>
        <w:tabs>
          <w:tab w:val="right" w:pos="9810"/>
        </w:tabs>
        <w:rPr>
          <w:rFonts w:asciiTheme="majorHAnsi" w:hAnsiTheme="majorHAnsi"/>
          <w:sz w:val="22"/>
          <w:szCs w:val="22"/>
        </w:rPr>
      </w:pPr>
    </w:p>
    <w:p w14:paraId="11645ECD" w14:textId="77777777" w:rsidR="00AD25CF" w:rsidRPr="00CF7DE3" w:rsidRDefault="00AD25CF" w:rsidP="00AD25CF">
      <w:pPr>
        <w:tabs>
          <w:tab w:val="right" w:pos="1080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b/>
          <w:sz w:val="22"/>
          <w:szCs w:val="22"/>
        </w:rPr>
        <w:t>Vice President Corporate Finance</w:t>
      </w:r>
      <w:r w:rsidRPr="00CF7DE3">
        <w:rPr>
          <w:rFonts w:asciiTheme="majorHAnsi" w:hAnsiTheme="majorHAnsi"/>
          <w:b/>
          <w:sz w:val="22"/>
          <w:szCs w:val="22"/>
        </w:rPr>
        <w:tab/>
      </w:r>
      <w:r w:rsidRPr="00CF7DE3">
        <w:rPr>
          <w:rFonts w:asciiTheme="majorHAnsi" w:hAnsiTheme="majorHAnsi"/>
          <w:sz w:val="22"/>
          <w:szCs w:val="22"/>
        </w:rPr>
        <w:t>1988 – 1993</w:t>
      </w:r>
    </w:p>
    <w:p w14:paraId="52959612" w14:textId="77777777" w:rsidR="00AD25CF" w:rsidRPr="00CF7DE3" w:rsidRDefault="00AD25CF" w:rsidP="00AD25CF">
      <w:pPr>
        <w:tabs>
          <w:tab w:val="right" w:pos="45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YAMAICHI SECURITIES – New York, NY</w:t>
      </w:r>
    </w:p>
    <w:p w14:paraId="4FAB01D6" w14:textId="77777777" w:rsidR="00EE6304" w:rsidRPr="00CF7DE3" w:rsidRDefault="00C228F1" w:rsidP="00EE6304">
      <w:p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>Introduced Y</w:t>
      </w:r>
      <w:r w:rsidR="00EE6304" w:rsidRPr="00CF7DE3">
        <w:rPr>
          <w:rFonts w:asciiTheme="majorHAnsi" w:hAnsiTheme="majorHAnsi"/>
          <w:sz w:val="22"/>
          <w:szCs w:val="22"/>
        </w:rPr>
        <w:t xml:space="preserve">amaichi’s capabilities across </w:t>
      </w:r>
      <w:r w:rsidRPr="00CF7DE3">
        <w:rPr>
          <w:rFonts w:asciiTheme="majorHAnsi" w:hAnsiTheme="majorHAnsi"/>
          <w:sz w:val="22"/>
          <w:szCs w:val="22"/>
        </w:rPr>
        <w:t>broad spectrum of advisory and produ</w:t>
      </w:r>
      <w:r w:rsidR="00EE6304" w:rsidRPr="00CF7DE3">
        <w:rPr>
          <w:rFonts w:asciiTheme="majorHAnsi" w:hAnsiTheme="majorHAnsi"/>
          <w:sz w:val="22"/>
          <w:szCs w:val="22"/>
        </w:rPr>
        <w:t>ct services in Mexico, traveling</w:t>
      </w:r>
      <w:r w:rsidRPr="00CF7DE3">
        <w:rPr>
          <w:rFonts w:asciiTheme="majorHAnsi" w:hAnsiTheme="majorHAnsi"/>
          <w:sz w:val="22"/>
          <w:szCs w:val="22"/>
        </w:rPr>
        <w:t xml:space="preserve"> to Japan to present business opportunities to Yamaichi Latin America Committee. </w:t>
      </w:r>
    </w:p>
    <w:p w14:paraId="6E724BA7" w14:textId="77777777" w:rsidR="00C228F1" w:rsidRPr="00CF7DE3" w:rsidRDefault="00EE6304" w:rsidP="00EE6304">
      <w:pPr>
        <w:pStyle w:val="ListParagraph"/>
        <w:numPr>
          <w:ilvl w:val="0"/>
          <w:numId w:val="39"/>
        </w:numPr>
        <w:tabs>
          <w:tab w:val="right" w:pos="9810"/>
        </w:tabs>
        <w:rPr>
          <w:rFonts w:asciiTheme="majorHAnsi" w:hAnsiTheme="majorHAnsi"/>
          <w:sz w:val="22"/>
          <w:szCs w:val="22"/>
        </w:rPr>
      </w:pPr>
      <w:r w:rsidRPr="00CF7DE3">
        <w:rPr>
          <w:rFonts w:asciiTheme="majorHAnsi" w:hAnsiTheme="majorHAnsi"/>
          <w:sz w:val="22"/>
          <w:szCs w:val="22"/>
        </w:rPr>
        <w:t xml:space="preserve">Placed Euro-bond, Euro-CD for several corporations in Mexico, Argentina, and Latin America.  </w:t>
      </w:r>
      <w:r w:rsidR="00C228F1" w:rsidRPr="00CF7DE3">
        <w:rPr>
          <w:rFonts w:asciiTheme="majorHAnsi" w:hAnsiTheme="majorHAnsi"/>
          <w:sz w:val="22"/>
          <w:szCs w:val="22"/>
        </w:rPr>
        <w:t>Issued EMTN and FRN bond issues.</w:t>
      </w:r>
    </w:p>
    <w:p w14:paraId="31CD2880" w14:textId="77777777" w:rsidR="00EC4FD1" w:rsidRPr="007B590D" w:rsidRDefault="00EC4FD1" w:rsidP="003C4CF4">
      <w:pPr>
        <w:pBdr>
          <w:bottom w:val="single" w:sz="4" w:space="1" w:color="auto"/>
        </w:pBdr>
        <w:tabs>
          <w:tab w:val="right" w:pos="9810"/>
        </w:tabs>
        <w:rPr>
          <w:rFonts w:asciiTheme="majorHAnsi" w:hAnsiTheme="majorHAnsi"/>
        </w:rPr>
      </w:pPr>
    </w:p>
    <w:p w14:paraId="26978075" w14:textId="77777777" w:rsidR="0064381A" w:rsidRPr="007B590D" w:rsidRDefault="0036616F" w:rsidP="003C4CF4">
      <w:pPr>
        <w:pBdr>
          <w:bottom w:val="double" w:sz="4" w:space="1" w:color="auto"/>
        </w:pBdr>
        <w:tabs>
          <w:tab w:val="right" w:pos="9810"/>
        </w:tabs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EDUCATION</w:t>
      </w:r>
    </w:p>
    <w:p w14:paraId="1D27C6B2" w14:textId="77777777" w:rsidR="0064381A" w:rsidRPr="00383417" w:rsidRDefault="0064381A" w:rsidP="00A61FF8">
      <w:pPr>
        <w:tabs>
          <w:tab w:val="right" w:pos="9810"/>
        </w:tabs>
        <w:rPr>
          <w:rFonts w:asciiTheme="majorHAnsi" w:hAnsiTheme="majorHAnsi"/>
          <w:sz w:val="22"/>
          <w:szCs w:val="22"/>
        </w:rPr>
      </w:pPr>
    </w:p>
    <w:p w14:paraId="19FE6B5D" w14:textId="77777777" w:rsidR="00AD25CF" w:rsidRDefault="00AD25CF" w:rsidP="00AD25CF">
      <w:pPr>
        <w:tabs>
          <w:tab w:val="right" w:pos="9810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Master</w:t>
      </w:r>
      <w:r w:rsidR="00E060F3">
        <w:rPr>
          <w:rFonts w:asciiTheme="majorHAnsi" w:hAnsiTheme="majorHAnsi"/>
          <w:b/>
        </w:rPr>
        <w:t>’</w:t>
      </w:r>
      <w:r>
        <w:rPr>
          <w:rFonts w:asciiTheme="majorHAnsi" w:hAnsiTheme="majorHAnsi"/>
          <w:b/>
        </w:rPr>
        <w:t>s in Business Administration (MBA).</w:t>
      </w:r>
      <w:r>
        <w:rPr>
          <w:rFonts w:asciiTheme="majorHAnsi" w:hAnsiTheme="majorHAnsi"/>
        </w:rPr>
        <w:t xml:space="preserve">  </w:t>
      </w:r>
    </w:p>
    <w:p w14:paraId="50699A50" w14:textId="77777777" w:rsidR="00AD25CF" w:rsidRDefault="00AD25CF" w:rsidP="00AD25CF">
      <w:pPr>
        <w:tabs>
          <w:tab w:val="right" w:pos="9810"/>
        </w:tabs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Columbia Business School</w:t>
      </w:r>
      <w:r w:rsidR="00E060F3">
        <w:rPr>
          <w:rFonts w:asciiTheme="majorHAnsi" w:hAnsiTheme="majorHAnsi"/>
          <w:i/>
        </w:rPr>
        <w:t>,</w:t>
      </w:r>
      <w:r>
        <w:rPr>
          <w:rFonts w:asciiTheme="majorHAnsi" w:hAnsiTheme="majorHAnsi"/>
          <w:i/>
        </w:rPr>
        <w:t xml:space="preserve"> </w:t>
      </w:r>
      <w:r w:rsidR="00E060F3">
        <w:rPr>
          <w:rFonts w:asciiTheme="majorHAnsi" w:hAnsiTheme="majorHAnsi"/>
          <w:i/>
        </w:rPr>
        <w:t>1986-88</w:t>
      </w:r>
      <w:r>
        <w:rPr>
          <w:rFonts w:asciiTheme="majorHAnsi" w:hAnsiTheme="majorHAnsi"/>
          <w:i/>
        </w:rPr>
        <w:t xml:space="preserve">– New York, NY.  </w:t>
      </w:r>
      <w:r w:rsidR="00AB0FD5">
        <w:rPr>
          <w:rFonts w:asciiTheme="majorHAnsi" w:hAnsiTheme="majorHAnsi"/>
          <w:i/>
        </w:rPr>
        <w:t>(</w:t>
      </w:r>
      <w:r>
        <w:rPr>
          <w:rFonts w:asciiTheme="majorHAnsi" w:hAnsiTheme="majorHAnsi"/>
          <w:i/>
        </w:rPr>
        <w:t>Fulbright Scholar</w:t>
      </w:r>
      <w:r w:rsidR="00AB0FD5">
        <w:rPr>
          <w:rFonts w:asciiTheme="majorHAnsi" w:hAnsiTheme="majorHAnsi"/>
          <w:i/>
        </w:rPr>
        <w:t>)</w:t>
      </w:r>
      <w:r>
        <w:rPr>
          <w:rFonts w:asciiTheme="majorHAnsi" w:hAnsiTheme="majorHAnsi"/>
          <w:i/>
        </w:rPr>
        <w:t>.</w:t>
      </w:r>
    </w:p>
    <w:p w14:paraId="7E51CC7F" w14:textId="77777777" w:rsidR="00AD25CF" w:rsidRPr="00383417" w:rsidRDefault="00AD25CF" w:rsidP="00AD25CF">
      <w:pPr>
        <w:tabs>
          <w:tab w:val="right" w:pos="981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231F1162" w14:textId="77777777" w:rsidR="00060CCF" w:rsidRDefault="00AD25CF" w:rsidP="004704EC">
      <w:pPr>
        <w:tabs>
          <w:tab w:val="right" w:pos="9810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Bachelors of Arts</w:t>
      </w:r>
      <w:r w:rsidR="00060CCF"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  <w:b/>
        </w:rPr>
        <w:t>Economics</w:t>
      </w:r>
      <w:r w:rsidR="00060CCF">
        <w:rPr>
          <w:rFonts w:asciiTheme="majorHAnsi" w:hAnsiTheme="majorHAnsi"/>
          <w:b/>
        </w:rPr>
        <w:t>.</w:t>
      </w:r>
      <w:r w:rsidR="00060CCF">
        <w:rPr>
          <w:rFonts w:asciiTheme="majorHAnsi" w:hAnsiTheme="majorHAnsi"/>
        </w:rPr>
        <w:t xml:space="preserve">  </w:t>
      </w:r>
    </w:p>
    <w:p w14:paraId="79EAB025" w14:textId="77777777" w:rsidR="00720235" w:rsidRPr="00CA61FE" w:rsidRDefault="00AD25CF" w:rsidP="00AD25CF">
      <w:pPr>
        <w:tabs>
          <w:tab w:val="right" w:pos="9810"/>
        </w:tabs>
        <w:jc w:val="center"/>
        <w:rPr>
          <w:rFonts w:asciiTheme="majorHAnsi" w:hAnsiTheme="majorHAnsi"/>
          <w:i/>
        </w:rPr>
      </w:pPr>
      <w:r w:rsidRPr="00635131">
        <w:rPr>
          <w:rFonts w:asciiTheme="majorHAnsi" w:hAnsiTheme="majorHAnsi"/>
          <w:i/>
          <w:lang w:val="es-ES"/>
        </w:rPr>
        <w:t>Instituto Tecno</w:t>
      </w:r>
      <w:r w:rsidR="00E060F3">
        <w:rPr>
          <w:rFonts w:asciiTheme="majorHAnsi" w:hAnsiTheme="majorHAnsi"/>
          <w:i/>
          <w:lang w:val="es-ES"/>
        </w:rPr>
        <w:t>logico Autonomo De Mexico (ITAM), 1978-82</w:t>
      </w:r>
      <w:r w:rsidR="00AB0FD5">
        <w:rPr>
          <w:rFonts w:asciiTheme="majorHAnsi" w:hAnsiTheme="majorHAnsi"/>
          <w:i/>
          <w:lang w:val="es-ES"/>
        </w:rPr>
        <w:t xml:space="preserve"> – Mexico City, Mexico.  </w:t>
      </w:r>
      <w:r w:rsidR="00AB0FD5" w:rsidRPr="00CA61FE">
        <w:rPr>
          <w:rFonts w:asciiTheme="majorHAnsi" w:hAnsiTheme="majorHAnsi"/>
          <w:i/>
        </w:rPr>
        <w:t>(</w:t>
      </w:r>
      <w:r w:rsidR="00E060F3" w:rsidRPr="00CA61FE">
        <w:rPr>
          <w:rFonts w:asciiTheme="majorHAnsi" w:hAnsiTheme="majorHAnsi"/>
          <w:i/>
        </w:rPr>
        <w:t>Full Scholarship</w:t>
      </w:r>
      <w:r w:rsidR="00AB0FD5" w:rsidRPr="00CA61FE">
        <w:rPr>
          <w:rFonts w:asciiTheme="majorHAnsi" w:hAnsiTheme="majorHAnsi"/>
          <w:i/>
        </w:rPr>
        <w:t>)</w:t>
      </w:r>
      <w:r w:rsidR="00E060F3" w:rsidRPr="00CA61FE">
        <w:rPr>
          <w:rFonts w:asciiTheme="majorHAnsi" w:hAnsiTheme="majorHAnsi"/>
          <w:i/>
        </w:rPr>
        <w:t>.</w:t>
      </w:r>
    </w:p>
    <w:p w14:paraId="3B746996" w14:textId="77777777" w:rsidR="00AD25CF" w:rsidRPr="00CA61FE" w:rsidRDefault="00AD25CF" w:rsidP="00AD25CF">
      <w:pPr>
        <w:tabs>
          <w:tab w:val="right" w:pos="9810"/>
        </w:tabs>
        <w:jc w:val="center"/>
        <w:rPr>
          <w:rFonts w:asciiTheme="majorHAnsi" w:hAnsiTheme="majorHAnsi"/>
          <w:i/>
          <w:sz w:val="22"/>
          <w:szCs w:val="22"/>
        </w:rPr>
      </w:pPr>
    </w:p>
    <w:p w14:paraId="7C0379ED" w14:textId="77777777" w:rsidR="00AD25CF" w:rsidRDefault="00AD25CF" w:rsidP="00AD25CF">
      <w:pPr>
        <w:tabs>
          <w:tab w:val="right" w:pos="9810"/>
        </w:tabs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International Finance Training.</w:t>
      </w:r>
    </w:p>
    <w:p w14:paraId="2C698285" w14:textId="77777777" w:rsidR="00AD25CF" w:rsidRPr="00AD25CF" w:rsidRDefault="00AD25CF" w:rsidP="00AD25CF">
      <w:pPr>
        <w:tabs>
          <w:tab w:val="right" w:pos="9810"/>
        </w:tabs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Saitama Bank</w:t>
      </w:r>
      <w:r w:rsidR="00E060F3">
        <w:rPr>
          <w:rFonts w:asciiTheme="majorHAnsi" w:hAnsiTheme="majorHAnsi"/>
          <w:i/>
        </w:rPr>
        <w:t xml:space="preserve">, 1983-84 – Tokyo, Japan.  </w:t>
      </w:r>
      <w:r w:rsidR="00AB0FD5" w:rsidRPr="00AB0FD5">
        <w:rPr>
          <w:rFonts w:asciiTheme="majorHAnsi" w:hAnsiTheme="majorHAnsi"/>
          <w:i/>
        </w:rPr>
        <w:t>(</w:t>
      </w:r>
      <w:r w:rsidR="00E060F3">
        <w:rPr>
          <w:rFonts w:asciiTheme="majorHAnsi" w:hAnsiTheme="majorHAnsi"/>
          <w:i/>
        </w:rPr>
        <w:t>Full S</w:t>
      </w:r>
      <w:r>
        <w:rPr>
          <w:rFonts w:asciiTheme="majorHAnsi" w:hAnsiTheme="majorHAnsi"/>
          <w:i/>
        </w:rPr>
        <w:t>cholarship granted by Government of Japan</w:t>
      </w:r>
      <w:r w:rsidR="00AB0FD5">
        <w:rPr>
          <w:rFonts w:asciiTheme="majorHAnsi" w:hAnsiTheme="majorHAnsi"/>
          <w:i/>
        </w:rPr>
        <w:t>)</w:t>
      </w:r>
      <w:r>
        <w:rPr>
          <w:rFonts w:asciiTheme="majorHAnsi" w:hAnsiTheme="majorHAnsi"/>
          <w:i/>
        </w:rPr>
        <w:t>.</w:t>
      </w:r>
    </w:p>
    <w:sectPr w:rsidR="00AD25CF" w:rsidRPr="00AD25CF" w:rsidSect="00AD25C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2896"/>
    <w:multiLevelType w:val="hybridMultilevel"/>
    <w:tmpl w:val="5844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F73E7"/>
    <w:multiLevelType w:val="hybridMultilevel"/>
    <w:tmpl w:val="95FA2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920CD1"/>
    <w:multiLevelType w:val="hybridMultilevel"/>
    <w:tmpl w:val="BFA2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3408A"/>
    <w:multiLevelType w:val="hybridMultilevel"/>
    <w:tmpl w:val="70EC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3304C"/>
    <w:multiLevelType w:val="hybridMultilevel"/>
    <w:tmpl w:val="37BED6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087FF5"/>
    <w:multiLevelType w:val="hybridMultilevel"/>
    <w:tmpl w:val="41AA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C64D9"/>
    <w:multiLevelType w:val="hybridMultilevel"/>
    <w:tmpl w:val="24CE3E2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BA6287"/>
    <w:multiLevelType w:val="hybridMultilevel"/>
    <w:tmpl w:val="6742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91AAB"/>
    <w:multiLevelType w:val="hybridMultilevel"/>
    <w:tmpl w:val="7E62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76D86"/>
    <w:multiLevelType w:val="hybridMultilevel"/>
    <w:tmpl w:val="FE66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12752"/>
    <w:multiLevelType w:val="hybridMultilevel"/>
    <w:tmpl w:val="3BDAAB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6D57426"/>
    <w:multiLevelType w:val="hybridMultilevel"/>
    <w:tmpl w:val="477A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54649"/>
    <w:multiLevelType w:val="hybridMultilevel"/>
    <w:tmpl w:val="697ADE2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F255DD1"/>
    <w:multiLevelType w:val="hybridMultilevel"/>
    <w:tmpl w:val="D172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005C7"/>
    <w:multiLevelType w:val="hybridMultilevel"/>
    <w:tmpl w:val="CA08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4A66CD"/>
    <w:multiLevelType w:val="hybridMultilevel"/>
    <w:tmpl w:val="24E0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A16DC9"/>
    <w:multiLevelType w:val="hybridMultilevel"/>
    <w:tmpl w:val="3440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D6D25"/>
    <w:multiLevelType w:val="hybridMultilevel"/>
    <w:tmpl w:val="048EF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C11166"/>
    <w:multiLevelType w:val="hybridMultilevel"/>
    <w:tmpl w:val="788C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DD466D"/>
    <w:multiLevelType w:val="hybridMultilevel"/>
    <w:tmpl w:val="17F8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504CE"/>
    <w:multiLevelType w:val="hybridMultilevel"/>
    <w:tmpl w:val="1B387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917C73"/>
    <w:multiLevelType w:val="hybridMultilevel"/>
    <w:tmpl w:val="4ED6E1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76433D"/>
    <w:multiLevelType w:val="hybridMultilevel"/>
    <w:tmpl w:val="747E8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AF24118"/>
    <w:multiLevelType w:val="hybridMultilevel"/>
    <w:tmpl w:val="F480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5C1735"/>
    <w:multiLevelType w:val="hybridMultilevel"/>
    <w:tmpl w:val="2418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E04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5D913D54"/>
    <w:multiLevelType w:val="hybridMultilevel"/>
    <w:tmpl w:val="F4F4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E7605E"/>
    <w:multiLevelType w:val="hybridMultilevel"/>
    <w:tmpl w:val="874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ED3CB9"/>
    <w:multiLevelType w:val="hybridMultilevel"/>
    <w:tmpl w:val="A816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952E39"/>
    <w:multiLevelType w:val="hybridMultilevel"/>
    <w:tmpl w:val="19AAD1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A34DCB"/>
    <w:multiLevelType w:val="hybridMultilevel"/>
    <w:tmpl w:val="77EE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C0A97"/>
    <w:multiLevelType w:val="hybridMultilevel"/>
    <w:tmpl w:val="CB68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14272A"/>
    <w:multiLevelType w:val="hybridMultilevel"/>
    <w:tmpl w:val="7D9E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4507C"/>
    <w:multiLevelType w:val="hybridMultilevel"/>
    <w:tmpl w:val="8B62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E60B3F"/>
    <w:multiLevelType w:val="hybridMultilevel"/>
    <w:tmpl w:val="66A4335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A7305B"/>
    <w:multiLevelType w:val="hybridMultilevel"/>
    <w:tmpl w:val="7E8658C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7AF310E1"/>
    <w:multiLevelType w:val="hybridMultilevel"/>
    <w:tmpl w:val="5ACA6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8E407B"/>
    <w:multiLevelType w:val="hybridMultilevel"/>
    <w:tmpl w:val="F93E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F86749"/>
    <w:multiLevelType w:val="hybridMultilevel"/>
    <w:tmpl w:val="C7DCC9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4"/>
  </w:num>
  <w:num w:numId="4">
    <w:abstractNumId w:val="34"/>
  </w:num>
  <w:num w:numId="5">
    <w:abstractNumId w:val="12"/>
  </w:num>
  <w:num w:numId="6">
    <w:abstractNumId w:val="21"/>
  </w:num>
  <w:num w:numId="7">
    <w:abstractNumId w:val="25"/>
  </w:num>
  <w:num w:numId="8">
    <w:abstractNumId w:val="20"/>
  </w:num>
  <w:num w:numId="9">
    <w:abstractNumId w:val="36"/>
  </w:num>
  <w:num w:numId="10">
    <w:abstractNumId w:val="14"/>
  </w:num>
  <w:num w:numId="11">
    <w:abstractNumId w:val="7"/>
  </w:num>
  <w:num w:numId="12">
    <w:abstractNumId w:val="22"/>
  </w:num>
  <w:num w:numId="13">
    <w:abstractNumId w:val="38"/>
  </w:num>
  <w:num w:numId="14">
    <w:abstractNumId w:val="35"/>
  </w:num>
  <w:num w:numId="15">
    <w:abstractNumId w:val="23"/>
  </w:num>
  <w:num w:numId="16">
    <w:abstractNumId w:val="10"/>
  </w:num>
  <w:num w:numId="17">
    <w:abstractNumId w:val="8"/>
  </w:num>
  <w:num w:numId="18">
    <w:abstractNumId w:val="2"/>
  </w:num>
  <w:num w:numId="19">
    <w:abstractNumId w:val="11"/>
  </w:num>
  <w:num w:numId="20">
    <w:abstractNumId w:val="37"/>
  </w:num>
  <w:num w:numId="21">
    <w:abstractNumId w:val="18"/>
  </w:num>
  <w:num w:numId="22">
    <w:abstractNumId w:val="28"/>
  </w:num>
  <w:num w:numId="23">
    <w:abstractNumId w:val="31"/>
  </w:num>
  <w:num w:numId="24">
    <w:abstractNumId w:val="30"/>
  </w:num>
  <w:num w:numId="25">
    <w:abstractNumId w:val="24"/>
  </w:num>
  <w:num w:numId="26">
    <w:abstractNumId w:val="0"/>
  </w:num>
  <w:num w:numId="27">
    <w:abstractNumId w:val="3"/>
  </w:num>
  <w:num w:numId="28">
    <w:abstractNumId w:val="9"/>
  </w:num>
  <w:num w:numId="29">
    <w:abstractNumId w:val="17"/>
  </w:num>
  <w:num w:numId="30">
    <w:abstractNumId w:val="32"/>
  </w:num>
  <w:num w:numId="31">
    <w:abstractNumId w:val="5"/>
  </w:num>
  <w:num w:numId="32">
    <w:abstractNumId w:val="1"/>
  </w:num>
  <w:num w:numId="33">
    <w:abstractNumId w:val="15"/>
  </w:num>
  <w:num w:numId="34">
    <w:abstractNumId w:val="26"/>
  </w:num>
  <w:num w:numId="35">
    <w:abstractNumId w:val="33"/>
  </w:num>
  <w:num w:numId="36">
    <w:abstractNumId w:val="13"/>
  </w:num>
  <w:num w:numId="37">
    <w:abstractNumId w:val="27"/>
  </w:num>
  <w:num w:numId="38">
    <w:abstractNumId w:val="19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86"/>
    <w:rsid w:val="00020585"/>
    <w:rsid w:val="000368B0"/>
    <w:rsid w:val="00060CCF"/>
    <w:rsid w:val="0006431C"/>
    <w:rsid w:val="00065177"/>
    <w:rsid w:val="00066DB5"/>
    <w:rsid w:val="00073486"/>
    <w:rsid w:val="0008327C"/>
    <w:rsid w:val="00084B88"/>
    <w:rsid w:val="000907A5"/>
    <w:rsid w:val="00094CDE"/>
    <w:rsid w:val="000B098B"/>
    <w:rsid w:val="000B2A90"/>
    <w:rsid w:val="000B7748"/>
    <w:rsid w:val="000C0465"/>
    <w:rsid w:val="000C1EF5"/>
    <w:rsid w:val="000F526F"/>
    <w:rsid w:val="001002F9"/>
    <w:rsid w:val="001162C6"/>
    <w:rsid w:val="0015581C"/>
    <w:rsid w:val="00156F8B"/>
    <w:rsid w:val="0016059C"/>
    <w:rsid w:val="0019362B"/>
    <w:rsid w:val="001A2E53"/>
    <w:rsid w:val="001B5B06"/>
    <w:rsid w:val="001C2720"/>
    <w:rsid w:val="001D3596"/>
    <w:rsid w:val="001D35D4"/>
    <w:rsid w:val="001D72CD"/>
    <w:rsid w:val="001E10FA"/>
    <w:rsid w:val="001F1D2D"/>
    <w:rsid w:val="001F2D41"/>
    <w:rsid w:val="001F375B"/>
    <w:rsid w:val="00226DEF"/>
    <w:rsid w:val="00234A5D"/>
    <w:rsid w:val="00237255"/>
    <w:rsid w:val="00242A30"/>
    <w:rsid w:val="0024362D"/>
    <w:rsid w:val="0024670D"/>
    <w:rsid w:val="00270A50"/>
    <w:rsid w:val="00271DBF"/>
    <w:rsid w:val="00272464"/>
    <w:rsid w:val="00282880"/>
    <w:rsid w:val="002928E1"/>
    <w:rsid w:val="0029597A"/>
    <w:rsid w:val="00295CC8"/>
    <w:rsid w:val="002A1B5E"/>
    <w:rsid w:val="002D172D"/>
    <w:rsid w:val="002D71E7"/>
    <w:rsid w:val="002E3249"/>
    <w:rsid w:val="002E33F1"/>
    <w:rsid w:val="002E541E"/>
    <w:rsid w:val="002E630E"/>
    <w:rsid w:val="002F2823"/>
    <w:rsid w:val="002F6A99"/>
    <w:rsid w:val="00300952"/>
    <w:rsid w:val="00301813"/>
    <w:rsid w:val="0030329C"/>
    <w:rsid w:val="00316207"/>
    <w:rsid w:val="00322BA0"/>
    <w:rsid w:val="00322CA4"/>
    <w:rsid w:val="0033149A"/>
    <w:rsid w:val="00331E2E"/>
    <w:rsid w:val="00336DB6"/>
    <w:rsid w:val="0034457B"/>
    <w:rsid w:val="00354B15"/>
    <w:rsid w:val="003640E3"/>
    <w:rsid w:val="00365C46"/>
    <w:rsid w:val="0036616F"/>
    <w:rsid w:val="003673E3"/>
    <w:rsid w:val="00377DA6"/>
    <w:rsid w:val="00383417"/>
    <w:rsid w:val="0038355F"/>
    <w:rsid w:val="0038697D"/>
    <w:rsid w:val="00393B01"/>
    <w:rsid w:val="00393B1A"/>
    <w:rsid w:val="00395F54"/>
    <w:rsid w:val="003A6B8C"/>
    <w:rsid w:val="003B437F"/>
    <w:rsid w:val="003B739E"/>
    <w:rsid w:val="003C4CF4"/>
    <w:rsid w:val="003C4E77"/>
    <w:rsid w:val="003C7854"/>
    <w:rsid w:val="003D1C4E"/>
    <w:rsid w:val="003E6DB9"/>
    <w:rsid w:val="003F2ABF"/>
    <w:rsid w:val="003F3839"/>
    <w:rsid w:val="004075EB"/>
    <w:rsid w:val="00407BB1"/>
    <w:rsid w:val="004218DB"/>
    <w:rsid w:val="00421F93"/>
    <w:rsid w:val="0042248A"/>
    <w:rsid w:val="00431089"/>
    <w:rsid w:val="00434423"/>
    <w:rsid w:val="0043681F"/>
    <w:rsid w:val="00442BD0"/>
    <w:rsid w:val="00455DCA"/>
    <w:rsid w:val="004575C6"/>
    <w:rsid w:val="0046465D"/>
    <w:rsid w:val="004704EC"/>
    <w:rsid w:val="00485B8F"/>
    <w:rsid w:val="004A15F1"/>
    <w:rsid w:val="004A22BF"/>
    <w:rsid w:val="004A7951"/>
    <w:rsid w:val="004C3081"/>
    <w:rsid w:val="004E15DA"/>
    <w:rsid w:val="004E2E73"/>
    <w:rsid w:val="004E60C7"/>
    <w:rsid w:val="004F013C"/>
    <w:rsid w:val="00500068"/>
    <w:rsid w:val="0051405B"/>
    <w:rsid w:val="00515B02"/>
    <w:rsid w:val="0052047C"/>
    <w:rsid w:val="005312AF"/>
    <w:rsid w:val="0053450C"/>
    <w:rsid w:val="00534AB0"/>
    <w:rsid w:val="00536E7A"/>
    <w:rsid w:val="00540AB5"/>
    <w:rsid w:val="005469F1"/>
    <w:rsid w:val="00550C1A"/>
    <w:rsid w:val="00557555"/>
    <w:rsid w:val="00557F5C"/>
    <w:rsid w:val="00561375"/>
    <w:rsid w:val="00587AE5"/>
    <w:rsid w:val="005A0513"/>
    <w:rsid w:val="005B0F1F"/>
    <w:rsid w:val="005C21FF"/>
    <w:rsid w:val="005C2530"/>
    <w:rsid w:val="005C7559"/>
    <w:rsid w:val="005D618B"/>
    <w:rsid w:val="005D7A0C"/>
    <w:rsid w:val="005D7F8C"/>
    <w:rsid w:val="005E04D7"/>
    <w:rsid w:val="005E5937"/>
    <w:rsid w:val="005F4A62"/>
    <w:rsid w:val="005F580C"/>
    <w:rsid w:val="005F5C2A"/>
    <w:rsid w:val="0060397B"/>
    <w:rsid w:val="00606830"/>
    <w:rsid w:val="00611BD7"/>
    <w:rsid w:val="00627570"/>
    <w:rsid w:val="00635131"/>
    <w:rsid w:val="00635A48"/>
    <w:rsid w:val="0064381A"/>
    <w:rsid w:val="00650E38"/>
    <w:rsid w:val="0065465B"/>
    <w:rsid w:val="00655B1D"/>
    <w:rsid w:val="006560CE"/>
    <w:rsid w:val="006642A3"/>
    <w:rsid w:val="006765FB"/>
    <w:rsid w:val="00681C5D"/>
    <w:rsid w:val="006A0736"/>
    <w:rsid w:val="006A3B35"/>
    <w:rsid w:val="006C2065"/>
    <w:rsid w:val="0070416E"/>
    <w:rsid w:val="00705027"/>
    <w:rsid w:val="007052B6"/>
    <w:rsid w:val="0071155F"/>
    <w:rsid w:val="00717FD6"/>
    <w:rsid w:val="00720235"/>
    <w:rsid w:val="0072655D"/>
    <w:rsid w:val="00744E98"/>
    <w:rsid w:val="00745448"/>
    <w:rsid w:val="00745DCE"/>
    <w:rsid w:val="00753A0C"/>
    <w:rsid w:val="0076010A"/>
    <w:rsid w:val="0076233E"/>
    <w:rsid w:val="00772FC6"/>
    <w:rsid w:val="007766EF"/>
    <w:rsid w:val="007805B7"/>
    <w:rsid w:val="0078183E"/>
    <w:rsid w:val="00784689"/>
    <w:rsid w:val="00784FD2"/>
    <w:rsid w:val="0078548D"/>
    <w:rsid w:val="00786001"/>
    <w:rsid w:val="00786FAB"/>
    <w:rsid w:val="00796C6C"/>
    <w:rsid w:val="007A7A58"/>
    <w:rsid w:val="007B0186"/>
    <w:rsid w:val="007B590D"/>
    <w:rsid w:val="007D3F11"/>
    <w:rsid w:val="007E5014"/>
    <w:rsid w:val="007F2884"/>
    <w:rsid w:val="0081024D"/>
    <w:rsid w:val="00830799"/>
    <w:rsid w:val="00847090"/>
    <w:rsid w:val="00851544"/>
    <w:rsid w:val="00861B36"/>
    <w:rsid w:val="008644F3"/>
    <w:rsid w:val="00874C43"/>
    <w:rsid w:val="00884CB8"/>
    <w:rsid w:val="008865E6"/>
    <w:rsid w:val="00891815"/>
    <w:rsid w:val="008A501C"/>
    <w:rsid w:val="008A6C00"/>
    <w:rsid w:val="008B7E02"/>
    <w:rsid w:val="008C634A"/>
    <w:rsid w:val="008D172E"/>
    <w:rsid w:val="008D7897"/>
    <w:rsid w:val="008E58FE"/>
    <w:rsid w:val="00935D49"/>
    <w:rsid w:val="00941C8A"/>
    <w:rsid w:val="0094445D"/>
    <w:rsid w:val="0094508D"/>
    <w:rsid w:val="0094750D"/>
    <w:rsid w:val="009559F6"/>
    <w:rsid w:val="009629EA"/>
    <w:rsid w:val="00965FDD"/>
    <w:rsid w:val="0096787C"/>
    <w:rsid w:val="0098022B"/>
    <w:rsid w:val="00984778"/>
    <w:rsid w:val="009A0820"/>
    <w:rsid w:val="009A6C50"/>
    <w:rsid w:val="009B0070"/>
    <w:rsid w:val="009B38AE"/>
    <w:rsid w:val="009B6AD8"/>
    <w:rsid w:val="009C164E"/>
    <w:rsid w:val="009C2B60"/>
    <w:rsid w:val="009D10D9"/>
    <w:rsid w:val="009D2B41"/>
    <w:rsid w:val="009D7E27"/>
    <w:rsid w:val="009F738F"/>
    <w:rsid w:val="00A134EE"/>
    <w:rsid w:val="00A21BCB"/>
    <w:rsid w:val="00A31EB9"/>
    <w:rsid w:val="00A337EA"/>
    <w:rsid w:val="00A41F75"/>
    <w:rsid w:val="00A57CE8"/>
    <w:rsid w:val="00A61FF8"/>
    <w:rsid w:val="00A64080"/>
    <w:rsid w:val="00A745FB"/>
    <w:rsid w:val="00A838D9"/>
    <w:rsid w:val="00A849CE"/>
    <w:rsid w:val="00A96010"/>
    <w:rsid w:val="00AA02CA"/>
    <w:rsid w:val="00AA7470"/>
    <w:rsid w:val="00AB0FD5"/>
    <w:rsid w:val="00AB54D0"/>
    <w:rsid w:val="00AB6D33"/>
    <w:rsid w:val="00AC1127"/>
    <w:rsid w:val="00AD0CC9"/>
    <w:rsid w:val="00AD25CF"/>
    <w:rsid w:val="00AE0AD7"/>
    <w:rsid w:val="00AE7438"/>
    <w:rsid w:val="00AF129B"/>
    <w:rsid w:val="00B00356"/>
    <w:rsid w:val="00B0125F"/>
    <w:rsid w:val="00B079B8"/>
    <w:rsid w:val="00B32DB0"/>
    <w:rsid w:val="00B34067"/>
    <w:rsid w:val="00B354DC"/>
    <w:rsid w:val="00B47BCB"/>
    <w:rsid w:val="00B7104C"/>
    <w:rsid w:val="00B81CDA"/>
    <w:rsid w:val="00B82B08"/>
    <w:rsid w:val="00B87199"/>
    <w:rsid w:val="00B92A53"/>
    <w:rsid w:val="00B961EA"/>
    <w:rsid w:val="00BC516B"/>
    <w:rsid w:val="00BD21A4"/>
    <w:rsid w:val="00BD2310"/>
    <w:rsid w:val="00BE05CF"/>
    <w:rsid w:val="00BF062C"/>
    <w:rsid w:val="00C00BF9"/>
    <w:rsid w:val="00C01341"/>
    <w:rsid w:val="00C05200"/>
    <w:rsid w:val="00C1414C"/>
    <w:rsid w:val="00C216C8"/>
    <w:rsid w:val="00C228F1"/>
    <w:rsid w:val="00C22B69"/>
    <w:rsid w:val="00C42AFC"/>
    <w:rsid w:val="00C5100D"/>
    <w:rsid w:val="00C51893"/>
    <w:rsid w:val="00C571DD"/>
    <w:rsid w:val="00C61DA4"/>
    <w:rsid w:val="00C66334"/>
    <w:rsid w:val="00C67FEA"/>
    <w:rsid w:val="00C7236A"/>
    <w:rsid w:val="00C74F11"/>
    <w:rsid w:val="00C80778"/>
    <w:rsid w:val="00C935DE"/>
    <w:rsid w:val="00C9715B"/>
    <w:rsid w:val="00CA232E"/>
    <w:rsid w:val="00CA5B99"/>
    <w:rsid w:val="00CA61FE"/>
    <w:rsid w:val="00CB37E0"/>
    <w:rsid w:val="00CB634B"/>
    <w:rsid w:val="00CC1E40"/>
    <w:rsid w:val="00CD1232"/>
    <w:rsid w:val="00CD5126"/>
    <w:rsid w:val="00CE3322"/>
    <w:rsid w:val="00CF7DE3"/>
    <w:rsid w:val="00D35AF5"/>
    <w:rsid w:val="00D36883"/>
    <w:rsid w:val="00D40615"/>
    <w:rsid w:val="00D502BA"/>
    <w:rsid w:val="00D53041"/>
    <w:rsid w:val="00D62AB9"/>
    <w:rsid w:val="00D70AF3"/>
    <w:rsid w:val="00D82DD9"/>
    <w:rsid w:val="00D8345A"/>
    <w:rsid w:val="00DA4DD6"/>
    <w:rsid w:val="00DA56D1"/>
    <w:rsid w:val="00DB019E"/>
    <w:rsid w:val="00DB5F11"/>
    <w:rsid w:val="00DD2B12"/>
    <w:rsid w:val="00DE26BD"/>
    <w:rsid w:val="00DE688F"/>
    <w:rsid w:val="00DF37AF"/>
    <w:rsid w:val="00DF3A30"/>
    <w:rsid w:val="00E060F3"/>
    <w:rsid w:val="00E06B9C"/>
    <w:rsid w:val="00E150EE"/>
    <w:rsid w:val="00E433A4"/>
    <w:rsid w:val="00E443BA"/>
    <w:rsid w:val="00E47A06"/>
    <w:rsid w:val="00E50A85"/>
    <w:rsid w:val="00E64053"/>
    <w:rsid w:val="00E83879"/>
    <w:rsid w:val="00E84476"/>
    <w:rsid w:val="00E91009"/>
    <w:rsid w:val="00EC0A7E"/>
    <w:rsid w:val="00EC4FD1"/>
    <w:rsid w:val="00EC76FC"/>
    <w:rsid w:val="00ED212A"/>
    <w:rsid w:val="00EE6304"/>
    <w:rsid w:val="00EF16EC"/>
    <w:rsid w:val="00F139B6"/>
    <w:rsid w:val="00F21139"/>
    <w:rsid w:val="00F21722"/>
    <w:rsid w:val="00F55B5B"/>
    <w:rsid w:val="00F5684A"/>
    <w:rsid w:val="00F56FDC"/>
    <w:rsid w:val="00F6025E"/>
    <w:rsid w:val="00F704AB"/>
    <w:rsid w:val="00F77917"/>
    <w:rsid w:val="00F81C87"/>
    <w:rsid w:val="00F86BA5"/>
    <w:rsid w:val="00F86CF6"/>
    <w:rsid w:val="00F904EC"/>
    <w:rsid w:val="00F96991"/>
    <w:rsid w:val="00FA2FD0"/>
    <w:rsid w:val="00FA4ED7"/>
    <w:rsid w:val="00FA5938"/>
    <w:rsid w:val="00FB23D1"/>
    <w:rsid w:val="00FD23DF"/>
    <w:rsid w:val="00FE4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804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D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5B99"/>
    <w:pPr>
      <w:keepNext/>
      <w:jc w:val="both"/>
      <w:outlineLvl w:val="0"/>
    </w:pPr>
    <w:rPr>
      <w:rFonts w:ascii="Arial" w:hAnsi="Arial"/>
      <w:b/>
      <w:sz w:val="22"/>
      <w:szCs w:val="20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03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5E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81A"/>
    <w:pPr>
      <w:ind w:left="720"/>
      <w:contextualSpacing/>
    </w:pPr>
  </w:style>
  <w:style w:type="paragraph" w:customStyle="1" w:styleId="FR1">
    <w:name w:val="FR1"/>
    <w:rsid w:val="00CA5B99"/>
    <w:pPr>
      <w:widowControl w:val="0"/>
      <w:autoSpaceDE w:val="0"/>
      <w:autoSpaceDN w:val="0"/>
      <w:adjustRightInd w:val="0"/>
      <w:spacing w:before="240"/>
      <w:ind w:left="360"/>
    </w:pPr>
    <w:rPr>
      <w:rFonts w:eastAsia="SimSun"/>
      <w:b/>
      <w:bCs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rsid w:val="00CA5B99"/>
    <w:rPr>
      <w:rFonts w:ascii="Arial" w:hAnsi="Arial"/>
      <w:b/>
      <w:sz w:val="22"/>
      <w:lang w:val="en-GB"/>
    </w:rPr>
  </w:style>
  <w:style w:type="table" w:styleId="TableGrid">
    <w:name w:val="Table Grid"/>
    <w:basedOn w:val="TableNormal"/>
    <w:rsid w:val="00B961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B0035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rsid w:val="003B437F"/>
    <w:rPr>
      <w:sz w:val="18"/>
      <w:szCs w:val="18"/>
    </w:rPr>
  </w:style>
  <w:style w:type="paragraph" w:styleId="CommentText">
    <w:name w:val="annotation text"/>
    <w:basedOn w:val="Normal"/>
    <w:link w:val="CommentTextChar"/>
    <w:rsid w:val="003B437F"/>
  </w:style>
  <w:style w:type="character" w:customStyle="1" w:styleId="CommentTextChar">
    <w:name w:val="Comment Text Char"/>
    <w:basedOn w:val="DefaultParagraphFont"/>
    <w:link w:val="CommentText"/>
    <w:rsid w:val="003B43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B43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B437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3B43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437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D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5B99"/>
    <w:pPr>
      <w:keepNext/>
      <w:jc w:val="both"/>
      <w:outlineLvl w:val="0"/>
    </w:pPr>
    <w:rPr>
      <w:rFonts w:ascii="Arial" w:hAnsi="Arial"/>
      <w:b/>
      <w:sz w:val="22"/>
      <w:szCs w:val="20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03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5E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81A"/>
    <w:pPr>
      <w:ind w:left="720"/>
      <w:contextualSpacing/>
    </w:pPr>
  </w:style>
  <w:style w:type="paragraph" w:customStyle="1" w:styleId="FR1">
    <w:name w:val="FR1"/>
    <w:rsid w:val="00CA5B99"/>
    <w:pPr>
      <w:widowControl w:val="0"/>
      <w:autoSpaceDE w:val="0"/>
      <w:autoSpaceDN w:val="0"/>
      <w:adjustRightInd w:val="0"/>
      <w:spacing w:before="240"/>
      <w:ind w:left="360"/>
    </w:pPr>
    <w:rPr>
      <w:rFonts w:eastAsia="SimSun"/>
      <w:b/>
      <w:bCs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rsid w:val="00CA5B99"/>
    <w:rPr>
      <w:rFonts w:ascii="Arial" w:hAnsi="Arial"/>
      <w:b/>
      <w:sz w:val="22"/>
      <w:lang w:val="en-GB"/>
    </w:rPr>
  </w:style>
  <w:style w:type="table" w:styleId="TableGrid">
    <w:name w:val="Table Grid"/>
    <w:basedOn w:val="TableNormal"/>
    <w:rsid w:val="00B961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B0035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rsid w:val="003B437F"/>
    <w:rPr>
      <w:sz w:val="18"/>
      <w:szCs w:val="18"/>
    </w:rPr>
  </w:style>
  <w:style w:type="paragraph" w:styleId="CommentText">
    <w:name w:val="annotation text"/>
    <w:basedOn w:val="Normal"/>
    <w:link w:val="CommentTextChar"/>
    <w:rsid w:val="003B437F"/>
  </w:style>
  <w:style w:type="character" w:customStyle="1" w:styleId="CommentTextChar">
    <w:name w:val="Comment Text Char"/>
    <w:basedOn w:val="DefaultParagraphFont"/>
    <w:link w:val="CommentText"/>
    <w:rsid w:val="003B43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B43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B437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3B43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437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1010</Words>
  <Characters>5762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6759</CharactersWithSpaces>
  <SharedDoc>false</SharedDoc>
  <HLinks>
    <vt:vector size="6" baseType="variant">
      <vt:variant>
        <vt:i4>1179684</vt:i4>
      </vt:variant>
      <vt:variant>
        <vt:i4>0</vt:i4>
      </vt:variant>
      <vt:variant>
        <vt:i4>0</vt:i4>
      </vt:variant>
      <vt:variant>
        <vt:i4>5</vt:i4>
      </vt:variant>
      <vt:variant>
        <vt:lpwstr>mailto:jessicahdz@gmail.com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Rosie</dc:creator>
  <cp:lastModifiedBy>Luke Vernon</cp:lastModifiedBy>
  <cp:revision>2</cp:revision>
  <cp:lastPrinted>2012-08-20T18:34:00Z</cp:lastPrinted>
  <dcterms:created xsi:type="dcterms:W3CDTF">2015-02-09T06:31:00Z</dcterms:created>
  <dcterms:modified xsi:type="dcterms:W3CDTF">2015-02-09T06:31:00Z</dcterms:modified>
</cp:coreProperties>
</file>