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Libre Baskerville" w:cs="Libre Baskerville" w:eastAsia="Libre Baskerville" w:hAnsi="Libre Baskerville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2403.0" w:type="dxa"/>
        <w:jc w:val="left"/>
        <w:tblInd w:w="722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34"/>
        <w:gridCol w:w="1269"/>
        <w:tblGridChange w:id="0">
          <w:tblGrid>
            <w:gridCol w:w="1134"/>
            <w:gridCol w:w="12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rFonts w:ascii="Libre Baskerville" w:cs="Libre Baskerville" w:eastAsia="Libre Baskerville" w:hAnsi="Libre Baskerville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b w:val="1"/>
                <w:sz w:val="24"/>
                <w:szCs w:val="24"/>
                <w:rtl w:val="0"/>
              </w:rPr>
              <w:t xml:space="preserve">Mark</w:t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rFonts w:ascii="Libre Baskerville" w:cs="Libre Baskerville" w:eastAsia="Libre Baskerville" w:hAnsi="Libre Baskerville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b w:val="1"/>
                <w:sz w:val="24"/>
                <w:szCs w:val="24"/>
                <w:rtl w:val="0"/>
              </w:rPr>
              <w:t xml:space="preserve">/</w:t>
            </w:r>
          </w:p>
        </w:tc>
      </w:tr>
    </w:tbl>
    <w:p w:rsidR="00000000" w:rsidDel="00000000" w:rsidP="00000000" w:rsidRDefault="00000000" w:rsidRPr="00000000" w14:paraId="00000004">
      <w:pPr>
        <w:jc w:val="right"/>
        <w:rPr>
          <w:rFonts w:ascii="Libre Baskerville" w:cs="Libre Baskerville" w:eastAsia="Libre Baskerville" w:hAnsi="Libre Baskervill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1925"/>
        <w:gridCol w:w="1926"/>
        <w:gridCol w:w="3520"/>
        <w:tblGridChange w:id="0">
          <w:tblGrid>
            <w:gridCol w:w="2263"/>
            <w:gridCol w:w="1925"/>
            <w:gridCol w:w="1926"/>
            <w:gridCol w:w="35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4"/>
                <w:szCs w:val="24"/>
                <w:rtl w:val="0"/>
              </w:rPr>
              <w:t xml:space="preserve">Team name:</w:t>
            </w:r>
          </w:p>
        </w:tc>
        <w:tc>
          <w:tcPr>
            <w:gridSpan w:val="3"/>
            <w:shd w:fill="fff2cc" w:val="clear"/>
          </w:tcPr>
          <w:p w:rsidR="00000000" w:rsidDel="00000000" w:rsidP="00000000" w:rsidRDefault="00000000" w:rsidRPr="00000000" w14:paraId="00000006">
            <w:pPr>
              <w:rPr>
                <w:rFonts w:ascii="Libre Baskerville" w:cs="Libre Baskerville" w:eastAsia="Libre Baskerville" w:hAnsi="Libre Baskerville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i w:val="1"/>
                <w:sz w:val="24"/>
                <w:szCs w:val="24"/>
                <w:rtl w:val="0"/>
              </w:rPr>
              <w:t xml:space="preserve">A6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4"/>
                <w:szCs w:val="24"/>
                <w:rtl w:val="0"/>
              </w:rPr>
              <w:t xml:space="preserve">Homework number:</w:t>
            </w:r>
          </w:p>
        </w:tc>
        <w:tc>
          <w:tcPr>
            <w:gridSpan w:val="3"/>
            <w:shd w:fill="fff2cc" w:val="clear"/>
          </w:tcPr>
          <w:p w:rsidR="00000000" w:rsidDel="00000000" w:rsidP="00000000" w:rsidRDefault="00000000" w:rsidRPr="00000000" w14:paraId="0000000A">
            <w:pPr>
              <w:rPr>
                <w:rFonts w:ascii="Libre Baskerville" w:cs="Libre Baskerville" w:eastAsia="Libre Baskerville" w:hAnsi="Libre Baskerville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i w:val="1"/>
                <w:sz w:val="24"/>
                <w:szCs w:val="24"/>
                <w:rtl w:val="0"/>
              </w:rPr>
              <w:t xml:space="preserve">Homework 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4"/>
                <w:szCs w:val="24"/>
                <w:rtl w:val="0"/>
              </w:rPr>
              <w:t xml:space="preserve">Due date:</w:t>
            </w:r>
          </w:p>
        </w:tc>
        <w:tc>
          <w:tcPr>
            <w:gridSpan w:val="3"/>
            <w:shd w:fill="fff2cc" w:val="clear"/>
          </w:tcPr>
          <w:p w:rsidR="00000000" w:rsidDel="00000000" w:rsidP="00000000" w:rsidRDefault="00000000" w:rsidRPr="00000000" w14:paraId="0000000E">
            <w:pPr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4"/>
                <w:szCs w:val="24"/>
                <w:rtl w:val="0"/>
              </w:rPr>
              <w:t xml:space="preserve">26/10/25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4"/>
                <w:szCs w:val="24"/>
                <w:rtl w:val="0"/>
              </w:rPr>
              <w:t xml:space="preserve">Contribution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4"/>
                <w:szCs w:val="24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4"/>
                <w:szCs w:val="24"/>
                <w:rtl w:val="0"/>
              </w:rPr>
              <w:t xml:space="preserve">Partial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4"/>
                <w:szCs w:val="24"/>
                <w:rtl w:val="0"/>
              </w:rPr>
              <w:t xml:space="preserve">Full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19">
            <w:pPr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4"/>
                <w:szCs w:val="24"/>
                <w:rtl w:val="0"/>
              </w:rPr>
              <w:t xml:space="preserve">Diego Alexander Suarez Mejia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Libre Baskerville" w:cs="Libre Baskerville" w:eastAsia="Libre Baskerville" w:hAnsi="Libre Baskerville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Libre Baskerville" w:cs="Libre Baskerville" w:eastAsia="Libre Baskerville" w:hAnsi="Libre Baskerville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Libre Baskerville" w:cs="Libre Baskerville" w:eastAsia="Libre Baskerville" w:hAnsi="Libre Baskerville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i w:val="1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1D">
            <w:pPr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4"/>
                <w:szCs w:val="24"/>
                <w:rtl w:val="0"/>
              </w:rPr>
              <w:t xml:space="preserve">Mohanesh Ravi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Libre Baskerville" w:cs="Libre Baskerville" w:eastAsia="Libre Baskerville" w:hAnsi="Libre Baskerville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Libre Baskerville" w:cs="Libre Baskerville" w:eastAsia="Libre Baskerville" w:hAnsi="Libre Baskerville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Libre Baskerville" w:cs="Libre Baskerville" w:eastAsia="Libre Baskerville" w:hAnsi="Libre Baskerville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i w:val="1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21">
            <w:pPr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4"/>
                <w:szCs w:val="24"/>
                <w:rtl w:val="0"/>
              </w:rPr>
              <w:t xml:space="preserve">Luis Rubianes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Libre Baskerville" w:cs="Libre Baskerville" w:eastAsia="Libre Baskerville" w:hAnsi="Libre Baskerville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Libre Baskerville" w:cs="Libre Baskerville" w:eastAsia="Libre Baskerville" w:hAnsi="Libre Baskerville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Libre Baskerville" w:cs="Libre Baskerville" w:eastAsia="Libre Baskerville" w:hAnsi="Libre Baskerville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i w:val="1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25">
            <w:pPr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4"/>
                <w:szCs w:val="24"/>
                <w:rtl w:val="0"/>
              </w:rPr>
              <w:t xml:space="preserve">Rodrigo Barrero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Libre Baskerville" w:cs="Libre Baskerville" w:eastAsia="Libre Baskerville" w:hAnsi="Libre Baskerville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Libre Baskerville" w:cs="Libre Baskerville" w:eastAsia="Libre Baskerville" w:hAnsi="Libre Baskerville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Libre Baskerville" w:cs="Libre Baskerville" w:eastAsia="Libre Baskerville" w:hAnsi="Libre Baskerville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i w:val="1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29">
            <w:pPr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4"/>
                <w:szCs w:val="24"/>
                <w:rtl w:val="0"/>
              </w:rPr>
              <w:t xml:space="preserve">Pedro Augusto Cardoso Campos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Libre Baskerville" w:cs="Libre Baskerville" w:eastAsia="Libre Baskerville" w:hAnsi="Libre Baskerville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Libre Baskerville" w:cs="Libre Baskerville" w:eastAsia="Libre Baskerville" w:hAnsi="Libre Baskerville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Libre Baskerville" w:cs="Libre Baskerville" w:eastAsia="Libre Baskerville" w:hAnsi="Libre Baskerville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i w:val="1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fff2cc" w:val="clear"/>
          </w:tcPr>
          <w:p w:rsidR="00000000" w:rsidDel="00000000" w:rsidP="00000000" w:rsidRDefault="00000000" w:rsidRPr="00000000" w14:paraId="0000002D">
            <w:pPr>
              <w:rPr>
                <w:rFonts w:ascii="Libre Baskerville" w:cs="Libre Baskerville" w:eastAsia="Libre Baskerville" w:hAnsi="Libre Baskerville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4"/>
                <w:szCs w:val="24"/>
                <w:rtl w:val="0"/>
              </w:rPr>
              <w:t xml:space="preserve">Notes:  none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>
          <w:rFonts w:ascii="Libre Baskerville" w:cs="Libre Baskerville" w:eastAsia="Libre Baskerville" w:hAnsi="Libre Baskervil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Libre Baskerville" w:cs="Libre Baskerville" w:eastAsia="Libre Baskerville" w:hAnsi="Libre Baskervill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7"/>
        <w:gridCol w:w="2407"/>
        <w:gridCol w:w="2407"/>
        <w:gridCol w:w="2407"/>
        <w:tblGridChange w:id="0">
          <w:tblGrid>
            <w:gridCol w:w="2407"/>
            <w:gridCol w:w="2407"/>
            <w:gridCol w:w="2407"/>
            <w:gridCol w:w="240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4"/>
                <w:szCs w:val="24"/>
                <w:rtl w:val="0"/>
              </w:rPr>
              <w:t xml:space="preserve">Project name</w:t>
            </w:r>
          </w:p>
        </w:tc>
        <w:tc>
          <w:tcPr>
            <w:gridSpan w:val="3"/>
            <w:shd w:fill="fff2cc" w:val="clear"/>
          </w:tcPr>
          <w:p w:rsidR="00000000" w:rsidDel="00000000" w:rsidP="00000000" w:rsidRDefault="00000000" w:rsidRPr="00000000" w14:paraId="00000034">
            <w:pPr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4"/>
                <w:szCs w:val="24"/>
                <w:rtl w:val="0"/>
              </w:rPr>
              <w:t xml:space="preserve">Not done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4"/>
                <w:szCs w:val="24"/>
                <w:rtl w:val="0"/>
              </w:rPr>
              <w:t xml:space="preserve">Partially done </w:t>
              <w:br w:type="textWrapping"/>
              <w:t xml:space="preserve">(major problems)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4"/>
                <w:szCs w:val="24"/>
                <w:rtl w:val="0"/>
              </w:rPr>
              <w:t xml:space="preserve">Partially done </w:t>
              <w:br w:type="textWrapping"/>
              <w:t xml:space="preserve">(minor problems)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4"/>
                <w:szCs w:val="24"/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Libre Baskerville" w:cs="Libre Baskerville" w:eastAsia="Libre Baskerville" w:hAnsi="Libre Baskerville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Libre Baskerville" w:cs="Libre Baskerville" w:eastAsia="Libre Baskerville" w:hAnsi="Libre Baskerville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Libre Baskerville" w:cs="Libre Baskerville" w:eastAsia="Libre Baskerville" w:hAnsi="Libre Baskerville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Libre Baskerville" w:cs="Libre Baskerville" w:eastAsia="Libre Baskerville" w:hAnsi="Libre Baskerville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i w:val="1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rHeight w:val="3120" w:hRule="atLeast"/>
          <w:tblHeader w:val="0"/>
        </w:trPr>
        <w:tc>
          <w:tcPr>
            <w:gridSpan w:val="4"/>
            <w:shd w:fill="fff2cc" w:val="clear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rFonts w:ascii="Libre Baskerville" w:cs="Libre Baskerville" w:eastAsia="Libre Baskerville" w:hAnsi="Libre Baskerville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b w:val="1"/>
                <w:sz w:val="24"/>
                <w:szCs w:val="24"/>
                <w:rtl w:val="0"/>
              </w:rPr>
              <w:t xml:space="preserve">Introduction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Libre Baskerville" w:cs="Libre Baskerville" w:eastAsia="Libre Baskerville" w:hAnsi="Libre Baskerville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color w:val="000000"/>
                <w:sz w:val="24"/>
                <w:szCs w:val="24"/>
                <w:rtl w:val="0"/>
              </w:rPr>
              <w:t xml:space="preserve">This report describes the procedure and results of Homework </w:t>
            </w:r>
            <w:r w:rsidDel="00000000" w:rsidR="00000000" w:rsidRPr="00000000">
              <w:rPr>
                <w:rFonts w:ascii="Libre Baskerville" w:cs="Libre Baskerville" w:eastAsia="Libre Baskerville" w:hAnsi="Libre Baskerville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Libre Baskerville" w:cs="Libre Baskerville" w:eastAsia="Libre Baskerville" w:hAnsi="Libre Baskerville"/>
                <w:color w:val="000000"/>
                <w:sz w:val="24"/>
                <w:szCs w:val="24"/>
                <w:rtl w:val="0"/>
              </w:rPr>
              <w:t xml:space="preserve">, which assesses the knowledge acquired during the laboratory session on </w:t>
            </w:r>
            <w:r w:rsidDel="00000000" w:rsidR="00000000" w:rsidRPr="00000000">
              <w:rPr>
                <w:rFonts w:ascii="Libre Baskerville" w:cs="Libre Baskerville" w:eastAsia="Libre Baskerville" w:hAnsi="Libre Baskerville"/>
                <w:sz w:val="24"/>
                <w:szCs w:val="24"/>
                <w:rtl w:val="0"/>
              </w:rPr>
              <w:t xml:space="preserve">UART and ADC.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Libre Baskerville" w:cs="Libre Baskerville" w:eastAsia="Libre Baskerville" w:hAnsi="Libre Baskerville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color w:val="000000"/>
                <w:sz w:val="24"/>
                <w:szCs w:val="24"/>
                <w:rtl w:val="0"/>
              </w:rPr>
              <w:t xml:space="preserve">The assignment consisted of: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rFonts w:ascii="Libre Baskerville" w:cs="Libre Baskerville" w:eastAsia="Libre Baskerville" w:hAnsi="Libre Baskerville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4"/>
                <w:szCs w:val="24"/>
                <w:rtl w:val="0"/>
              </w:rPr>
              <w:t xml:space="preserve">Acquire LDR resistance value every ms and to send its average value to a remote terminal every 1s. Then convert the resistance value to a lux level and send that to the remote terminal.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53" w:hRule="atLeast"/>
          <w:tblHeader w:val="0"/>
        </w:trPr>
        <w:tc>
          <w:tcPr>
            <w:gridSpan w:val="4"/>
            <w:shd w:fill="fff2cc" w:val="clear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rFonts w:ascii="Libre Baskerville" w:cs="Libre Baskerville" w:eastAsia="Libre Baskerville" w:hAnsi="Libre Baskerville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b w:val="1"/>
                <w:sz w:val="24"/>
                <w:szCs w:val="24"/>
                <w:rtl w:val="0"/>
              </w:rPr>
              <w:t xml:space="preserve">Procedure:</w:t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4"/>
                <w:szCs w:val="24"/>
                <w:rtl w:val="0"/>
              </w:rPr>
              <w:t xml:space="preserve">For this project, we’ve used the ADC to read the value LDR resistance (PIN IN_PA0) and then used the USART connectivity to transmit the value to the PC.</w:t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4"/>
                <w:szCs w:val="24"/>
              </w:rPr>
              <w:drawing>
                <wp:inline distB="114300" distT="114300" distL="114300" distR="114300">
                  <wp:extent cx="2407880" cy="2279459"/>
                  <wp:effectExtent b="0" l="0" r="0" t="0"/>
                  <wp:docPr id="169238636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880" cy="22794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lineRule="auto"/>
              <w:jc w:val="center"/>
              <w:rPr>
                <w:rFonts w:ascii="Libre Baskerville" w:cs="Libre Baskerville" w:eastAsia="Libre Baskerville" w:hAnsi="Libre Baskerville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b w:val="1"/>
                <w:i w:val="1"/>
                <w:sz w:val="24"/>
                <w:szCs w:val="24"/>
                <w:rtl w:val="0"/>
              </w:rPr>
              <w:t xml:space="preserve">Figure 1.</w:t>
            </w:r>
            <w:r w:rsidDel="00000000" w:rsidR="00000000" w:rsidRPr="00000000">
              <w:rPr>
                <w:rFonts w:ascii="Libre Baskerville" w:cs="Libre Baskerville" w:eastAsia="Libre Baskerville" w:hAnsi="Libre Baskerville"/>
                <w:i w:val="1"/>
                <w:sz w:val="24"/>
                <w:szCs w:val="24"/>
                <w:rtl w:val="0"/>
              </w:rPr>
              <w:t xml:space="preserve"> Pinout configuration</w:t>
            </w:r>
          </w:p>
          <w:p w:rsidR="00000000" w:rsidDel="00000000" w:rsidP="00000000" w:rsidRDefault="00000000" w:rsidRPr="00000000" w14:paraId="0000004B">
            <w:pPr>
              <w:spacing w:after="0" w:lineRule="auto"/>
              <w:jc w:val="center"/>
              <w:rPr>
                <w:rFonts w:ascii="Libre Baskerville" w:cs="Libre Baskerville" w:eastAsia="Libre Baskerville" w:hAnsi="Libre Baskerville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Libre Baskerville" w:cs="Libre Baskerville" w:eastAsia="Libre Baskerville" w:hAnsi="Libre Baskerville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4"/>
                <w:szCs w:val="24"/>
                <w:rtl w:val="0"/>
              </w:rPr>
              <w:t xml:space="preserve">The first step was to check that the USART connectivity was properly enabled (through pins PA2 and PA3) and configured. Figure 2. shows the parameters.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Libre Baskerville" w:cs="Libre Baskerville" w:eastAsia="Libre Baskerville" w:hAnsi="Libre Baskerville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lineRule="auto"/>
              <w:jc w:val="center"/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i w:val="1"/>
                <w:sz w:val="24"/>
                <w:szCs w:val="24"/>
              </w:rPr>
              <w:drawing>
                <wp:inline distB="114300" distT="114300" distL="114300" distR="114300">
                  <wp:extent cx="2818448" cy="1285917"/>
                  <wp:effectExtent b="0" l="0" r="0" t="0"/>
                  <wp:docPr id="169238637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8448" cy="12859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lineRule="auto"/>
              <w:jc w:val="center"/>
              <w:rPr>
                <w:rFonts w:ascii="Libre Baskerville" w:cs="Libre Baskerville" w:eastAsia="Libre Baskerville" w:hAnsi="Libre Baskerville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b w:val="1"/>
                <w:i w:val="1"/>
                <w:sz w:val="24"/>
                <w:szCs w:val="24"/>
                <w:rtl w:val="0"/>
              </w:rPr>
              <w:t xml:space="preserve">Figure 2.</w:t>
            </w:r>
            <w:r w:rsidDel="00000000" w:rsidR="00000000" w:rsidRPr="00000000">
              <w:rPr>
                <w:rFonts w:ascii="Libre Baskerville" w:cs="Libre Baskerville" w:eastAsia="Libre Baskerville" w:hAnsi="Libre Baskerville"/>
                <w:i w:val="1"/>
                <w:sz w:val="24"/>
                <w:szCs w:val="24"/>
                <w:rtl w:val="0"/>
              </w:rPr>
              <w:t xml:space="preserve"> USART2 Parameter Settings</w:t>
            </w:r>
          </w:p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Libre Baskerville" w:cs="Libre Baskerville" w:eastAsia="Libre Baskerville" w:hAnsi="Libre Baskerville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4"/>
                <w:szCs w:val="24"/>
                <w:rtl w:val="0"/>
              </w:rPr>
              <w:t xml:space="preserve">The next step was to configure the ADC to receive the LDR signals, for this we used the IN0, which is connected to the LDR resistance.</w:t>
            </w:r>
          </w:p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4"/>
                <w:szCs w:val="24"/>
                <w:rtl w:val="0"/>
              </w:rPr>
              <w:t xml:space="preserve">For this channel, we’ve done the following configurations. Enable DMA in circular mode and Half Word for the memory. A Word is composed of co bits, for this case, 16 bits is enough for the resistance value, therefore it is more efficient to use a half word, reducing the possibility of finding an error due to the second half of the word that does not contain information. </w:t>
            </w:r>
          </w:p>
          <w:p w:rsidR="00000000" w:rsidDel="00000000" w:rsidP="00000000" w:rsidRDefault="00000000" w:rsidRPr="00000000" w14:paraId="00000054">
            <w:pPr>
              <w:spacing w:after="0" w:lineRule="auto"/>
              <w:jc w:val="center"/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i w:val="1"/>
                <w:sz w:val="24"/>
                <w:szCs w:val="24"/>
              </w:rPr>
              <w:drawing>
                <wp:inline distB="114300" distT="114300" distL="114300" distR="114300">
                  <wp:extent cx="3408998" cy="1628259"/>
                  <wp:effectExtent b="0" l="0" r="0" t="0"/>
                  <wp:docPr id="1692386369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998" cy="16282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lineRule="auto"/>
              <w:jc w:val="center"/>
              <w:rPr>
                <w:rFonts w:ascii="Libre Baskerville" w:cs="Libre Baskerville" w:eastAsia="Libre Baskerville" w:hAnsi="Libre Baskerville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b w:val="1"/>
                <w:i w:val="1"/>
                <w:sz w:val="24"/>
                <w:szCs w:val="24"/>
                <w:rtl w:val="0"/>
              </w:rPr>
              <w:t xml:space="preserve">Figure 2.</w:t>
            </w:r>
            <w:r w:rsidDel="00000000" w:rsidR="00000000" w:rsidRPr="00000000">
              <w:rPr>
                <w:rFonts w:ascii="Libre Baskerville" w:cs="Libre Baskerville" w:eastAsia="Libre Baskerville" w:hAnsi="Libre Baskerville"/>
                <w:i w:val="1"/>
                <w:sz w:val="24"/>
                <w:szCs w:val="24"/>
                <w:rtl w:val="0"/>
              </w:rPr>
              <w:t xml:space="preserve"> ADC DMA Settings</w:t>
            </w:r>
          </w:p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4"/>
                <w:szCs w:val="24"/>
                <w:rtl w:val="0"/>
              </w:rPr>
              <w:t xml:space="preserve">We enabled the ADC global interrupt.</w:t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i w:val="1"/>
                <w:sz w:val="24"/>
                <w:szCs w:val="24"/>
              </w:rPr>
              <w:drawing>
                <wp:inline distB="114300" distT="114300" distL="114300" distR="114300">
                  <wp:extent cx="3061893" cy="727266"/>
                  <wp:effectExtent b="0" l="0" r="0" t="0"/>
                  <wp:docPr id="169238637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1893" cy="7272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4"/>
                <w:szCs w:val="24"/>
                <w:rtl w:val="0"/>
              </w:rPr>
              <w:t xml:space="preserve">The following parameters were modified </w:t>
            </w:r>
          </w:p>
          <w:p w:rsidR="00000000" w:rsidDel="00000000" w:rsidP="00000000" w:rsidRDefault="00000000" w:rsidRPr="00000000" w14:paraId="0000005A">
            <w:pPr>
              <w:spacing w:after="0" w:lineRule="auto"/>
              <w:jc w:val="center"/>
              <w:rPr>
                <w:rFonts w:ascii="Libre Baskerville" w:cs="Libre Baskerville" w:eastAsia="Libre Baskerville" w:hAnsi="Libre Baskerville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b w:val="1"/>
                <w:i w:val="1"/>
                <w:sz w:val="24"/>
                <w:szCs w:val="24"/>
                <w:rtl w:val="0"/>
              </w:rPr>
              <w:t xml:space="preserve">Figure 2.</w:t>
            </w:r>
            <w:r w:rsidDel="00000000" w:rsidR="00000000" w:rsidRPr="00000000">
              <w:rPr>
                <w:rFonts w:ascii="Libre Baskerville" w:cs="Libre Baskerville" w:eastAsia="Libre Baskerville" w:hAnsi="Libre Baskerville"/>
                <w:i w:val="1"/>
                <w:sz w:val="24"/>
                <w:szCs w:val="24"/>
                <w:rtl w:val="0"/>
              </w:rPr>
              <w:t xml:space="preserve"> Interrupt Table</w:t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i w:val="1"/>
                <w:sz w:val="24"/>
                <w:szCs w:val="24"/>
              </w:rPr>
              <w:drawing>
                <wp:inline distB="114300" distT="114300" distL="114300" distR="114300">
                  <wp:extent cx="3786566" cy="2051545"/>
                  <wp:effectExtent b="0" l="0" r="0" t="0"/>
                  <wp:docPr id="1692386371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6566" cy="20515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lineRule="auto"/>
              <w:jc w:val="center"/>
              <w:rPr>
                <w:rFonts w:ascii="Libre Baskerville" w:cs="Libre Baskerville" w:eastAsia="Libre Baskerville" w:hAnsi="Libre Baskerville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b w:val="1"/>
                <w:i w:val="1"/>
                <w:sz w:val="24"/>
                <w:szCs w:val="24"/>
                <w:rtl w:val="0"/>
              </w:rPr>
              <w:t xml:space="preserve">Figure 2.</w:t>
            </w:r>
            <w:r w:rsidDel="00000000" w:rsidR="00000000" w:rsidRPr="00000000">
              <w:rPr>
                <w:rFonts w:ascii="Libre Baskerville" w:cs="Libre Baskerville" w:eastAsia="Libre Baskerville" w:hAnsi="Libre Baskerville"/>
                <w:i w:val="1"/>
                <w:sz w:val="24"/>
                <w:szCs w:val="24"/>
                <w:rtl w:val="0"/>
              </w:rPr>
              <w:t xml:space="preserve"> ADCParameter Settings</w:t>
            </w:r>
          </w:p>
          <w:p w:rsidR="00000000" w:rsidDel="00000000" w:rsidP="00000000" w:rsidRDefault="00000000" w:rsidRPr="00000000" w14:paraId="0000005D">
            <w:pPr>
              <w:spacing w:after="0" w:lineRule="auto"/>
              <w:jc w:val="center"/>
              <w:rPr>
                <w:rFonts w:ascii="Libre Baskerville" w:cs="Libre Baskerville" w:eastAsia="Libre Baskerville" w:hAnsi="Libre Baskerville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i w:val="1"/>
                <w:sz w:val="24"/>
                <w:szCs w:val="24"/>
              </w:rPr>
              <w:drawing>
                <wp:inline distB="114300" distT="114300" distL="114300" distR="114300">
                  <wp:extent cx="3789998" cy="1442924"/>
                  <wp:effectExtent b="0" l="0" r="0" t="0"/>
                  <wp:docPr id="169238636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9998" cy="14429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lineRule="auto"/>
              <w:jc w:val="center"/>
              <w:rPr>
                <w:rFonts w:ascii="Libre Baskerville" w:cs="Libre Baskerville" w:eastAsia="Libre Baskerville" w:hAnsi="Libre Baskerville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b w:val="1"/>
                <w:i w:val="1"/>
                <w:sz w:val="24"/>
                <w:szCs w:val="24"/>
                <w:rtl w:val="0"/>
              </w:rPr>
              <w:t xml:space="preserve">Figure 2.</w:t>
            </w:r>
            <w:r w:rsidDel="00000000" w:rsidR="00000000" w:rsidRPr="00000000">
              <w:rPr>
                <w:rFonts w:ascii="Libre Baskerville" w:cs="Libre Baskerville" w:eastAsia="Libre Baskerville" w:hAnsi="Libre Baskerville"/>
                <w:i w:val="1"/>
                <w:sz w:val="24"/>
                <w:szCs w:val="24"/>
                <w:rtl w:val="0"/>
              </w:rPr>
              <w:t xml:space="preserve"> Timer Parameter Settings</w:t>
            </w:r>
          </w:p>
          <w:p w:rsidR="00000000" w:rsidDel="00000000" w:rsidP="00000000" w:rsidRDefault="00000000" w:rsidRPr="00000000" w14:paraId="0000005F">
            <w:pPr>
              <w:spacing w:after="0" w:lineRule="auto"/>
              <w:jc w:val="center"/>
              <w:rPr>
                <w:rFonts w:ascii="Libre Baskerville" w:cs="Libre Baskerville" w:eastAsia="Libre Baskerville" w:hAnsi="Libre Baskerville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4"/>
                <w:szCs w:val="24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61">
            <w:pPr>
              <w:jc w:val="center"/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4"/>
                <w:szCs w:val="24"/>
              </w:rPr>
              <w:drawing>
                <wp:inline distB="114300" distT="114300" distL="114300" distR="114300">
                  <wp:extent cx="2394585" cy="1808754"/>
                  <wp:effectExtent b="0" l="0" r="0" t="0"/>
                  <wp:docPr id="169238636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4585" cy="18087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lineRule="auto"/>
              <w:jc w:val="center"/>
              <w:rPr>
                <w:rFonts w:ascii="Libre Baskerville" w:cs="Libre Baskerville" w:eastAsia="Libre Baskerville" w:hAnsi="Libre Baskerville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b w:val="1"/>
                <w:i w:val="1"/>
                <w:sz w:val="24"/>
                <w:szCs w:val="24"/>
                <w:rtl w:val="0"/>
              </w:rPr>
              <w:t xml:space="preserve">Figure 3.</w:t>
            </w:r>
            <w:r w:rsidDel="00000000" w:rsidR="00000000" w:rsidRPr="00000000">
              <w:rPr>
                <w:rFonts w:ascii="Libre Baskerville" w:cs="Libre Baskerville" w:eastAsia="Libre Baskerville" w:hAnsi="Libre Baskervill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Libre Baskerville" w:cs="Libre Baskerville" w:eastAsia="Libre Baskerville" w:hAnsi="Libre Baskerville"/>
                <w:i w:val="1"/>
                <w:sz w:val="24"/>
                <w:szCs w:val="24"/>
                <w:rtl w:val="0"/>
              </w:rPr>
              <w:t xml:space="preserve">Declaration of variables</w:t>
            </w:r>
          </w:p>
          <w:p w:rsidR="00000000" w:rsidDel="00000000" w:rsidP="00000000" w:rsidRDefault="00000000" w:rsidRPr="00000000" w14:paraId="00000063">
            <w:pPr>
              <w:spacing w:after="0" w:lineRule="auto"/>
              <w:jc w:val="both"/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lineRule="auto"/>
              <w:jc w:val="center"/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4"/>
                <w:szCs w:val="24"/>
              </w:rPr>
              <w:drawing>
                <wp:inline distB="114300" distT="114300" distL="114300" distR="114300">
                  <wp:extent cx="3160088" cy="312458"/>
                  <wp:effectExtent b="0" l="0" r="0" t="0"/>
                  <wp:docPr id="169238636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0088" cy="3124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lineRule="auto"/>
              <w:jc w:val="center"/>
              <w:rPr>
                <w:rFonts w:ascii="Libre Baskerville" w:cs="Libre Baskerville" w:eastAsia="Libre Baskerville" w:hAnsi="Libre Baskerville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b w:val="1"/>
                <w:i w:val="1"/>
                <w:sz w:val="24"/>
                <w:szCs w:val="24"/>
                <w:rtl w:val="0"/>
              </w:rPr>
              <w:t xml:space="preserve">Figure 4.</w:t>
            </w:r>
            <w:r w:rsidDel="00000000" w:rsidR="00000000" w:rsidRPr="00000000">
              <w:rPr>
                <w:rFonts w:ascii="Libre Baskerville" w:cs="Libre Baskerville" w:eastAsia="Libre Baskerville" w:hAnsi="Libre Baskervill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Libre Baskerville" w:cs="Libre Baskerville" w:eastAsia="Libre Baskerville" w:hAnsi="Libre Baskerville"/>
                <w:i w:val="1"/>
                <w:sz w:val="24"/>
                <w:szCs w:val="24"/>
                <w:rtl w:val="0"/>
              </w:rPr>
              <w:t xml:space="preserve">Initialization of timer and ADC</w:t>
            </w:r>
          </w:p>
          <w:p w:rsidR="00000000" w:rsidDel="00000000" w:rsidP="00000000" w:rsidRDefault="00000000" w:rsidRPr="00000000" w14:paraId="00000066">
            <w:pPr>
              <w:spacing w:after="0" w:lineRule="auto"/>
              <w:jc w:val="both"/>
              <w:rPr>
                <w:rFonts w:ascii="Libre Baskerville" w:cs="Libre Baskerville" w:eastAsia="Libre Baskerville" w:hAnsi="Libre Baskerville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lineRule="auto"/>
              <w:jc w:val="both"/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4"/>
                <w:szCs w:val="24"/>
                <w:rtl w:val="0"/>
              </w:rPr>
              <w:t xml:space="preserve">Lastly, we need to implement the </w:t>
            </w:r>
            <w:r w:rsidDel="00000000" w:rsidR="00000000" w:rsidRPr="00000000">
              <w:rPr>
                <w:rFonts w:ascii="Libre Baskerville" w:cs="Libre Baskerville" w:eastAsia="Libre Baskerville" w:hAnsi="Libre Baskerville"/>
                <w:i w:val="1"/>
                <w:sz w:val="24"/>
                <w:szCs w:val="24"/>
                <w:rtl w:val="0"/>
              </w:rPr>
              <w:t xml:space="preserve">HAL_ADC_HalfCpltCallback</w:t>
            </w:r>
            <w:r w:rsidDel="00000000" w:rsidR="00000000" w:rsidRPr="00000000">
              <w:rPr>
                <w:rFonts w:ascii="Libre Baskerville" w:cs="Libre Baskerville" w:eastAsia="Libre Baskerville" w:hAnsi="Libre Baskerville"/>
                <w:sz w:val="24"/>
                <w:szCs w:val="24"/>
                <w:rtl w:val="0"/>
              </w:rPr>
              <w:t xml:space="preserve"> function. In this callback, we iterate through the meaningful values stored in the buffer, calculate their average, and then use that average to determine the corresponding resistance and lux levels.</w:t>
            </w:r>
          </w:p>
          <w:p w:rsidR="00000000" w:rsidDel="00000000" w:rsidP="00000000" w:rsidRDefault="00000000" w:rsidRPr="00000000" w14:paraId="00000068">
            <w:pPr>
              <w:spacing w:after="0" w:lineRule="auto"/>
              <w:jc w:val="both"/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lineRule="auto"/>
              <w:jc w:val="center"/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4"/>
                <w:szCs w:val="24"/>
              </w:rPr>
              <w:drawing>
                <wp:inline distB="114300" distT="114300" distL="114300" distR="114300">
                  <wp:extent cx="5962650" cy="1841500"/>
                  <wp:effectExtent b="0" l="0" r="0" t="0"/>
                  <wp:docPr id="169238636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2650" cy="184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lineRule="auto"/>
              <w:jc w:val="center"/>
              <w:rPr>
                <w:rFonts w:ascii="Libre Baskerville" w:cs="Libre Baskerville" w:eastAsia="Libre Baskerville" w:hAnsi="Libre Baskerville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b w:val="1"/>
                <w:i w:val="1"/>
                <w:sz w:val="24"/>
                <w:szCs w:val="24"/>
                <w:rtl w:val="0"/>
              </w:rPr>
              <w:t xml:space="preserve">Figure 5.</w:t>
            </w:r>
            <w:r w:rsidDel="00000000" w:rsidR="00000000" w:rsidRPr="00000000">
              <w:rPr>
                <w:rFonts w:ascii="Libre Baskerville" w:cs="Libre Baskerville" w:eastAsia="Libre Baskerville" w:hAnsi="Libre Baskervill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Libre Baskerville" w:cs="Libre Baskerville" w:eastAsia="Libre Baskerville" w:hAnsi="Libre Baskerville"/>
                <w:i w:val="1"/>
                <w:sz w:val="24"/>
                <w:szCs w:val="24"/>
                <w:rtl w:val="0"/>
              </w:rPr>
              <w:t xml:space="preserve">ADC Callback function</w:t>
            </w:r>
          </w:p>
          <w:p w:rsidR="00000000" w:rsidDel="00000000" w:rsidP="00000000" w:rsidRDefault="00000000" w:rsidRPr="00000000" w14:paraId="0000006B">
            <w:pPr>
              <w:spacing w:after="0" w:lineRule="auto"/>
              <w:jc w:val="both"/>
              <w:rPr>
                <w:rFonts w:ascii="Libre Baskerville" w:cs="Libre Baskerville" w:eastAsia="Libre Baskerville" w:hAnsi="Libre Baskerville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0" w:lineRule="auto"/>
              <w:jc w:val="center"/>
              <w:rPr>
                <w:rFonts w:ascii="Libre Baskerville" w:cs="Libre Baskerville" w:eastAsia="Libre Baskerville" w:hAnsi="Libre Baskerville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71">
            <w:pPr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4"/>
                <w:szCs w:val="24"/>
                <w:rtl w:val="0"/>
              </w:rPr>
              <w:t xml:space="preserve">Professor comments:</w:t>
            </w:r>
          </w:p>
          <w:p w:rsidR="00000000" w:rsidDel="00000000" w:rsidP="00000000" w:rsidRDefault="00000000" w:rsidRPr="00000000" w14:paraId="00000072">
            <w:pPr>
              <w:rPr>
                <w:rFonts w:ascii="Libre Baskerville" w:cs="Libre Baskerville" w:eastAsia="Libre Baskerville" w:hAnsi="Libre Baskervil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>
          <w:rFonts w:ascii="Libre Baskerville" w:cs="Libre Baskerville" w:eastAsia="Libre Baskerville" w:hAnsi="Libre Baskerville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Libre Baskervill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3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4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5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Grid">
    <w:name w:val="Table Grid"/>
    <w:basedOn w:val="TableNormal"/>
    <w:uiPriority w:val="39"/>
    <w:rsid w:val="0030269E"/>
    <w:rPr>
      <w:rFonts w:eastAsiaTheme="minorHAnsi"/>
      <w:lang w:eastAsia="en-US" w:val="it-IT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agraph" w:customStyle="1">
    <w:name w:val="paragraph"/>
    <w:rsid w:val="0030269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it-IT"/>
    </w:rPr>
  </w:style>
  <w:style w:type="character" w:styleId="normaltextrun" w:customStyle="1">
    <w:name w:val="normaltextrun"/>
    <w:basedOn w:val="DefaultParagraphFont"/>
    <w:rsid w:val="0030269E"/>
  </w:style>
  <w:style w:type="character" w:styleId="eop" w:customStyle="1">
    <w:name w:val="eop"/>
    <w:basedOn w:val="DefaultParagraphFont"/>
    <w:rsid w:val="0030269E"/>
  </w:style>
  <w:style w:type="table" w:styleId="a" w:customStyle="1">
    <w:basedOn w:val="TableNormal5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5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5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whitespace-normal" w:customStyle="1">
    <w:name w:val="whitespace-normal"/>
    <w:basedOn w:val="Normal"/>
    <w:rsid w:val="00E8032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45090A"/>
    <w:pPr>
      <w:ind w:left="720"/>
      <w:contextualSpacing w:val="1"/>
    </w:pPr>
  </w:style>
  <w:style w:type="character" w:styleId="PlaceholderText">
    <w:name w:val="Placeholder Text"/>
    <w:basedOn w:val="DefaultParagraphFont"/>
    <w:uiPriority w:val="99"/>
    <w:semiHidden w:val="1"/>
    <w:rsid w:val="00F66718"/>
    <w:rPr>
      <w:color w:val="666666"/>
    </w:rPr>
  </w:style>
  <w:style w:type="table" w:styleId="a2" w:customStyle="1">
    <w:basedOn w:val="TableNormal"/>
    <w:tblPr>
      <w:tblStyleRowBandSize w:val="1"/>
      <w:tblStyleColBandSize w:val="1"/>
    </w:tblPr>
  </w:style>
  <w:style w:type="table" w:styleId="a3" w:customStyle="1">
    <w:basedOn w:val="TableNormal"/>
    <w:tblPr>
      <w:tblStyleRowBandSize w:val="1"/>
      <w:tblStyleColBandSize w:val="1"/>
    </w:tblPr>
  </w:style>
  <w:style w:type="table" w:styleId="a4" w:customStyle="1">
    <w:basedOn w:val="TableNormal"/>
    <w:tblPr>
      <w:tblStyleRowBandSize w:val="1"/>
      <w:tblStyleColBandSize w:val="1"/>
    </w:tblPr>
  </w:style>
  <w:style w:type="table" w:styleId="a5" w:customStyle="1">
    <w:basedOn w:val="TableNormal"/>
    <w:tblPr>
      <w:tblStyleRowBandSize w:val="1"/>
      <w:tblStyleColBandSize w:val="1"/>
    </w:tblPr>
  </w:style>
  <w:style w:type="table" w:styleId="a6" w:customStyle="1">
    <w:basedOn w:val="TableNormal"/>
    <w:tblPr>
      <w:tblStyleRowBandSize w:val="1"/>
      <w:tblStyleColBandSize w:val="1"/>
    </w:tblPr>
  </w:style>
  <w:style w:type="table" w:styleId="a7" w:customStyle="1">
    <w:basedOn w:val="TableNormal"/>
    <w:tblPr>
      <w:tblStyleRowBandSize w:val="1"/>
      <w:tblStyleColBandSize w:val="1"/>
    </w:tblPr>
  </w:style>
  <w:style w:type="table" w:styleId="a8" w:customStyle="1">
    <w:basedOn w:val="TableNormal"/>
    <w:tblPr>
      <w:tblStyleRowBandSize w:val="1"/>
      <w:tblStyleColBandSize w:val="1"/>
    </w:tblPr>
  </w:style>
  <w:style w:type="table" w:styleId="a9" w:customStyle="1">
    <w:basedOn w:val="TableNormal"/>
    <w:tblPr>
      <w:tblStyleRowBandSize w:val="1"/>
      <w:tblStyleColBandSize w:val="1"/>
    </w:tblPr>
  </w:style>
  <w:style w:type="table" w:styleId="aa" w:customStyle="1">
    <w:basedOn w:val="TableNormal"/>
    <w:tblPr>
      <w:tblStyleRowBandSize w:val="1"/>
      <w:tblStyleColBandSize w:val="1"/>
    </w:tblPr>
  </w:style>
  <w:style w:type="table" w:styleId="ab" w:customStyle="1">
    <w:basedOn w:val="TableNormal"/>
    <w:tblPr>
      <w:tblStyleRowBandSize w:val="1"/>
      <w:tblStyleColBandSize w:val="1"/>
    </w:tblPr>
  </w:style>
  <w:style w:type="table" w:styleId="ac" w:customStyle="1">
    <w:basedOn w:val="TableNormal"/>
    <w:tblPr>
      <w:tblStyleRowBandSize w:val="1"/>
      <w:tblStyleColBandSize w:val="1"/>
    </w:tblPr>
  </w:style>
  <w:style w:type="table" w:styleId="ad" w:customStyle="1">
    <w:basedOn w:val="TableNormal"/>
    <w:tblPr>
      <w:tblStyleRowBandSize w:val="1"/>
      <w:tblStyleColBandSize w:val="1"/>
    </w:tblPr>
  </w:style>
  <w:style w:type="table" w:styleId="ae" w:customStyle="1">
    <w:basedOn w:val="TableNormal"/>
    <w:tblPr>
      <w:tblStyleRowBandSize w:val="1"/>
      <w:tblStyleColBandSize w:val="1"/>
    </w:tblPr>
  </w:style>
  <w:style w:type="table" w:styleId="af" w:customStyle="1">
    <w:basedOn w:val="TableNormal"/>
    <w:tblPr>
      <w:tblStyleRowBandSize w:val="1"/>
      <w:tblStyleColBandSize w:val="1"/>
    </w:tblPr>
  </w:style>
  <w:style w:type="table" w:styleId="af0" w:customStyle="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5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Baskerville-regular.ttf"/><Relationship Id="rId2" Type="http://schemas.openxmlformats.org/officeDocument/2006/relationships/font" Target="fonts/LibreBaskerville-bold.ttf"/><Relationship Id="rId3" Type="http://schemas.openxmlformats.org/officeDocument/2006/relationships/font" Target="fonts/LibreBaskerville-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S6UJgRux+Eal/LytqANmdNFSmA==">CgMxLjA4AHIhMXVtT1hIWEd2cm9tUjEza3BkN3MzM0tnQ19oTWpuXzNi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2025-10-11T21:34:00Z</dcterms:created>
  <dc:creator>Owner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27539c0b5804659fba827629a0a0450cd81b3698eaa561e2498612688f5894d4</vt:lpwstr>
  </property>
</Properties>
</file>