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under the fair generative protocol—and Table 11 breaks the Full Benchmark down by question type. On the corrected multi-hop set PageTree-RAG leads on both metrics: the DFS and Beam variants tie for the highest ROUGE-L (0.077, with DFS significantly above BM25, Δ = +0.036, p_perm = 0.020), and Beam attains the highest LLM-Judge (0.679, above Dense 0.673 and DFS 0.661). This corrects an earlier run in which the flat baselines appeared to lead ROUGE-L: that gap was an artifact of a generation-language bug (our error analysis, Section 6), and once it is fixed the structural retrieval helps on both axes—though most individual pairwise gaps at n = 100 are small and not separately significant.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after fixing the generation-language bug of Section 6. PageTree-RAG leads on both metrics: DFS and Beam tie for the highest ROUGE-L (0.077; DFS significantly above BM25, p = 0.020), and Beam attains the highest LLM-Judge (0.679).</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rPr>
                <w:b w:val="0"/>
              </w:rPr>
              <w:t>BM25</w:t>
            </w:r>
          </w:p>
        </w:tc>
        <w:tc>
          <w:tcPr>
            <w:tcW w:w="2047" w:type="dxa"/>
          </w:tcPr>
          <w:p w14:paraId="02BEA9C7" w14:textId="77777777" w:rsidR="00E71358" w:rsidRDefault="00000000">
            <w:pPr>
              <w:pStyle w:val="TableCell"/>
            </w:pPr>
            <w:r>
              <w:rPr>
                <w:b w:val="0"/>
              </w:rPr>
              <w:t>0.042</w:t>
            </w:r>
          </w:p>
        </w:tc>
        <w:tc>
          <w:tcPr>
            <w:tcW w:w="2632" w:type="dxa"/>
          </w:tcPr>
          <w:p w14:paraId="6783EAC4" w14:textId="77777777" w:rsidR="00E71358" w:rsidRDefault="00000000">
            <w:pPr>
              <w:pStyle w:val="TableCell"/>
            </w:pPr>
            <w:r>
              <w:rPr>
                <w:b w:val="0"/>
              </w:rPr>
              <w:t>0.645</w:t>
            </w:r>
          </w:p>
        </w:tc>
      </w:tr>
      <w:tr w:rsidR="00E71358" w14:paraId="1E4F3EA3" w14:textId="77777777" w:rsidTr="001D1D60">
        <w:tc>
          <w:tcPr>
            <w:tcW w:w="4080" w:type="dxa"/>
          </w:tcPr>
          <w:p w14:paraId="02B6698F" w14:textId="77777777" w:rsidR="00E71358" w:rsidRDefault="00000000">
            <w:pPr>
              <w:pStyle w:val="TableCell"/>
            </w:pPr>
            <w:r>
              <w:rPr>
                <w:b w:val="0"/>
              </w:rPr>
              <w:t>Dense Retrieval</w:t>
            </w:r>
          </w:p>
        </w:tc>
        <w:tc>
          <w:tcPr>
            <w:tcW w:w="2047" w:type="dxa"/>
          </w:tcPr>
          <w:p w14:paraId="2AFC31BF" w14:textId="77777777" w:rsidR="00E71358" w:rsidRDefault="00000000">
            <w:pPr>
              <w:pStyle w:val="TableCell"/>
            </w:pPr>
            <w:r>
              <w:rPr>
                <w:b w:val="0"/>
              </w:rPr>
              <w:t>0.054</w:t>
            </w:r>
          </w:p>
        </w:tc>
        <w:tc>
          <w:tcPr>
            <w:tcW w:w="2632" w:type="dxa"/>
            <w:shd w:val="clear" w:color="auto" w:fill="FFF2CC"/>
          </w:tcPr>
          <w:p w14:paraId="280D38F8" w14:textId="77777777" w:rsidR="00E71358" w:rsidRDefault="00000000">
            <w:pPr>
              <w:pStyle w:val="TableCell"/>
            </w:pPr>
            <w:r>
              <w:rPr>
                <w:b w:val="0"/>
              </w:rPr>
              <w:t>0.673</w:t>
            </w:r>
          </w:p>
        </w:tc>
      </w:tr>
      <w:tr w:rsidR="00E71358" w14:paraId="0AD2948C" w14:textId="77777777" w:rsidTr="001D1D60">
        <w:tc>
          <w:tcPr>
            <w:tcW w:w="4080" w:type="dxa"/>
          </w:tcPr>
          <w:p w14:paraId="6122C410" w14:textId="77777777" w:rsidR="00E71358" w:rsidRDefault="00000000">
            <w:pPr>
              <w:pStyle w:val="TableCell"/>
            </w:pPr>
            <w:r>
              <w:rPr>
                <w:b w:val="0"/>
              </w:rPr>
              <w:t>FlatRAG</w:t>
            </w:r>
          </w:p>
        </w:tc>
        <w:tc>
          <w:tcPr>
            <w:tcW w:w="2047" w:type="dxa"/>
            <w:shd w:val="clear" w:color="auto" w:fill="FFF2CC"/>
          </w:tcPr>
          <w:p w14:paraId="0DC87348" w14:textId="77777777" w:rsidR="00E71358" w:rsidRDefault="00000000">
            <w:pPr>
              <w:pStyle w:val="TableCell"/>
            </w:pPr>
            <w:r>
              <w:rPr>
                <w:b w:val="0"/>
              </w:rPr>
              <w:t>0.063</w:t>
            </w:r>
          </w:p>
        </w:tc>
        <w:tc>
          <w:tcPr>
            <w:tcW w:w="2632" w:type="dxa"/>
          </w:tcPr>
          <w:p w14:paraId="5DFB3FFC" w14:textId="77777777" w:rsidR="00E71358" w:rsidRDefault="00000000">
            <w:pPr>
              <w:pStyle w:val="TableCell"/>
            </w:pPr>
            <w:r>
              <w:rPr>
                <w:b w:val="0"/>
              </w:rPr>
              <w:t>0.632</w:t>
            </w:r>
          </w:p>
        </w:tc>
      </w:tr>
      <w:tr w:rsidR="00E71358" w14:paraId="24B942C9" w14:textId="77777777" w:rsidTr="001D1D60">
        <w:tc>
          <w:tcPr>
            <w:tcW w:w="4080" w:type="dxa"/>
          </w:tcPr>
          <w:p w14:paraId="4B9964D9" w14:textId="77777777" w:rsidR="00E71358" w:rsidRDefault="00000000">
            <w:pPr>
              <w:pStyle w:val="TableCell"/>
            </w:pPr>
            <w:r>
              <w:rPr>
                <w:b w:val="0"/>
              </w:rPr>
              <w:t>RAPTOR</w:t>
            </w:r>
          </w:p>
        </w:tc>
        <w:tc>
          <w:tcPr>
            <w:tcW w:w="2047" w:type="dxa"/>
          </w:tcPr>
          <w:p w14:paraId="56BEB631" w14:textId="77777777" w:rsidR="00E71358" w:rsidRDefault="00000000">
            <w:pPr>
              <w:pStyle w:val="TableCell"/>
            </w:pPr>
            <w:r>
              <w:rPr>
                <w:b w:val="0"/>
              </w:rPr>
              <w:t>0.050</w:t>
            </w:r>
          </w:p>
        </w:tc>
        <w:tc>
          <w:tcPr>
            <w:tcW w:w="2632" w:type="dxa"/>
          </w:tcPr>
          <w:p w14:paraId="6D605C13" w14:textId="77777777" w:rsidR="00E71358" w:rsidRDefault="00000000">
            <w:pPr>
              <w:pStyle w:val="TableCell"/>
            </w:pPr>
            <w:r>
              <w:rPr>
                <w:b w:val="0"/>
              </w:rPr>
              <w:t>0.625</w:t>
            </w:r>
          </w:p>
        </w:tc>
      </w:tr>
      <w:tr w:rsidR="00E71358" w14:paraId="11C9824E" w14:textId="77777777" w:rsidTr="001D1D60">
        <w:tc>
          <w:tcPr>
            <w:tcW w:w="4080" w:type="dxa"/>
          </w:tcPr>
          <w:p w14:paraId="7243D27D" w14:textId="77777777" w:rsidR="00E71358" w:rsidRDefault="00000000">
            <w:pPr>
              <w:pStyle w:val="TableCell"/>
            </w:pPr>
            <w:r>
              <w:rPr>
                <w:b w:val="0"/>
              </w:rPr>
              <w:t>PageTree-RAG (DFS)</w:t>
            </w:r>
          </w:p>
        </w:tc>
        <w:tc>
          <w:tcPr>
            <w:tcW w:w="2047" w:type="dxa"/>
            <w:shd w:val="clear" w:color="auto" w:fill="C6EFCE"/>
          </w:tcPr>
          <w:p w14:paraId="2EEEEB77" w14:textId="77777777" w:rsidR="00E71358" w:rsidRDefault="00000000">
            <w:pPr>
              <w:pStyle w:val="TableCell"/>
            </w:pPr>
            <w:r>
              <w:rPr>
                <w:b/>
              </w:rPr>
              <w:t>0.077</w:t>
            </w:r>
          </w:p>
        </w:tc>
        <w:tc>
          <w:tcPr>
            <w:tcW w:w="2632" w:type="dxa"/>
          </w:tcPr>
          <w:p w14:paraId="1ECBF6D8" w14:textId="77777777" w:rsidR="00E71358" w:rsidRDefault="00000000">
            <w:pPr>
              <w:pStyle w:val="TableCell"/>
            </w:pPr>
            <w:r>
              <w:rPr>
                <w:b w:val="0"/>
              </w:rPr>
              <w:t>0.661</w:t>
            </w:r>
          </w:p>
        </w:tc>
      </w:tr>
      <w:tr w:rsidR="00E71358" w14:paraId="31012EAC" w14:textId="77777777" w:rsidTr="001D1D60">
        <w:tc>
          <w:tcPr>
            <w:tcW w:w="4080" w:type="dxa"/>
          </w:tcPr>
          <w:p w14:paraId="7A98A8E6" w14:textId="77777777" w:rsidR="00E71358" w:rsidRDefault="00000000">
            <w:pPr>
              <w:pStyle w:val="TableCell"/>
            </w:pPr>
            <w:r>
              <w:rPr>
                <w:b w:val="0"/>
              </w:rPr>
              <w:t>PageTree-RAG (Beam)</w:t>
            </w:r>
          </w:p>
        </w:tc>
        <w:tc>
          <w:tcPr>
            <w:tcW w:w="2047" w:type="dxa"/>
            <w:shd w:val="clear" w:color="auto" w:fill="C6EFCE"/>
          </w:tcPr>
          <w:p w14:paraId="4D947318" w14:textId="77777777" w:rsidR="00E71358" w:rsidRDefault="00000000">
            <w:pPr>
              <w:pStyle w:val="TableCell"/>
            </w:pPr>
            <w:r>
              <w:rPr>
                <w:b/>
              </w:rPr>
              <w:t>0.077</w:t>
            </w:r>
          </w:p>
        </w:tc>
        <w:tc>
          <w:tcPr>
            <w:tcW w:w="2632" w:type="dxa"/>
            <w:shd w:val="clear" w:color="auto" w:fill="C6EFCE"/>
          </w:tcPr>
          <w:p w14:paraId="53103D01" w14:textId="77777777" w:rsidR="00E71358" w:rsidRDefault="00000000">
            <w:pPr>
              <w:pStyle w:val="TableCell"/>
            </w:pPr>
            <w:r>
              <w:rPr>
                <w:b/>
              </w:rPr>
              <w:t>0.679</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Pr>
                <w:b w:val="0"/>
              </w:rPr>
              <w:t>+0.036 [+0.007, +0.069]</w:t>
            </w:r>
          </w:p>
        </w:tc>
        <w:tc>
          <w:tcPr>
            <w:tcW w:w="973" w:type="dxa"/>
          </w:tcPr>
          <w:p w14:paraId="083E163A" w14:textId="77777777" w:rsidR="00F20728" w:rsidRPr="00A70F69" w:rsidRDefault="00000000" w:rsidP="00A70F69">
            <w:pPr>
              <w:pStyle w:val="TableCell"/>
            </w:pPr>
            <w:r>
              <w:rPr>
                <w:b w:val="0"/>
              </w:rPr>
              <w:t>+0.23</w:t>
            </w:r>
          </w:p>
        </w:tc>
        <w:tc>
          <w:tcPr>
            <w:tcW w:w="973" w:type="dxa"/>
          </w:tcPr>
          <w:p w14:paraId="50E76AF0" w14:textId="77777777" w:rsidR="00F20728" w:rsidRPr="00A70F69" w:rsidRDefault="00000000" w:rsidP="00A70F69">
            <w:pPr>
              <w:pStyle w:val="TableCell"/>
            </w:pPr>
            <w:r>
              <w:rPr>
                <w:b w:val="0"/>
              </w:rPr>
              <w:t>0.020</w:t>
            </w:r>
          </w:p>
        </w:tc>
        <w:tc>
          <w:tcPr>
            <w:tcW w:w="973" w:type="dxa"/>
          </w:tcPr>
          <w:p w14:paraId="58FE580C" w14:textId="77777777" w:rsidR="00F20728" w:rsidRPr="00A70F69" w:rsidRDefault="00000000" w:rsidP="00A70F69">
            <w:pPr>
              <w:pStyle w:val="TableCell"/>
            </w:pPr>
            <w:r>
              <w:rPr>
                <w:b w:val="0"/>
              </w:rPr>
              <w:t>0.62</w:t>
            </w:r>
          </w:p>
        </w:tc>
        <w:tc>
          <w:tcPr>
            <w:tcW w:w="973" w:type="dxa"/>
          </w:tcPr>
          <w:p w14:paraId="30849C8D" w14:textId="77777777" w:rsidR="00F20728" w:rsidRPr="00A70F69" w:rsidRDefault="00000000" w:rsidP="00A70F69">
            <w:pPr>
              <w:pStyle w:val="TableCell"/>
            </w:pPr>
            <w:r>
              <w:rPr>
                <w:b w:val="0"/>
              </w:rPr>
              <w:t>154</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Pr>
                <w:b w:val="0"/>
              </w:rPr>
              <w:t>+0.023 [−0.013, +0.061]</w:t>
            </w:r>
          </w:p>
        </w:tc>
        <w:tc>
          <w:tcPr>
            <w:tcW w:w="973" w:type="dxa"/>
          </w:tcPr>
          <w:p w14:paraId="12CA085C" w14:textId="77777777" w:rsidR="00F20728" w:rsidRPr="00A70F69" w:rsidRDefault="00000000" w:rsidP="00A70F69">
            <w:pPr>
              <w:pStyle w:val="TableCell"/>
            </w:pPr>
            <w:r>
              <w:rPr>
                <w:b w:val="0"/>
              </w:rPr>
              <w:t>+0.12</w:t>
            </w:r>
          </w:p>
        </w:tc>
        <w:tc>
          <w:tcPr>
            <w:tcW w:w="973" w:type="dxa"/>
          </w:tcPr>
          <w:p w14:paraId="6BAF6AD1" w14:textId="77777777" w:rsidR="00F20728" w:rsidRPr="00A70F69" w:rsidRDefault="00000000" w:rsidP="00A70F69">
            <w:pPr>
              <w:pStyle w:val="TableCell"/>
            </w:pPr>
            <w:r>
              <w:rPr>
                <w:b w:val="0"/>
              </w:rPr>
              <w:t>0.234</w:t>
            </w:r>
          </w:p>
        </w:tc>
        <w:tc>
          <w:tcPr>
            <w:tcW w:w="973" w:type="dxa"/>
          </w:tcPr>
          <w:p w14:paraId="43A1B303" w14:textId="77777777" w:rsidR="00F20728" w:rsidRPr="00A70F69" w:rsidRDefault="00000000" w:rsidP="00A70F69">
            <w:pPr>
              <w:pStyle w:val="TableCell"/>
            </w:pPr>
            <w:r>
              <w:rPr>
                <w:b w:val="0"/>
              </w:rPr>
              <w:t>0.23</w:t>
            </w:r>
          </w:p>
        </w:tc>
        <w:tc>
          <w:tcPr>
            <w:tcW w:w="973" w:type="dxa"/>
          </w:tcPr>
          <w:p w14:paraId="2D5D40E6" w14:textId="77777777" w:rsidR="00F20728" w:rsidRPr="00A70F69" w:rsidRDefault="00000000" w:rsidP="00A70F69">
            <w:pPr>
              <w:pStyle w:val="TableCell"/>
            </w:pPr>
            <w:r>
              <w:rPr>
                <w:b w:val="0"/>
              </w:rPr>
              <w:t>524</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Pr>
                <w:b w:val="0"/>
              </w:rPr>
              <w:t>+0.015 [−0.014, +0.047]</w:t>
            </w:r>
          </w:p>
        </w:tc>
        <w:tc>
          <w:tcPr>
            <w:tcW w:w="973" w:type="dxa"/>
          </w:tcPr>
          <w:p w14:paraId="0191C6D6" w14:textId="77777777" w:rsidR="00F20728" w:rsidRPr="00A70F69" w:rsidRDefault="00000000" w:rsidP="00A70F69">
            <w:pPr>
              <w:pStyle w:val="TableCell"/>
            </w:pPr>
            <w:r>
              <w:rPr>
                <w:b w:val="0"/>
              </w:rPr>
              <w:t>+0.10</w:t>
            </w:r>
          </w:p>
        </w:tc>
        <w:tc>
          <w:tcPr>
            <w:tcW w:w="973" w:type="dxa"/>
          </w:tcPr>
          <w:p w14:paraId="50859F5C" w14:textId="77777777" w:rsidR="00F20728" w:rsidRPr="00A70F69" w:rsidRDefault="00000000" w:rsidP="00A70F69">
            <w:pPr>
              <w:pStyle w:val="TableCell"/>
            </w:pPr>
            <w:r>
              <w:rPr>
                <w:b w:val="0"/>
              </w:rPr>
              <w:t>0.349</w:t>
            </w:r>
          </w:p>
        </w:tc>
        <w:tc>
          <w:tcPr>
            <w:tcW w:w="973" w:type="dxa"/>
          </w:tcPr>
          <w:p w14:paraId="313F7F4A" w14:textId="77777777" w:rsidR="00F20728" w:rsidRPr="00A70F69" w:rsidRDefault="00000000" w:rsidP="00A70F69">
            <w:pPr>
              <w:pStyle w:val="TableCell"/>
            </w:pPr>
            <w:r>
              <w:rPr>
                <w:b w:val="0"/>
              </w:rPr>
              <w:t>0.17</w:t>
            </w:r>
          </w:p>
        </w:tc>
        <w:tc>
          <w:tcPr>
            <w:tcW w:w="973" w:type="dxa"/>
          </w:tcPr>
          <w:p w14:paraId="6C030A47" w14:textId="77777777" w:rsidR="00F20728" w:rsidRPr="00A70F69" w:rsidRDefault="00000000" w:rsidP="00A70F69">
            <w:pPr>
              <w:pStyle w:val="TableCell"/>
            </w:pPr>
            <w:r>
              <w:rPr>
                <w:b w:val="0"/>
              </w:rPr>
              <w:t>783</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Pr>
                <w:b w:val="0"/>
              </w:rPr>
              <w:t>+0.028 [−0.001, +0.059]</w:t>
            </w:r>
          </w:p>
        </w:tc>
        <w:tc>
          <w:tcPr>
            <w:tcW w:w="973" w:type="dxa"/>
          </w:tcPr>
          <w:p w14:paraId="350FC646" w14:textId="77777777" w:rsidR="00F20728" w:rsidRPr="00A70F69" w:rsidRDefault="00000000" w:rsidP="00A70F69">
            <w:pPr>
              <w:pStyle w:val="TableCell"/>
            </w:pPr>
            <w:r>
              <w:rPr>
                <w:b w:val="0"/>
              </w:rPr>
              <w:t>+0.19</w:t>
            </w:r>
          </w:p>
        </w:tc>
        <w:tc>
          <w:tcPr>
            <w:tcW w:w="973" w:type="dxa"/>
          </w:tcPr>
          <w:p w14:paraId="3936293F" w14:textId="77777777" w:rsidR="00F20728" w:rsidRPr="00A70F69" w:rsidRDefault="00000000" w:rsidP="00A70F69">
            <w:pPr>
              <w:pStyle w:val="TableCell"/>
            </w:pPr>
            <w:r>
              <w:rPr>
                <w:b w:val="0"/>
              </w:rPr>
              <w:t>0.060</w:t>
            </w:r>
          </w:p>
        </w:tc>
        <w:tc>
          <w:tcPr>
            <w:tcW w:w="973" w:type="dxa"/>
          </w:tcPr>
          <w:p w14:paraId="6DD92A1B" w14:textId="77777777" w:rsidR="00F20728" w:rsidRPr="00A70F69" w:rsidRDefault="00000000" w:rsidP="00A70F69">
            <w:pPr>
              <w:pStyle w:val="TableCell"/>
            </w:pPr>
            <w:r>
              <w:rPr>
                <w:b w:val="0"/>
              </w:rPr>
              <w:t>0.46</w:t>
            </w:r>
          </w:p>
        </w:tc>
        <w:tc>
          <w:tcPr>
            <w:tcW w:w="973" w:type="dxa"/>
          </w:tcPr>
          <w:p w14:paraId="3F312DF1" w14:textId="77777777" w:rsidR="00F20728" w:rsidRPr="00A70F69" w:rsidRDefault="00000000" w:rsidP="00A70F69">
            <w:pPr>
              <w:pStyle w:val="TableCell"/>
            </w:pPr>
            <w:r>
              <w:rPr>
                <w:b w:val="0"/>
              </w:rPr>
              <w:t>229</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Pr>
                <w:b w:val="0"/>
              </w:rPr>
              <w:t>+0.016 [−0.028, +0.060]</w:t>
            </w:r>
          </w:p>
        </w:tc>
        <w:tc>
          <w:tcPr>
            <w:tcW w:w="973" w:type="dxa"/>
          </w:tcPr>
          <w:p w14:paraId="396E25B8" w14:textId="77777777" w:rsidR="00F20728" w:rsidRPr="00A70F69" w:rsidRDefault="00000000" w:rsidP="00A70F69">
            <w:pPr>
              <w:pStyle w:val="TableCell"/>
            </w:pPr>
            <w:r>
              <w:rPr>
                <w:b w:val="0"/>
              </w:rPr>
              <w:t>+0.07</w:t>
            </w:r>
          </w:p>
        </w:tc>
        <w:tc>
          <w:tcPr>
            <w:tcW w:w="973" w:type="dxa"/>
          </w:tcPr>
          <w:p w14:paraId="51A9D7C3" w14:textId="77777777" w:rsidR="00F20728" w:rsidRPr="00A70F69" w:rsidRDefault="00000000" w:rsidP="00A70F69">
            <w:pPr>
              <w:pStyle w:val="TableCell"/>
            </w:pPr>
            <w:r>
              <w:rPr>
                <w:b w:val="0"/>
              </w:rPr>
              <w:t>0.511</w:t>
            </w:r>
          </w:p>
        </w:tc>
        <w:tc>
          <w:tcPr>
            <w:tcW w:w="973" w:type="dxa"/>
          </w:tcPr>
          <w:p w14:paraId="7BC73E76" w14:textId="77777777" w:rsidR="00F20728" w:rsidRPr="00A70F69" w:rsidRDefault="00000000" w:rsidP="00A70F69">
            <w:pPr>
              <w:pStyle w:val="TableCell"/>
            </w:pPr>
            <w:r>
              <w:rPr>
                <w:b w:val="0"/>
              </w:rPr>
              <w:t>0.10</w:t>
            </w:r>
          </w:p>
        </w:tc>
        <w:tc>
          <w:tcPr>
            <w:tcW w:w="973" w:type="dxa"/>
          </w:tcPr>
          <w:p w14:paraId="25B420EA" w14:textId="77777777" w:rsidR="00F20728" w:rsidRPr="00A70F69" w:rsidRDefault="00000000" w:rsidP="00A70F69">
            <w:pPr>
              <w:pStyle w:val="TableCell"/>
            </w:pPr>
            <w:r>
              <w:rPr>
                <w:b w:val="0"/>
              </w:rPr>
              <w:t>1661</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Pr>
                <w:b w:val="0"/>
              </w:rPr>
              <w:t>−0.012 [−0.059, +0.034]</w:t>
            </w:r>
          </w:p>
        </w:tc>
        <w:tc>
          <w:tcPr>
            <w:tcW w:w="973" w:type="dxa"/>
          </w:tcPr>
          <w:p w14:paraId="19A06192" w14:textId="77777777" w:rsidR="00F20728" w:rsidRPr="00A70F69" w:rsidRDefault="00000000" w:rsidP="00A70F69">
            <w:pPr>
              <w:pStyle w:val="TableCell"/>
            </w:pPr>
            <w:r>
              <w:rPr>
                <w:b w:val="0"/>
              </w:rPr>
              <w:t>−0.05</w:t>
            </w:r>
          </w:p>
        </w:tc>
        <w:tc>
          <w:tcPr>
            <w:tcW w:w="973" w:type="dxa"/>
          </w:tcPr>
          <w:p w14:paraId="38CBDD21" w14:textId="77777777" w:rsidR="00F20728" w:rsidRPr="00A70F69" w:rsidRDefault="00000000" w:rsidP="00A70F69">
            <w:pPr>
              <w:pStyle w:val="TableCell"/>
            </w:pPr>
            <w:r>
              <w:rPr>
                <w:b w:val="0"/>
              </w:rPr>
              <w:t>0.628</w:t>
            </w:r>
          </w:p>
        </w:tc>
        <w:tc>
          <w:tcPr>
            <w:tcW w:w="973" w:type="dxa"/>
          </w:tcPr>
          <w:p w14:paraId="7FEF1293" w14:textId="77777777" w:rsidR="00F20728" w:rsidRPr="00A70F69" w:rsidRDefault="00000000" w:rsidP="00A70F69">
            <w:pPr>
              <w:pStyle w:val="TableCell"/>
            </w:pPr>
            <w:r>
              <w:rPr>
                <w:b w:val="0"/>
              </w:rPr>
              <w:t>0.07</w:t>
            </w:r>
          </w:p>
        </w:tc>
        <w:tc>
          <w:tcPr>
            <w:tcW w:w="973" w:type="dxa"/>
          </w:tcPr>
          <w:p w14:paraId="11A89E92" w14:textId="77777777" w:rsidR="00F20728" w:rsidRPr="00A70F69" w:rsidRDefault="00000000" w:rsidP="00A70F69">
            <w:pPr>
              <w:pStyle w:val="TableCell"/>
            </w:pPr>
            <w:r>
              <w:rPr>
                <w:b w:val="0"/>
              </w:rPr>
              <w:t>3130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Pr>
                <w:b w:val="0"/>
              </w:rPr>
              <w:t>+0.029 [−0.013, +0.071]</w:t>
            </w:r>
          </w:p>
        </w:tc>
        <w:tc>
          <w:tcPr>
            <w:tcW w:w="973" w:type="dxa"/>
          </w:tcPr>
          <w:p w14:paraId="2BCACFD2" w14:textId="77777777" w:rsidR="00F20728" w:rsidRPr="00A70F69" w:rsidRDefault="00000000" w:rsidP="00A70F69">
            <w:pPr>
              <w:pStyle w:val="TableCell"/>
            </w:pPr>
            <w:r>
              <w:rPr>
                <w:b w:val="0"/>
              </w:rPr>
              <w:t>+0.13</w:t>
            </w:r>
          </w:p>
        </w:tc>
        <w:tc>
          <w:tcPr>
            <w:tcW w:w="973" w:type="dxa"/>
          </w:tcPr>
          <w:p w14:paraId="1E9369EE" w14:textId="77777777" w:rsidR="00F20728" w:rsidRPr="00A70F69" w:rsidRDefault="00000000" w:rsidP="00A70F69">
            <w:pPr>
              <w:pStyle w:val="TableCell"/>
            </w:pPr>
            <w:r>
              <w:rPr>
                <w:b w:val="0"/>
              </w:rPr>
              <w:t>0.188</w:t>
            </w:r>
          </w:p>
        </w:tc>
        <w:tc>
          <w:tcPr>
            <w:tcW w:w="973" w:type="dxa"/>
          </w:tcPr>
          <w:p w14:paraId="1853A39C" w14:textId="77777777" w:rsidR="00F20728" w:rsidRPr="00A70F69" w:rsidRDefault="00000000" w:rsidP="00A70F69">
            <w:pPr>
              <w:pStyle w:val="TableCell"/>
            </w:pPr>
            <w:r>
              <w:rPr>
                <w:b w:val="0"/>
              </w:rPr>
              <w:t>0.27</w:t>
            </w:r>
          </w:p>
        </w:tc>
        <w:tc>
          <w:tcPr>
            <w:tcW w:w="973" w:type="dxa"/>
          </w:tcPr>
          <w:p w14:paraId="5BB84A79" w14:textId="77777777" w:rsidR="00F20728" w:rsidRPr="00A70F69" w:rsidRDefault="00000000" w:rsidP="00A70F69">
            <w:pPr>
              <w:pStyle w:val="TableCell"/>
            </w:pPr>
            <w:r>
              <w:rPr>
                <w:b w:val="0"/>
              </w:rPr>
              <w:t>433</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Pr>
                <w:b w:val="0"/>
              </w:rPr>
              <w:t>+0.035 [−0.013, +0.085]</w:t>
            </w:r>
          </w:p>
        </w:tc>
        <w:tc>
          <w:tcPr>
            <w:tcW w:w="973" w:type="dxa"/>
          </w:tcPr>
          <w:p w14:paraId="44B4DD16" w14:textId="77777777" w:rsidR="00F20728" w:rsidRPr="00A70F69" w:rsidRDefault="00000000" w:rsidP="00A70F69">
            <w:pPr>
              <w:pStyle w:val="TableCell"/>
            </w:pPr>
            <w:r>
              <w:rPr>
                <w:b w:val="0"/>
              </w:rPr>
              <w:t>+0.14</w:t>
            </w:r>
          </w:p>
        </w:tc>
        <w:tc>
          <w:tcPr>
            <w:tcW w:w="973" w:type="dxa"/>
          </w:tcPr>
          <w:p w14:paraId="69926D08" w14:textId="77777777" w:rsidR="00F20728" w:rsidRPr="00A70F69" w:rsidRDefault="00000000" w:rsidP="00A70F69">
            <w:pPr>
              <w:pStyle w:val="TableCell"/>
            </w:pPr>
            <w:r>
              <w:rPr>
                <w:b w:val="0"/>
              </w:rPr>
              <w:t>0.169</w:t>
            </w:r>
          </w:p>
        </w:tc>
        <w:tc>
          <w:tcPr>
            <w:tcW w:w="973" w:type="dxa"/>
          </w:tcPr>
          <w:p w14:paraId="316DB628" w14:textId="77777777" w:rsidR="00F20728" w:rsidRPr="00A70F69" w:rsidRDefault="00000000" w:rsidP="00A70F69">
            <w:pPr>
              <w:pStyle w:val="TableCell"/>
            </w:pPr>
            <w:r>
              <w:rPr>
                <w:b w:val="0"/>
              </w:rPr>
              <w:t>0.30</w:t>
            </w:r>
          </w:p>
        </w:tc>
        <w:tc>
          <w:tcPr>
            <w:tcW w:w="973" w:type="dxa"/>
          </w:tcPr>
          <w:p w14:paraId="58F1E5BC" w14:textId="77777777" w:rsidR="00F20728" w:rsidRPr="00A70F69" w:rsidRDefault="00000000" w:rsidP="00A70F69">
            <w:pPr>
              <w:pStyle w:val="TableCell"/>
            </w:pPr>
            <w:r>
              <w:rPr>
                <w:b w:val="0"/>
              </w:rPr>
              <w:t>389</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PageTree-RAG (DFS) leads ROUGE-L—significantly against BM25 (Δ = +0.036, p_perm = 0.020) and directionally against the others—while the LLM-Judge gaps are small and, at n = 100, individually underpowered (Beam, not DFS, is the judge leader at 0.679). We therefore treat the multi-hop result as a consistent-direction, modestly-powered win rather than a set of individually significant comparisons.</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reinforces this reading from a different angle. Once the generation-language bug is fixed, PageTree-RAG leads HotpotQA on both ROUGE-L and LLM-Judge, so the structure-aware advantage is visible even to a lexical metric here. The divergence between lexical and judged quality that we stress elsewhere is therefore not a universal reversal but a property of specific evaluation regimes—most sharply the offline extractive proxy of Section 5.7—rather than an inherent limitation of hierarchical retrieval.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returns a correct, sourced English explanation—O’Hara is American, Tagore Indian—rated 0.93 by the judge, whereas BM25 merely echoes the question (0.20); every system still scores ROUGE ≈ 0 because none reproduces the one-word reference, so the judge, not ROUGE, credits the correct answer. Conversely, on a bridge question whose reference is “One Night in Bangkok,” PageTree-RAG (Beam) confidently returns a wrong answer (“Merchandising,” judge 0.20) while Dense Retrieval is more cautious and scores higher (0.73); the relevant evidence spanned two distractor-heavy passages that beam traversal did not fully bridge—a genuine multi-hop failure.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