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71DAB" w14:textId="77777777" w:rsidR="00430DFC" w:rsidRDefault="00000000">
      <w:pPr>
        <w:pStyle w:val="Titledocument"/>
      </w:pPr>
      <w:r>
        <w:t>TreeRAG: Accuracy and Efficiency Gains from Structure-Aware Hierarchical Retrieval</w:t>
      </w:r>
    </w:p>
    <w:p w14:paraId="5699EFC7" w14:textId="77777777" w:rsidR="00430DFC" w:rsidRDefault="00000000">
      <w:pPr>
        <w:pStyle w:val="a5"/>
      </w:pPr>
      <w:r>
        <w:t>Zero-Shot LLM Tree Indexing with Adaptive DFS/Beam Traversal for Document Question Answering</w:t>
      </w:r>
    </w:p>
    <w:p w14:paraId="6A908A25" w14:textId="77777777" w:rsidR="00430DFC" w:rsidRDefault="00000000">
      <w:pPr>
        <w:pStyle w:val="Authors"/>
      </w:pPr>
      <w:r>
        <w:t>WONSEOK LEE</w:t>
      </w:r>
    </w:p>
    <w:p w14:paraId="46109A03" w14:textId="77777777" w:rsidR="00430DFC" w:rsidRDefault="00000000">
      <w:pPr>
        <w:pStyle w:val="Affiliation"/>
      </w:pPr>
      <w:r>
        <w:t>Department of Biomedical Engineering, Kyung Hee University, Republic of Korea, icpuff83@khu.ac.kr</w:t>
      </w:r>
    </w:p>
    <w:p w14:paraId="05F14680" w14:textId="77777777" w:rsidR="00430DFC" w:rsidRDefault="00000000">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articles-leading to context fragmentation and reduced answer fidelity. We present TreeRAG, a hierarchical document intelligence system that (1) converts raw PDFs into page-aware JSON trees using zero-shot LLM prompting, (2) traverses these trees with two complementary algorithms-Depth-First Search (DFS) and Beam Search-to retrieve only structurally relevant nodes, (3) applies TF-IDF and semantic contextual compression to reduce token overhead, and (4) validates generated answers with a five-signal hallucination detector. We evaluate TreeRAG on 204 general-domain questions, a 20-question HotpotQA multi-hop subset, and a 42-question medical domain benchmark against four baselines: BM25, Dense Retrieval, FlatRAG, and RAPTOR. TreeRAG-DFS achieves a ROUGE-L of 0.451 on the general benchmark (+39.5% over BM25, +81.9% over FlatRAG, +132.4% over RAPTOR; all p &lt; 0.001), and TreeRAG-Beam yields a ROUGE-L of 0.169 on multi-hop HotpotQA (+84.4% over BM25, p &lt; 0.001). TreeRAG-DFS uses 37.5% fewer average context tokens than BM25 without degrading retrieval quality, and our ablation shows contextual compression removes the redundant nodes introduced by wider traversal at no accuracy cost. An online configuration using a locally hosted Llama model reproduces these results at no API cost, and we discuss deployment considerations-caching, rate limiting, and citation traceability-that make the approach suitable for production document question answering.</w:t>
      </w:r>
    </w:p>
    <w:p w14:paraId="142A5513" w14:textId="77777777" w:rsidR="00430DFC" w:rsidRDefault="00000000">
      <w:pPr>
        <w:pStyle w:val="CCSHead"/>
      </w:pPr>
      <w:r>
        <w:t>CCS CONCEPTS</w:t>
      </w:r>
    </w:p>
    <w:p w14:paraId="370E72B3" w14:textId="77777777" w:rsidR="00430DFC" w:rsidRDefault="00000000">
      <w:pPr>
        <w:pStyle w:val="CCSDescription"/>
      </w:pPr>
      <w:r>
        <w:t>• Information systems → Retrieval models and ranking; Question answering; Document representation; • Computing methodologies → Natural language processing.</w:t>
      </w:r>
    </w:p>
    <w:p w14:paraId="40530ABA" w14:textId="77777777" w:rsidR="00430DFC" w:rsidRDefault="00000000">
      <w:pPr>
        <w:pStyle w:val="KeyWords"/>
      </w:pPr>
      <w:r>
        <w:t>Additional Keywords and Phrases: Retrieval-Augmented Generation, Hierarchical Indexing, Tree Traversal, Beam Search, Contextual Compression, Hallucination Detection</w:t>
      </w:r>
    </w:p>
    <w:p w14:paraId="4CCF6945" w14:textId="77777777" w:rsidR="00430DFC" w:rsidRDefault="00000000">
      <w:pPr>
        <w:pStyle w:val="ACMRefHead"/>
      </w:pPr>
      <w:r>
        <w:t>ACM Reference Format:</w:t>
      </w:r>
    </w:p>
    <w:p w14:paraId="4C0664E4" w14:textId="77777777" w:rsidR="00430DFC" w:rsidRDefault="00000000">
      <w:pPr>
        <w:pStyle w:val="ACMRef"/>
      </w:pPr>
      <w:r>
        <w:t>Wonseok Lee. 2026. TreeRAG: Accuracy and Efficiency Gains from Structure-Aware Hierarchical Retrieval. ACM Trans. Intell. Syst. Technol. XX, X, Article XX (2026), XX pages. https://doi.org/XX.XXXX/XXXXXXX</w:t>
      </w:r>
    </w:p>
    <w:p w14:paraId="2C595D17" w14:textId="77777777" w:rsidR="00430DFC" w:rsidRDefault="00000000">
      <w:pPr>
        <w:pStyle w:val="Head1"/>
      </w:pPr>
      <w:r>
        <w:t>INTRODUCTION</w:t>
      </w:r>
    </w:p>
    <w:p w14:paraId="7B550229" w14:textId="77777777" w:rsidR="00430DFC" w:rsidRDefault="00000000">
      <w:pPr>
        <w:pStyle w:val="PostHeadPara"/>
      </w:pPr>
      <w:r>
        <w:t xml:space="preserve">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chunks </w:t>
      </w:r>
      <w:r>
        <w:lastRenderedPageBreak/>
        <w:t>source documents into fixed-length text windows, embeds each chunk with a dense encoder, and retrieves the top-K nearest neighbors to a given query [7].</w:t>
      </w:r>
    </w:p>
    <w:p w14:paraId="0740D1B0" w14:textId="77777777" w:rsidR="00430DFC" w:rsidRDefault="00000000">
      <w:pPr>
        <w:pStyle w:val="Para"/>
      </w:pPr>
      <w:r>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or redundant, degrading both answer quality and token efficiency.</w:t>
      </w:r>
    </w:p>
    <w:p w14:paraId="5CB90AE7" w14:textId="77777777" w:rsidR="00430DFC" w:rsidRDefault="00000000">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chapter and then descends into the correct child avoids this failure mode by construction.</w:t>
      </w:r>
    </w:p>
    <w:p w14:paraId="41E42213" w14:textId="77777777" w:rsidR="00430DFC" w:rsidRDefault="00000000">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of traversal algorithms tuned to query complexity, (c) integrated compression to manage LLM token budgets, and (d) a built-in hallucination grounding layer-all in a single production-ready system.</w:t>
      </w:r>
    </w:p>
    <w:p w14:paraId="67FC0ACB" w14:textId="77777777" w:rsidR="00430DFC" w:rsidRDefault="00000000">
      <w:pPr>
        <w:pStyle w:val="Para"/>
      </w:pPr>
      <w:r>
        <w:t>We introduce TreeRAG, which unifies these capabilities. Our contributions are as follows.</w:t>
      </w:r>
    </w:p>
    <w:p w14:paraId="4B36EA0F" w14:textId="77777777" w:rsidR="00430DFC" w:rsidRDefault="00000000">
      <w:pPr>
        <w:pStyle w:val="a"/>
      </w:pPr>
      <w:r>
        <w:t>(1) LLM-Driven Tree Indexing. A zero-shot prompting strategy that converts arbitrary PDFs into page-referenced JSON trees, with domain-adaptive templates for medical, legal, financial, and academic documents.</w:t>
      </w:r>
    </w:p>
    <w:p w14:paraId="14BE12E6" w14:textId="77777777" w:rsidR="00430DFC" w:rsidRDefault="00000000">
      <w:pPr>
        <w:pStyle w:val="a"/>
      </w:pPr>
      <w:r>
        <w:t>(2) Adaptive Dual Traversal. Two tree-traversal algorithms-DFS for depth-first exhaustive search and Beam Search for efficiency-selectable per query, with a probabilistic node-relevance scoring function.</w:t>
      </w:r>
    </w:p>
    <w:p w14:paraId="5AE7C60A" w14:textId="77777777" w:rsidR="00430DFC" w:rsidRDefault="00000000">
      <w:pPr>
        <w:pStyle w:val="a"/>
      </w:pPr>
      <w:r>
        <w:t>(3) Contextual Compression. A TF-IDF and semantic relevance filter that removes low-relevance nodes post-traversal, reducing context tokens by 22-37% without accuracy loss.</w:t>
      </w:r>
    </w:p>
    <w:p w14:paraId="08A5483A" w14:textId="77777777" w:rsidR="00430DFC" w:rsidRDefault="00000000">
      <w:pPr>
        <w:pStyle w:val="a"/>
      </w:pPr>
      <w:r>
        <w:t>(4) Multi-Signal Hallucination Detection. A five-signal confidence estimator (citation presence, word overlap, bigram overlap, trigram overlap, character similarity) that scores each sentence of the generated answer against retrieved nodes.</w:t>
      </w:r>
    </w:p>
    <w:p w14:paraId="47D07D56" w14:textId="77777777" w:rsidR="00430DFC" w:rsidRDefault="00000000">
      <w:pPr>
        <w:pStyle w:val="a"/>
      </w:pPr>
      <w:r>
        <w:t>(5) Comprehensive Evaluation. Experiments across general, multi-hop, and medical domains with statistical significance testing, ablation studies, and efficiency analysis.</w:t>
      </w:r>
    </w:p>
    <w:p w14:paraId="246522C9" w14:textId="77777777" w:rsidR="00430DFC" w:rsidRDefault="00000000">
      <w:pPr>
        <w:pStyle w:val="Para"/>
      </w:pPr>
      <w:r>
        <w:t>The remainder of this paper is organized as follows. Section 2 reviews related work. Section 3 details the TreeRAG methodology. Section 4 describes the system architecture. Section 5 presents experiments and results. Section 6 discusses findings and limitations. Section 7 concludes.</w:t>
      </w:r>
    </w:p>
    <w:p w14:paraId="56F44AFD" w14:textId="77777777" w:rsidR="00430DFC" w:rsidRDefault="00000000">
      <w:pPr>
        <w:pStyle w:val="Head1"/>
      </w:pPr>
      <w:r>
        <w:t>RELATED WORK</w:t>
      </w:r>
    </w:p>
    <w:p w14:paraId="74EDC12C" w14:textId="77777777" w:rsidR="00430DFC" w:rsidRDefault="00000000">
      <w:pPr>
        <w:pStyle w:val="Head2"/>
      </w:pPr>
      <w:r>
        <w:t>Retrieval-Augmented Generation</w:t>
      </w:r>
    </w:p>
    <w:p w14:paraId="60189916" w14:textId="77777777" w:rsidR="00430DFC" w:rsidRDefault="00000000">
      <w:pPr>
        <w:pStyle w:val="PostHeadPara"/>
      </w:pPr>
      <w:r>
        <w:t xml:space="preserve">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w:t>
      </w:r>
      <w:r>
        <w:lastRenderedPageBreak/>
        <w:t>approach alone [23]. A parallel line of work improves the retriever itself: late-interaction models such as ColBERT [14] and its compressed successor ColBERTv2 [29] retain fine-grained token-level matching at scale, while learned sparse 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TreeRAG is orthogonal to these retriever advances: its node-relevance score can in principle wrap any of them, but our focus is the document structure that flat retrievers discard.</w:t>
      </w:r>
    </w:p>
    <w:p w14:paraId="2AB5D49C" w14:textId="77777777" w:rsidR="00430DFC" w:rsidRDefault="00000000">
      <w:pPr>
        <w:pStyle w:val="Head2"/>
      </w:pPr>
      <w:r>
        <w:t>Hierarchical and Structure-Aware Retrieval</w:t>
      </w:r>
    </w:p>
    <w:p w14:paraId="1CAA2291" w14:textId="77777777" w:rsidR="00430DFC" w:rsidRDefault="00000000">
      <w:pPr>
        <w:pStyle w:val="PostHeadPara"/>
      </w:pPr>
      <w:r>
        <w:t>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most informative tree level. Unlike TreeRAG, RAPTOR's tree reflects embedding-cluster geography rather than the document's own section hierarchy, and it lacks traversal-algorithm selection or compression. This distinction matters in domains where the authored section structure is itself the semantics of the document, such as regulations and clinical protocols.</w:t>
      </w:r>
    </w:p>
    <w:p w14:paraId="45FCC980" w14:textId="77777777" w:rsidR="00430DFC" w:rsidRDefault="00000000">
      <w:pPr>
        <w:pStyle w:val="Para"/>
      </w:pPr>
      <w:r>
        <w:t>HiRAG [10] explores graph-based hierarchies but requires pre-built knowledge graphs and domain-specific schema engineering. Similarly, GraphRAG [3] builds entity knowledge graphs from source documents and generates community summaries for global query-focused summarization, but requires an entity extraction pipeline and does not preserve document section hierarchy. TreeRAG requires only a raw PDF and an LLM API key. Self-RAG [1] takes a complementary adaptive approach: it trains an LM to decide on-demand whether to retrieve, and to critique retrieved passages via special reflection tokens. TreeRAG instead uses a fixed two-stage pipeline with query-time algorithm selection (DFS vs. Beam Search) without requiring fine-tuning, which lowers the barrier to deployment on new document collections.</w:t>
      </w:r>
    </w:p>
    <w:p w14:paraId="0DCB0F84" w14:textId="77777777" w:rsidR="00430DFC" w:rsidRDefault="00000000">
      <w:pPr>
        <w:pStyle w:val="Head2"/>
      </w:pPr>
      <w:r>
        <w:t>Multi-Hop and Cross-Document Reasoning</w:t>
      </w:r>
    </w:p>
    <w:p w14:paraId="421EF087" w14:textId="77777777" w:rsidR="00430DFC" w:rsidRDefault="00000000">
      <w:pPr>
        <w:pStyle w:val="PostHeadPara"/>
      </w:pPr>
      <w:r>
        <w:t>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TreeRAG it exploits hierarchy, but it adds an iterative re-retrieval loop rather than selecting a traversal algorithm at query time. TreeRAG's hierarchical structure naturally supports multi-hop queries: the tree encodes which sections are siblings (sharing a parent), enabling the traversal algorithm to follow cross-sectional reasoning paths without additional orchestration.</w:t>
      </w:r>
    </w:p>
    <w:p w14:paraId="37FE4003" w14:textId="77777777" w:rsidR="00430DFC" w:rsidRDefault="00000000">
      <w:pPr>
        <w:pStyle w:val="Head2"/>
      </w:pPr>
      <w:r>
        <w:t>Hallucination in RAG Systems</w:t>
      </w:r>
    </w:p>
    <w:p w14:paraId="2FEA8C2E" w14:textId="77777777" w:rsidR="00430DFC" w:rsidRDefault="00000000">
      <w:pPr>
        <w:pStyle w:val="PostHeadPara"/>
      </w:pPr>
      <w:r>
        <w:t xml:space="preserve">RAG substantially reduces hallucination by grounding generation in retrieved text, but does not eliminate it [31]. The problem was studied earlier in abstractive summarization: Kryściński et al. [17] train a weakly-supervised model (FactCC) to verify whether a generated sentence is factually consistent with its source and to extract supporting spans, while Nan et al. [26] propose entity-level consistency metrics showing that models hallucinate entities absent from the source. These motivate TreeRAG's source-grounded signals, including its medical entity recall metric (Section 5.3). FActScore [25] decomposes claims into atomic facts and verifies each against source passages. RAGAS [4] defines faithfulness, answer relevance, and context recall as automatic metrics. As a recent review of faithfulness metrics observes, LLM-as-judge </w:t>
      </w:r>
      <w:r>
        <w:lastRenderedPageBreak/>
        <w:t>evaluators currently correlate best with human judgement but are computationally costly, motivating lightweight alternatives for real-time use [24]. TreeRAG's hallucination detector operates at sentence level using five lightweight overlap signals, providing a fast, LLM-free confidence estimate compatible with real-time serving.</w:t>
      </w:r>
    </w:p>
    <w:p w14:paraId="5410996D" w14:textId="77777777" w:rsidR="00430DFC" w:rsidRDefault="00000000">
      <w:pPr>
        <w:pStyle w:val="Head1"/>
      </w:pPr>
      <w:r>
        <w:t>METHODOLOGY</w:t>
      </w:r>
    </w:p>
    <w:p w14:paraId="1BDAC6D6" w14:textId="77777777" w:rsidR="00430DFC" w:rsidRDefault="00000000">
      <w:pPr>
        <w:pStyle w:val="Head2"/>
      </w:pPr>
      <w:r>
        <w:t>Document Representation: The Page-Indexed Tree</w:t>
      </w:r>
    </w:p>
    <w:p w14:paraId="330ACA39" w14:textId="77777777" w:rsidR="00430DFC" w:rsidRDefault="00000000">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(empirically 4-6 for most academic and regulatory documents). Storing the page range at every node is what enables verifiable, page-level citations in the final answer-a property that abstractive tree methods sacrifice.</w:t>
      </w:r>
    </w:p>
    <w:p w14:paraId="3FFCB550" w14:textId="77777777" w:rsidR="00430DFC" w:rsidRDefault="00000000">
      <w:pPr>
        <w:pStyle w:val="Head2"/>
      </w:pPr>
      <w:r>
        <w:t>LLM-Driven Tree Indexing</w:t>
      </w:r>
    </w:p>
    <w:p w14:paraId="5CC49846" w14:textId="77777777" w:rsidR="00430DFC" w:rsidRDefault="00000000">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14:paraId="7D12A9F1" w14:textId="77777777" w:rsidR="00430DFC" w:rsidRDefault="00000000">
      <w:pPr>
        <w:pStyle w:val="Para"/>
      </w:pPr>
      <w:r>
        <w:t>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prompt vocabulary and structural depth. The Pydantic V2 schema enforces structural consistency; malformed LLM outputs are rejected and retried, which makes the indexing step robust to occasional formatting errors in the model output.</w:t>
      </w:r>
    </w:p>
    <w:p w14:paraId="500E6DB3" w14:textId="77777777" w:rsidR="00430DFC" w:rsidRDefault="00000000">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14:paraId="54933C20" w14:textId="77777777" w:rsidR="00430DFC" w:rsidRDefault="00000000">
      <w:pPr>
        <w:pStyle w:val="Head2"/>
      </w:pPr>
      <w:r>
        <w:t>Adaptive Tree Traversal</w:t>
      </w:r>
    </w:p>
    <w:p w14:paraId="2F767822" w14:textId="77777777" w:rsidR="00430DFC" w:rsidRDefault="00000000">
      <w:pPr>
        <w:pStyle w:val="PostHeadPara"/>
      </w:pPr>
      <w:r>
        <w:t>At query time, the user selects a traversal mode. Both algorithms share the same interface, search(query, max_depth, ...), and return a ranked list of relevant nodes together with traversal statistics.</w:t>
      </w:r>
    </w:p>
    <w:p w14:paraId="6EEB8864" w14:textId="77777777" w:rsidR="00430DFC" w:rsidRDefault="00000000">
      <w:pPr>
        <w:pStyle w:val="Head3"/>
      </w:pPr>
      <w:r>
        <w:t>Node Relevance Scoring</w:t>
      </w:r>
    </w:p>
    <w:p w14:paraId="5CDC4E93" w14:textId="77777777" w:rsidR="00430DFC" w:rsidRDefault="00000000">
      <w:pPr>
        <w:pStyle w:val="PostHeadPara"/>
      </w:pPr>
      <w:r>
        <w:t>We score each candidate node v against query q using a weighted combination of three components, given in Equation (1).</w:t>
      </w:r>
    </w:p>
    <w:p w14:paraId="0ABF4CF9" w14:textId="77777777" w:rsidR="00430DFC" w:rsidRDefault="00000000">
      <w:pPr>
        <w:pStyle w:val="DisplayFormula"/>
      </w:pPr>
      <w:r>
        <w:t>P(v | q) = 0.7 · semantic(v, q) + 0.2 · structural(depth) + 0.1 · contextual(v, parent)     (1)</w:t>
      </w:r>
    </w:p>
    <w:p w14:paraId="67F8B1B0" w14:textId="77777777" w:rsidR="00430DFC" w:rsidRDefault="00000000">
      <w:pPr>
        <w:pStyle w:val="Para"/>
      </w:pPr>
      <w:r>
        <w:t xml:space="preserve">Here semantic(v, q) is keyword overlap between the query and the node's title and summary, normalized by query length; structural(depth) is a depth-decay factor that slightly penalizes very deep nodes, encoding the prior that high-level sections capture broader relevance; and contextual(v, parent) is semantic overlap between the node and its parent's accumulated context string, encouraging traversal paths that maintain thematic coherence. The weights (0.7/0.2/0.1) were </w:t>
      </w:r>
      <w:r>
        <w:lastRenderedPageBreak/>
        <w:t>chosen to make semantic similarity dominant while letting structure break ties; we examine their effect in the ablation study.</w:t>
      </w:r>
    </w:p>
    <w:p w14:paraId="4AC5A6D8" w14:textId="77777777" w:rsidR="00430DFC" w:rsidRDefault="00000000">
      <w:pPr>
        <w:pStyle w:val="Head3"/>
      </w:pPr>
      <w:r>
        <w:t>DFS Traversal</w:t>
      </w:r>
    </w:p>
    <w:p w14:paraId="1B9E9A9E" w14:textId="77777777" w:rsidR="00430DFC" w:rsidRDefault="00000000">
      <w:pPr>
        <w:pStyle w:val="PostHeadPara"/>
      </w:pPr>
      <w:r>
        <w:t>The DFS navigator performs iterative depth-first search using an explicit stack to avoid Python recursion limits, as sketched in Algorithm 1.</w:t>
      </w:r>
    </w:p>
    <w:p w14:paraId="2E9E5353" w14:textId="77777777" w:rsidR="00430DFC" w:rsidRDefault="00000000">
      <w:pPr>
        <w:pStyle w:val="AlgorithmCaption"/>
      </w:pPr>
      <w:r>
        <w:t>Algorithm 1: DFS traversal (TreeNavigator)</w:t>
      </w:r>
    </w:p>
    <w:p w14:paraId="0AEF6C46" w14:textId="77777777" w:rsidR="00430DFC" w:rsidRDefault="00000000">
      <w:pPr>
        <w:pStyle w:val="Algorithm"/>
      </w:pPr>
      <w:r>
        <w:t>stack &lt;- [(root, depth=0, parent_context="")]</w:t>
      </w:r>
    </w:p>
    <w:p w14:paraId="1E197A18" w14:textId="77777777" w:rsidR="00430DFC" w:rsidRDefault="00000000">
      <w:pPr>
        <w:pStyle w:val="Algorithm"/>
      </w:pPr>
      <w:r>
        <w:t>while stack not empty:</w:t>
      </w:r>
    </w:p>
    <w:p w14:paraId="526DBB31" w14:textId="77777777" w:rsidR="00430DFC" w:rsidRDefault="00000000">
      <w:pPr>
        <w:pStyle w:val="Algorithm"/>
      </w:pPr>
      <w:r>
        <w:t xml:space="preserve">    node, depth, ctx &lt;- stack.pop()</w:t>
      </w:r>
    </w:p>
    <w:p w14:paraId="56B323C9" w14:textId="77777777" w:rsidR="00430DFC" w:rsidRDefault="00000000">
      <w:pPr>
        <w:pStyle w:val="Algorithm"/>
      </w:pPr>
      <w:r>
        <w:t xml:space="preserve">    if P(node | query) &gt; threshold:</w:t>
      </w:r>
    </w:p>
    <w:p w14:paraId="3170BFD2" w14:textId="77777777" w:rsidR="00430DFC" w:rsidRDefault="00000000">
      <w:pPr>
        <w:pStyle w:val="Algorithm"/>
      </w:pPr>
      <w:r>
        <w:t xml:space="preserve">        relevant_nodes.append(node)</w:t>
      </w:r>
    </w:p>
    <w:p w14:paraId="4D7BA10C" w14:textId="77777777" w:rsidR="00430DFC" w:rsidRDefault="00000000">
      <w:pPr>
        <w:pStyle w:val="Algorithm"/>
      </w:pPr>
      <w:r>
        <w:t xml:space="preserve">        if depth &lt; max_depth:</w:t>
      </w:r>
    </w:p>
    <w:p w14:paraId="1ADE2752" w14:textId="77777777" w:rsidR="00430DFC" w:rsidRDefault="00000000">
      <w:pPr>
        <w:pStyle w:val="Algorithm"/>
      </w:pPr>
      <w:r>
        <w:t xml:space="preserve">            children &lt;- top-K children by P(child | query)   # K = max_branches</w:t>
      </w:r>
    </w:p>
    <w:p w14:paraId="57974616" w14:textId="77777777" w:rsidR="00430DFC" w:rsidRDefault="00000000">
      <w:pPr>
        <w:pStyle w:val="Algorithm"/>
      </w:pPr>
      <w:r>
        <w:t xml:space="preserve">            for child in children:</w:t>
      </w:r>
    </w:p>
    <w:p w14:paraId="616896E7" w14:textId="77777777" w:rsidR="00430DFC" w:rsidRDefault="00000000">
      <w:pPr>
        <w:pStyle w:val="Algorithm"/>
      </w:pPr>
      <w:r>
        <w:t xml:space="preserve">                stack.push((child, depth+1, ctx + node.summary))</w:t>
      </w:r>
    </w:p>
    <w:p w14:paraId="0471FEC1" w14:textId="77777777" w:rsidR="00430DFC" w:rsidRDefault="00000000">
      <w:pPr>
        <w:pStyle w:val="Algorithm"/>
      </w:pPr>
      <w:r>
        <w:t xml:space="preserve">    else if over-filtering detected:</w:t>
      </w:r>
    </w:p>
    <w:p w14:paraId="2446D5A2" w14:textId="77777777" w:rsidR="00430DFC" w:rsidRDefault="00000000">
      <w:pPr>
        <w:pStyle w:val="Algorithm"/>
      </w:pPr>
      <w:r>
        <w:t xml:space="preserve">        apply ErrorRecoveryFilter (LLM weight 0.7, keyword weight 0.3)</w:t>
      </w:r>
    </w:p>
    <w:p w14:paraId="4C7E5F13" w14:textId="77777777" w:rsidR="00430DFC" w:rsidRDefault="00000000">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14:paraId="271230B9" w14:textId="77777777" w:rsidR="00430DFC" w:rsidRDefault="00000000">
      <w:pPr>
        <w:pStyle w:val="Head3"/>
      </w:pPr>
      <w:r>
        <w:t>Beam Search Traversal</w:t>
      </w:r>
    </w:p>
    <w:p w14:paraId="7FE3F45B" w14:textId="77777777" w:rsidR="00430DFC" w:rsidRDefault="00000000">
      <w:pPr>
        <w:pStyle w:val="PostHeadPara"/>
      </w:pPr>
      <w:r>
        <w:t>The Beam Search navigator maintains a beam of width W and expands only the top-W candidates at each depth level, as sketched in Algorithm 2.</w:t>
      </w:r>
    </w:p>
    <w:p w14:paraId="67224E61" w14:textId="77777777" w:rsidR="00430DFC" w:rsidRDefault="00000000">
      <w:pPr>
        <w:pStyle w:val="AlgorithmCaption"/>
      </w:pPr>
      <w:r>
        <w:t>Algorithm 2: Beam Search traversal (BeamSearchNavigator)</w:t>
      </w:r>
    </w:p>
    <w:p w14:paraId="2A25BABA" w14:textId="77777777" w:rsidR="00430DFC" w:rsidRDefault="00000000">
      <w:pPr>
        <w:pStyle w:val="Algorithm"/>
      </w:pPr>
      <w:r>
        <w:t>beam &lt;- [(root, depth=0, score=1.0, path="root")]</w:t>
      </w:r>
    </w:p>
    <w:p w14:paraId="04794319" w14:textId="77777777" w:rsidR="00430DFC" w:rsidRDefault="00000000">
      <w:pPr>
        <w:pStyle w:val="Algorithm"/>
      </w:pPr>
      <w:r>
        <w:t>for depth in 0..max_depth:</w:t>
      </w:r>
    </w:p>
    <w:p w14:paraId="3B0FBB2C" w14:textId="77777777" w:rsidR="00430DFC" w:rsidRDefault="00000000">
      <w:pPr>
        <w:pStyle w:val="Algorithm"/>
      </w:pPr>
      <w:r>
        <w:t xml:space="preserve">    candidates &lt;- []</w:t>
      </w:r>
    </w:p>
    <w:p w14:paraId="658C5D73" w14:textId="77777777" w:rsidR="00430DFC" w:rsidRDefault="00000000">
      <w:pPr>
        <w:pStyle w:val="Algorithm"/>
      </w:pPr>
      <w:r>
        <w:t xml:space="preserve">    for (node, d, score, path) in beam:</w:t>
      </w:r>
    </w:p>
    <w:p w14:paraId="54E9F625" w14:textId="77777777" w:rsidR="00430DFC" w:rsidRDefault="00000000">
      <w:pPr>
        <w:pStyle w:val="Algorithm"/>
      </w:pPr>
      <w:r>
        <w:t xml:space="preserve">        for child of node:</w:t>
      </w:r>
    </w:p>
    <w:p w14:paraId="2E94BC77" w14:textId="77777777" w:rsidR="00430DFC" w:rsidRDefault="00000000">
      <w:pPr>
        <w:pStyle w:val="Algorithm"/>
      </w:pPr>
      <w:r>
        <w:t xml:space="preserve">            child_score &lt;- score * P(child | query)</w:t>
      </w:r>
    </w:p>
    <w:p w14:paraId="1B0EDE99" w14:textId="77777777" w:rsidR="00430DFC" w:rsidRDefault="00000000">
      <w:pPr>
        <w:pStyle w:val="Algorithm"/>
      </w:pPr>
      <w:r>
        <w:t xml:space="preserve">            candidates.append((child, d+1, child_score, path/child.id))</w:t>
      </w:r>
    </w:p>
    <w:p w14:paraId="247E645B" w14:textId="77777777" w:rsidR="00430DFC" w:rsidRDefault="00000000">
      <w:pPr>
        <w:pStyle w:val="Algorithm"/>
      </w:pPr>
      <w:r>
        <w:t xml:space="preserve">    beam &lt;- top-W candidates by child_score</w:t>
      </w:r>
    </w:p>
    <w:p w14:paraId="1FDCC98F" w14:textId="77777777" w:rsidR="00430DFC" w:rsidRDefault="00000000">
      <w:pPr>
        <w:pStyle w:val="Algorithm"/>
      </w:pPr>
      <w:r>
        <w:t>selected_nodes &lt;- union of all nodes in beam at termination</w:t>
      </w:r>
    </w:p>
    <w:p w14:paraId="742D25E6" w14:textId="77777777" w:rsidR="00430DFC" w:rsidRDefault="00000000">
      <w:pPr>
        <w:pStyle w:val="Para"/>
      </w:pPr>
      <w:r>
        <w:lastRenderedPageBreak/>
        <w:t>Relevance is scored with a three-component decomposition (semantic 0.6, keyword 0.2, structural 0.2).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w:t>
      </w:r>
    </w:p>
    <w:p w14:paraId="0313D62E" w14:textId="77777777" w:rsidR="00430DFC" w:rsidRDefault="00000000">
      <w:pPr>
        <w:pStyle w:val="Head3"/>
      </w:pPr>
      <w:r>
        <w:t>Algorithm Selection</w:t>
      </w:r>
    </w:p>
    <w:p w14:paraId="2B0C4C4C" w14:textId="77777777" w:rsidR="00430DFC" w:rsidRDefault="00000000">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14:paraId="11D7D230" w14:textId="77777777" w:rsidR="00430DFC" w:rsidRDefault="00000000">
      <w:pPr>
        <w:pStyle w:val="Head2"/>
      </w:pPr>
      <w:r>
        <w:t>Contextual Compression</w:t>
      </w:r>
    </w:p>
    <w:p w14:paraId="1FA72600" w14:textId="77777777" w:rsidR="00430DFC" w:rsidRDefault="00000000">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TreeRAG instead compresses at the node level, pruning and deduplicating whole tree nodes by TF-IDF relevance so that page-level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tokens (Table 3) with minimal retrieval-quality degradation, as shown in the ablation study (Section 5.4).</w:t>
      </w:r>
    </w:p>
    <w:p w14:paraId="6A698811" w14:textId="77777777" w:rsidR="00430DFC" w:rsidRDefault="00000000">
      <w:pPr>
        <w:pStyle w:val="Head2"/>
      </w:pPr>
      <w:r>
        <w:t>Cross-Reference Resolution</w:t>
      </w:r>
    </w:p>
    <w:p w14:paraId="6D95EB9C" w14:textId="77777777" w:rsidR="00430DFC" w:rsidRDefault="00000000">
      <w:pPr>
        <w:pStyle w:val="PostHeadPara"/>
      </w:pPr>
      <w:r>
        <w:t>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result before generation. This module is particularly impactful for legal and regulatory documents, where cross-references are dense; the ablation in Section 5.4 quantifies its precision/coverage trade-off.</w:t>
      </w:r>
    </w:p>
    <w:p w14:paraId="2B7CAE0B" w14:textId="77777777" w:rsidR="00430DFC" w:rsidRDefault="00000000">
      <w:pPr>
        <w:pStyle w:val="Head2"/>
      </w:pPr>
      <w:r>
        <w:t>Hallucination Detection</w:t>
      </w:r>
    </w:p>
    <w:p w14:paraId="692DA4E6" w14:textId="77777777" w:rsidR="00430DFC" w:rsidRDefault="00000000">
      <w:pPr>
        <w:pStyle w:val="PostHeadPara"/>
        <w:rPr>
          <w:lang w:eastAsia="ko-KR"/>
        </w:rPr>
      </w:pPr>
      <w:r>
        <w:t>Figure 1 illustrates the five-signal scoring pipeline. Each generated answer sentence is scored against the retrieved node set using five overlap signals (Table 1). A per-sentence confidence score is the mean of the five signals; an overall document confidence is the mean over all sentences. When confidence falls below 0.6, or when more than 70% of sentences have low confidence, a warning is surfaced to the user. This approach is LLM-free and adds negligible latency (under 5 ms per response), unlike verification methods that require a second LLM call, making it practical to run on every response in a live system.</w:t>
      </w:r>
    </w:p>
    <w:p w14:paraId="6DBC3173" w14:textId="77777777" w:rsidR="008F726E" w:rsidRDefault="008F726E">
      <w:pPr>
        <w:pStyle w:val="PostHeadPara"/>
        <w:rPr>
          <w:lang w:eastAsia="ko-KR"/>
        </w:rPr>
      </w:pPr>
    </w:p>
    <w:p w14:paraId="16F9B84D" w14:textId="77777777" w:rsidR="008F726E" w:rsidRPr="008F726E" w:rsidRDefault="008F726E">
      <w:pPr>
        <w:pStyle w:val="PostHeadPara"/>
        <w:rPr>
          <w:rFonts w:hint="eastAsia"/>
          <w:lang w:eastAsia="ko-KR"/>
        </w:rPr>
      </w:pPr>
    </w:p>
    <w:p w14:paraId="171C01A5" w14:textId="77777777" w:rsidR="00430DFC" w:rsidRDefault="00000000">
      <w:pPr>
        <w:pStyle w:val="TableCaption"/>
      </w:pPr>
      <w:r>
        <w:lastRenderedPageBreak/>
        <w:t>Table 1: The five overlap signals of the hallucination detector.</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75"/>
        <w:gridCol w:w="4375"/>
      </w:tblGrid>
      <w:tr w:rsidR="00430DFC" w14:paraId="3E90BB04" w14:textId="77777777">
        <w:tc>
          <w:tcPr>
            <w:tcW w:w="4380" w:type="dxa"/>
          </w:tcPr>
          <w:p w14:paraId="2877D49C" w14:textId="77777777" w:rsidR="00430DFC" w:rsidRDefault="00000000">
            <w:pPr>
              <w:pStyle w:val="TableCell"/>
            </w:pPr>
            <w:r>
              <w:rPr>
                <w:b/>
              </w:rPr>
              <w:t>Signal</w:t>
            </w:r>
          </w:p>
        </w:tc>
        <w:tc>
          <w:tcPr>
            <w:tcW w:w="4380" w:type="dxa"/>
          </w:tcPr>
          <w:p w14:paraId="18242AF5" w14:textId="77777777" w:rsidR="00430DFC" w:rsidRDefault="00000000">
            <w:pPr>
              <w:pStyle w:val="TableCell"/>
            </w:pPr>
            <w:r>
              <w:rPr>
                <w:b/>
              </w:rPr>
              <w:t>Description</w:t>
            </w:r>
          </w:p>
        </w:tc>
      </w:tr>
      <w:tr w:rsidR="00430DFC" w14:paraId="02F67958" w14:textId="77777777">
        <w:tc>
          <w:tcPr>
            <w:tcW w:w="4380" w:type="dxa"/>
          </w:tcPr>
          <w:p w14:paraId="51636344" w14:textId="77777777" w:rsidR="00430DFC" w:rsidRDefault="00000000">
            <w:pPr>
              <w:pStyle w:val="TableCell"/>
            </w:pPr>
            <w:r>
              <w:t>Citation presence</w:t>
            </w:r>
          </w:p>
        </w:tc>
        <w:tc>
          <w:tcPr>
            <w:tcW w:w="4380" w:type="dxa"/>
          </w:tcPr>
          <w:p w14:paraId="6CE4073C" w14:textId="77777777" w:rsidR="00430DFC" w:rsidRDefault="00000000">
            <w:pPr>
              <w:pStyle w:val="TableCell"/>
            </w:pPr>
            <w:r>
              <w:t>Does the sentence cite a page number or section?</w:t>
            </w:r>
          </w:p>
        </w:tc>
      </w:tr>
      <w:tr w:rsidR="00430DFC" w14:paraId="39B8853A" w14:textId="77777777">
        <w:tc>
          <w:tcPr>
            <w:tcW w:w="4380" w:type="dxa"/>
          </w:tcPr>
          <w:p w14:paraId="4499D1B3" w14:textId="77777777" w:rsidR="00430DFC" w:rsidRDefault="00000000">
            <w:pPr>
              <w:pStyle w:val="TableCell"/>
            </w:pPr>
            <w:r>
              <w:t>Weighted word overlap</w:t>
            </w:r>
          </w:p>
        </w:tc>
        <w:tc>
          <w:tcPr>
            <w:tcW w:w="4380" w:type="dxa"/>
          </w:tcPr>
          <w:p w14:paraId="5C0EAABA" w14:textId="77777777" w:rsidR="00430DFC" w:rsidRDefault="00000000">
            <w:pPr>
              <w:pStyle w:val="TableCell"/>
            </w:pPr>
            <w:r>
              <w:t>F1 of answer tokens against source tokens</w:t>
            </w:r>
          </w:p>
        </w:tc>
      </w:tr>
      <w:tr w:rsidR="00430DFC" w14:paraId="6AC9B736" w14:textId="77777777">
        <w:tc>
          <w:tcPr>
            <w:tcW w:w="4380" w:type="dxa"/>
          </w:tcPr>
          <w:p w14:paraId="76DBCBDF" w14:textId="77777777" w:rsidR="00430DFC" w:rsidRDefault="00000000">
            <w:pPr>
              <w:pStyle w:val="TableCell"/>
            </w:pPr>
            <w:r>
              <w:t>Bigram overlap</w:t>
            </w:r>
          </w:p>
        </w:tc>
        <w:tc>
          <w:tcPr>
            <w:tcW w:w="4380" w:type="dxa"/>
          </w:tcPr>
          <w:p w14:paraId="692926FD" w14:textId="77777777" w:rsidR="00430DFC" w:rsidRDefault="00000000">
            <w:pPr>
              <w:pStyle w:val="TableCell"/>
            </w:pPr>
            <w:r>
              <w:t>F1 of answer bigrams against source bigrams</w:t>
            </w:r>
          </w:p>
        </w:tc>
      </w:tr>
      <w:tr w:rsidR="00430DFC" w14:paraId="7847B9BB" w14:textId="77777777">
        <w:tc>
          <w:tcPr>
            <w:tcW w:w="4380" w:type="dxa"/>
          </w:tcPr>
          <w:p w14:paraId="578683C2" w14:textId="77777777" w:rsidR="00430DFC" w:rsidRDefault="00000000">
            <w:pPr>
              <w:pStyle w:val="TableCell"/>
            </w:pPr>
            <w:r>
              <w:t>Trigram overlap</w:t>
            </w:r>
          </w:p>
        </w:tc>
        <w:tc>
          <w:tcPr>
            <w:tcW w:w="4380" w:type="dxa"/>
          </w:tcPr>
          <w:p w14:paraId="5E798DF4" w14:textId="77777777" w:rsidR="00430DFC" w:rsidRDefault="00000000">
            <w:pPr>
              <w:pStyle w:val="TableCell"/>
            </w:pPr>
            <w:r>
              <w:t>F1 of answer trigrams against source trigrams</w:t>
            </w:r>
          </w:p>
        </w:tc>
      </w:tr>
      <w:tr w:rsidR="00430DFC" w14:paraId="7D38712B" w14:textId="77777777">
        <w:tc>
          <w:tcPr>
            <w:tcW w:w="4380" w:type="dxa"/>
          </w:tcPr>
          <w:p w14:paraId="72AD30F1" w14:textId="77777777" w:rsidR="00430DFC" w:rsidRDefault="00000000">
            <w:pPr>
              <w:pStyle w:val="TableCell"/>
            </w:pPr>
            <w:r>
              <w:t>Character n-gram similarity</w:t>
            </w:r>
          </w:p>
        </w:tc>
        <w:tc>
          <w:tcPr>
            <w:tcW w:w="4380" w:type="dxa"/>
          </w:tcPr>
          <w:p w14:paraId="793B910C" w14:textId="77777777" w:rsidR="00430DFC" w:rsidRDefault="00000000">
            <w:pPr>
              <w:pStyle w:val="TableCell"/>
            </w:pPr>
            <w:r>
              <w:t>Character-level Jaccard similarity</w:t>
            </w:r>
          </w:p>
        </w:tc>
      </w:tr>
    </w:tbl>
    <w:p w14:paraId="795A698A" w14:textId="77777777" w:rsidR="00430DFC" w:rsidRDefault="00000000">
      <w:pPr>
        <w:pStyle w:val="Image"/>
      </w:pPr>
      <w:r>
        <w:rPr>
          <w:noProof/>
        </w:rPr>
        <w:drawing>
          <wp:inline distT="0" distB="0" distL="0" distR="0" wp14:anchorId="06714AAB" wp14:editId="434A40B0">
            <wp:extent cx="4846320" cy="21221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allucination.png"/>
                    <pic:cNvPicPr/>
                  </pic:nvPicPr>
                  <pic:blipFill>
                    <a:blip r:embed="rId7"/>
                    <a:stretch>
                      <a:fillRect/>
                    </a:stretch>
                  </pic:blipFill>
                  <pic:spPr>
                    <a:xfrm>
                      <a:off x="0" y="0"/>
                      <a:ext cx="4846320" cy="2122138"/>
                    </a:xfrm>
                    <a:prstGeom prst="rect">
                      <a:avLst/>
                    </a:prstGeom>
                  </pic:spPr>
                </pic:pic>
              </a:graphicData>
            </a:graphic>
          </wp:inline>
        </w:drawing>
      </w:r>
    </w:p>
    <w:p w14:paraId="1C8FDB21" w14:textId="77777777" w:rsidR="00430DFC" w:rsidRDefault="00000000">
      <w:pPr>
        <w:pStyle w:val="FigureCaption"/>
      </w:pPr>
      <w:r>
        <w:t>Figure 1: The five-signal hallucination detection pipeline, which scores each answer sentence against the retrieved nodes and surfaces a per-response confidence estimate.</w:t>
      </w:r>
    </w:p>
    <w:p w14:paraId="55D64E8A" w14:textId="77777777" w:rsidR="00430DFC" w:rsidRDefault="00000000">
      <w:pPr>
        <w:pStyle w:val="Head1"/>
      </w:pPr>
      <w:r>
        <w:t>SYSTEM ARCHITECTURE</w:t>
      </w:r>
    </w:p>
    <w:p w14:paraId="198FDDE6" w14:textId="77777777" w:rsidR="00430DFC" w:rsidRDefault="00000000">
      <w:pPr>
        <w:pStyle w:val="Head2"/>
      </w:pPr>
      <w:r>
        <w:t>Overview</w:t>
      </w:r>
    </w:p>
    <w:p w14:paraId="3F408B42" w14:textId="77777777" w:rsidR="00430DFC" w:rsidRDefault="00000000">
      <w:pPr>
        <w:pStyle w:val="PostHeadPara"/>
      </w:pPr>
      <w:r>
        <w:t>TreeRAG is deployed as a two-tier system: a Python FastAPI backend and a Next.js frontend, containerized with Docker Compose. Figure 2 shows the top-level pipeline. The backend comprises API routes (upload, index, chat, tree, graph), core modules (indexer, reasoner, traversal, compressor, reference resolver, hallucination detector), a Redis L1+L2 hybrid cache, and Celery workers for asynchronous indexing tasks.</w:t>
      </w:r>
    </w:p>
    <w:p w14:paraId="2A2B407D" w14:textId="77777777" w:rsidR="00430DFC" w:rsidRDefault="00000000">
      <w:pPr>
        <w:pStyle w:val="Image"/>
      </w:pPr>
      <w:r>
        <w:rPr>
          <w:noProof/>
        </w:rPr>
        <w:lastRenderedPageBreak/>
        <w:drawing>
          <wp:inline distT="0" distB="0" distL="0" distR="0" wp14:anchorId="12A06D1E" wp14:editId="2F86CED2">
            <wp:extent cx="4846320" cy="26145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4846320" cy="2614581"/>
                    </a:xfrm>
                    <a:prstGeom prst="rect">
                      <a:avLst/>
                    </a:prstGeom>
                  </pic:spPr>
                </pic:pic>
              </a:graphicData>
            </a:graphic>
          </wp:inline>
        </w:drawing>
      </w:r>
    </w:p>
    <w:p w14:paraId="5855C942" w14:textId="77777777" w:rsidR="00430DFC" w:rsidRDefault="00000000">
      <w:pPr>
        <w:pStyle w:val="FigureCaption"/>
      </w:pPr>
      <w:r>
        <w:t>Figure 2: TreeRAG system architecture. Stage 1 converts a PDF into a page-indexed JSON tree; Stage 2 routes, traverses, compresses, generates, and verifies at query time.</w:t>
      </w:r>
    </w:p>
    <w:p w14:paraId="6E16DE9D" w14:textId="77777777" w:rsidR="00430DFC" w:rsidRDefault="00000000">
      <w:pPr>
        <w:pStyle w:val="Head2"/>
      </w:pPr>
      <w:r>
        <w:t>Two-Stage Pipeline</w:t>
      </w:r>
    </w:p>
    <w:p w14:paraId="7E670D9D" w14:textId="77777777" w:rsidR="00430DFC" w:rsidRDefault="00000000">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14:paraId="5282457B" w14:textId="77777777" w:rsidR="00430DFC" w:rsidRDefault="00000000">
      <w:pPr>
        <w:pStyle w:val="Para"/>
      </w:pPr>
      <w:r>
        <w:t>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compressor on the selected nodes; (5) calls the LLM with the compressed context and a domain-specific prompt template; (6) runs the hallucination detector on the response; and (7) returns the answer with page citations, traversal statistics, and a confidence score.</w:t>
      </w:r>
    </w:p>
    <w:p w14:paraId="6AB06CDA" w14:textId="77777777" w:rsidR="00430DFC" w:rsidRDefault="00000000">
      <w:pPr>
        <w:pStyle w:val="Head2"/>
      </w:pPr>
      <w:r>
        <w:t>Caching Strategy</w:t>
      </w:r>
    </w:p>
    <w:p w14:paraId="0D4CD9FD" w14:textId="77777777" w:rsidR="00430DFC" w:rsidRDefault="00000000">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LLM decoding.</w:t>
      </w:r>
    </w:p>
    <w:p w14:paraId="58537CE0" w14:textId="77777777" w:rsidR="00430DFC" w:rsidRDefault="00000000">
      <w:pPr>
        <w:pStyle w:val="Head2"/>
      </w:pPr>
      <w:r>
        <w:t>API and Frontend</w:t>
      </w:r>
    </w:p>
    <w:p w14:paraId="15EA7F89" w14:textId="77777777" w:rsidR="00430DFC" w:rsidRDefault="00000000">
      <w:pPr>
        <w:pStyle w:val="PostHeadPara"/>
      </w:pPr>
      <w:r>
        <w:t>The backend exposes RESTful endpoints for document upload, indexing, chat, tree visualization, and reasoning-graph construction. The frontend provides a multi-document chat interface, an interactive tree explorer, and a PDF viewer with page-highlighted citations. Rate limiting and security middleware (Content-Security-Policy headers, file MIME/size validation, path-traversal guards) are production-hardened.</w:t>
      </w:r>
    </w:p>
    <w:p w14:paraId="602B5C4C" w14:textId="77777777" w:rsidR="00430DFC" w:rsidRDefault="00000000">
      <w:pPr>
        <w:pStyle w:val="Head2"/>
      </w:pPr>
      <w:r>
        <w:lastRenderedPageBreak/>
        <w:t>Deployment Considerations</w:t>
      </w:r>
    </w:p>
    <w:p w14:paraId="7A80ABEB" w14:textId="77777777" w:rsidR="00430DFC" w:rsidRDefault="00000000">
      <w:pPr>
        <w:pStyle w:val="PostHeadPara"/>
      </w:pPr>
      <w:r>
        <w:t>Three properties make 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 doubles as a fallback when the LLM API is rate-limited or unavailable, allowing the system to keep returning grounded, if less fluent, answers.</w:t>
      </w:r>
    </w:p>
    <w:p w14:paraId="35504E2F" w14:textId="77777777" w:rsidR="00430DFC" w:rsidRDefault="00000000">
      <w:pPr>
        <w:pStyle w:val="Head1"/>
      </w:pPr>
      <w:r>
        <w:t>EXPERIMENTS</w:t>
      </w:r>
    </w:p>
    <w:p w14:paraId="64D425A2" w14:textId="77777777" w:rsidR="00430DFC" w:rsidRDefault="00000000">
      <w:pPr>
        <w:pStyle w:val="Head2"/>
      </w:pPr>
      <w:r>
        <w:t>Experimental Setup</w:t>
      </w:r>
    </w:p>
    <w:p w14:paraId="39B49969" w14:textId="77777777" w:rsidR="00430DFC" w:rsidRDefault="00000000">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(n = 20) is a sample from the HotpotQA development set [35] converted to page-indexed trees, requiring two-hop reasoning across supporting passages. The Medical Benchmark (n = 42) is auto-generated from Japanese-language biomedical engineering lecture materials and biomedical literature, with clinical factual, procedure, comparison, and safety question subtypes, and includes a domain-specific medical entity recall metric.</w:t>
      </w:r>
    </w:p>
    <w:p w14:paraId="606E17A7" w14:textId="77777777" w:rsidR="00430DFC" w:rsidRDefault="00000000">
      <w:pPr>
        <w:pStyle w:val="Para"/>
      </w:pPr>
      <w:r>
        <w:t>Baselines. We compare against BM25 (Okapi BM25 keyword retrieval over document chunks), Dense Retrieval (Sentence-BERT [27] embedding with cosine retrieval), FlatRAG (a hybrid of BM25 60%, semantic 25%, structural 15%), and RAPTOR (recursive abstractive processing of chunks into a tree [30]), alongside our TreeRAG-DFS and TreeRAG-Beam.</w:t>
      </w:r>
    </w:p>
    <w:p w14:paraId="7A8E3895" w14:textId="77777777" w:rsidR="00430DFC" w:rsidRDefault="00000000">
      <w:pPr>
        <w:pStyle w:val="Para"/>
      </w:pPr>
      <w:r>
        <w:t>Metrics. We report ROUGE-L [20] (longest-common-subsequence recall between generated and reference answers); BERTScore [36] (contextual embedding precision); LLM-as-Judge [38] on a subset (faithfulness, relevance, completeness, 0-1 scale); Medical Entity Recall (fraction of medical terms in the reference answer recovered); Latency (average wall-clock time per query); and Context Tokens (average token count of the context passed to the LLM). Statistical significance is assessed with paired t-tests; effect size with Cohen's d; confidence intervals via bootstrap resampling.</w:t>
      </w:r>
    </w:p>
    <w:p w14:paraId="3D1DA0F1" w14:textId="77777777" w:rsidR="00430DFC" w:rsidRDefault="00000000">
      <w:pPr>
        <w:pStyle w:val="Head2"/>
      </w:pPr>
      <w:r>
        <w:t>Main Results</w:t>
      </w:r>
    </w:p>
    <w:p w14:paraId="34B41E49" w14:textId="77777777" w:rsidR="00430DFC" w:rsidRDefault="00000000">
      <w:pPr>
        <w:pStyle w:val="PostHeadPara"/>
      </w:pPr>
      <w:r>
        <w:t>Table 2 reports results on the Full Benchmark and HotpotQA; Figures 3 and 4 visualize the overall and multi-hop comparisons. On the full benchmark, TreeRAG-DFS achieves the highest ROUGE-L (0.451) and BERTScore (0.521). Compared to all baselines, TreeRAG-Beam (the weaker of the two proposed variants on the full benchmark) already outperforms each one with p &lt; 0.001 and effect sizes ranging from d = 0.483 (vs. BM25) to d = 1.205 (vs. RAPTOR). TreeRAG-DFS further improves over BM25 by +39.5% ROUGE-L (+0.127 absolute) and over RAPTOR by +132.4% (+0.257 absolute). TreeRAG-Beam obtains slightly lower ROUGE-L than DFS on single-document factual questions (0.428 vs. 0.451, d = 0.095, p &lt; 0.001) but dominates on multi-hop HotpotQA (ROUGE-L = 0.169 vs. BM25 0.092, +84.4%, p &lt; 0.001, d = 1.358), confirming that beam-guided traversal is better suited to multi-evidence synthesis.</w:t>
      </w:r>
    </w:p>
    <w:p w14:paraId="7CFA9D19" w14:textId="77777777" w:rsidR="00430DFC" w:rsidRDefault="00000000">
      <w:pPr>
        <w:pStyle w:val="Para"/>
      </w:pPr>
      <w:r>
        <w:t xml:space="preserve">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TreeRAG-Beam's LLM-Judge (0.70) is second highest. RAPTOR underperforms on both ROUGE-L (0.194) and LLM-Judge (0.67), likely because its cluster-based tree does not </w:t>
      </w:r>
      <w:r>
        <w:lastRenderedPageBreak/>
        <w:t>preserve section-level structure-known to be suboptimal for documents with explicit hierarchies [30]. The latency column (offline ms) shows both TreeRAG variants are faster than BM25 and RAPTOR even in offline mode, because keyword-based tree traversal over a pre-built JSON index is more efficient than BM25's inverted-index lookup over raw chunks or RAPTOR's recursive summarization pipeline.</w:t>
      </w:r>
    </w:p>
    <w:p w14:paraId="3569CC55" w14:textId="77777777" w:rsidR="00430DFC" w:rsidRDefault="00000000">
      <w:pPr>
        <w:pStyle w:val="TableCaption"/>
      </w:pPr>
      <w:r>
        <w:t>Table 2: Main Results (n = 204 / n = 20). Best per column in bold (see text); all † comparisons have p &lt; 0.001 vs. TreeRAG-Beam (paired t-test). Latency is offline traversal time only (no LLM call).</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59"/>
        <w:gridCol w:w="1458"/>
        <w:gridCol w:w="1459"/>
        <w:gridCol w:w="1457"/>
        <w:gridCol w:w="1459"/>
        <w:gridCol w:w="1458"/>
      </w:tblGrid>
      <w:tr w:rsidR="00430DFC" w14:paraId="099BACAD" w14:textId="77777777">
        <w:tc>
          <w:tcPr>
            <w:tcW w:w="1460" w:type="dxa"/>
          </w:tcPr>
          <w:p w14:paraId="36D0A349" w14:textId="77777777" w:rsidR="00430DFC" w:rsidRDefault="00000000">
            <w:pPr>
              <w:pStyle w:val="TableCell"/>
            </w:pPr>
            <w:r>
              <w:rPr>
                <w:b/>
              </w:rPr>
              <w:t>System</w:t>
            </w:r>
          </w:p>
        </w:tc>
        <w:tc>
          <w:tcPr>
            <w:tcW w:w="1460" w:type="dxa"/>
          </w:tcPr>
          <w:p w14:paraId="7D14E927" w14:textId="77777777" w:rsidR="00430DFC" w:rsidRDefault="00000000">
            <w:pPr>
              <w:pStyle w:val="TableCell"/>
            </w:pPr>
            <w:r>
              <w:rPr>
                <w:b/>
              </w:rPr>
              <w:t>ROUGE-L</w:t>
            </w:r>
          </w:p>
        </w:tc>
        <w:tc>
          <w:tcPr>
            <w:tcW w:w="1460" w:type="dxa"/>
          </w:tcPr>
          <w:p w14:paraId="264181DE" w14:textId="77777777" w:rsidR="00430DFC" w:rsidRDefault="00000000">
            <w:pPr>
              <w:pStyle w:val="TableCell"/>
            </w:pPr>
            <w:r>
              <w:rPr>
                <w:b/>
              </w:rPr>
              <w:t>BERTScore</w:t>
            </w:r>
          </w:p>
        </w:tc>
        <w:tc>
          <w:tcPr>
            <w:tcW w:w="1460" w:type="dxa"/>
          </w:tcPr>
          <w:p w14:paraId="3A1FEF80" w14:textId="77777777" w:rsidR="00430DFC" w:rsidRDefault="00000000">
            <w:pPr>
              <w:pStyle w:val="TableCell"/>
            </w:pPr>
            <w:r>
              <w:rPr>
                <w:b/>
              </w:rPr>
              <w:t>LLM-Judge</w:t>
            </w:r>
          </w:p>
        </w:tc>
        <w:tc>
          <w:tcPr>
            <w:tcW w:w="1460" w:type="dxa"/>
          </w:tcPr>
          <w:p w14:paraId="7633D0C5" w14:textId="77777777" w:rsidR="00430DFC" w:rsidRDefault="00000000">
            <w:pPr>
              <w:pStyle w:val="TableCell"/>
            </w:pPr>
            <w:r>
              <w:rPr>
                <w:b/>
              </w:rPr>
              <w:t>HotpotQA R-L</w:t>
            </w:r>
          </w:p>
        </w:tc>
        <w:tc>
          <w:tcPr>
            <w:tcW w:w="1460" w:type="dxa"/>
          </w:tcPr>
          <w:p w14:paraId="3CDD1C83" w14:textId="77777777" w:rsidR="00430DFC" w:rsidRDefault="00000000">
            <w:pPr>
              <w:pStyle w:val="TableCell"/>
            </w:pPr>
            <w:r>
              <w:rPr>
                <w:b/>
              </w:rPr>
              <w:t>Latency (ms)</w:t>
            </w:r>
          </w:p>
        </w:tc>
      </w:tr>
      <w:tr w:rsidR="00430DFC" w14:paraId="07A9240D" w14:textId="77777777">
        <w:tc>
          <w:tcPr>
            <w:tcW w:w="1460" w:type="dxa"/>
          </w:tcPr>
          <w:p w14:paraId="343C2F95" w14:textId="77777777" w:rsidR="00430DFC" w:rsidRDefault="00000000">
            <w:pPr>
              <w:pStyle w:val="TableCell"/>
            </w:pPr>
            <w:r>
              <w:t>BM25</w:t>
            </w:r>
          </w:p>
        </w:tc>
        <w:tc>
          <w:tcPr>
            <w:tcW w:w="1460" w:type="dxa"/>
          </w:tcPr>
          <w:p w14:paraId="03FA2C97" w14:textId="77777777" w:rsidR="00430DFC" w:rsidRDefault="00000000">
            <w:pPr>
              <w:pStyle w:val="TableCell"/>
            </w:pPr>
            <w:r>
              <w:t>0.324†</w:t>
            </w:r>
          </w:p>
        </w:tc>
        <w:tc>
          <w:tcPr>
            <w:tcW w:w="1460" w:type="dxa"/>
          </w:tcPr>
          <w:p w14:paraId="2F8D5EF2" w14:textId="77777777" w:rsidR="00430DFC" w:rsidRDefault="00000000">
            <w:pPr>
              <w:pStyle w:val="TableCell"/>
            </w:pPr>
            <w:r>
              <w:t>0.373†</w:t>
            </w:r>
          </w:p>
        </w:tc>
        <w:tc>
          <w:tcPr>
            <w:tcW w:w="1460" w:type="dxa"/>
          </w:tcPr>
          <w:p w14:paraId="5D802555" w14:textId="77777777" w:rsidR="00430DFC" w:rsidRDefault="00000000">
            <w:pPr>
              <w:pStyle w:val="TableCell"/>
            </w:pPr>
            <w:r>
              <w:t>0.69</w:t>
            </w:r>
          </w:p>
        </w:tc>
        <w:tc>
          <w:tcPr>
            <w:tcW w:w="1460" w:type="dxa"/>
          </w:tcPr>
          <w:p w14:paraId="1825094B" w14:textId="77777777" w:rsidR="00430DFC" w:rsidRDefault="00000000">
            <w:pPr>
              <w:pStyle w:val="TableCell"/>
            </w:pPr>
            <w:r>
              <w:t>0.092†</w:t>
            </w:r>
          </w:p>
        </w:tc>
        <w:tc>
          <w:tcPr>
            <w:tcW w:w="1460" w:type="dxa"/>
          </w:tcPr>
          <w:p w14:paraId="5FE24CCC" w14:textId="77777777" w:rsidR="00430DFC" w:rsidRDefault="00000000">
            <w:pPr>
              <w:pStyle w:val="TableCell"/>
            </w:pPr>
            <w:r>
              <w:t>3.83</w:t>
            </w:r>
          </w:p>
        </w:tc>
      </w:tr>
      <w:tr w:rsidR="00430DFC" w14:paraId="7CB81F80" w14:textId="77777777">
        <w:tc>
          <w:tcPr>
            <w:tcW w:w="1460" w:type="dxa"/>
          </w:tcPr>
          <w:p w14:paraId="7ED8B673" w14:textId="77777777" w:rsidR="00430DFC" w:rsidRDefault="00000000">
            <w:pPr>
              <w:pStyle w:val="TableCell"/>
            </w:pPr>
            <w:r>
              <w:t>Dense Retrieval</w:t>
            </w:r>
          </w:p>
        </w:tc>
        <w:tc>
          <w:tcPr>
            <w:tcW w:w="1460" w:type="dxa"/>
          </w:tcPr>
          <w:p w14:paraId="5ADC4EAA" w14:textId="77777777" w:rsidR="00430DFC" w:rsidRDefault="00000000">
            <w:pPr>
              <w:pStyle w:val="TableCell"/>
            </w:pPr>
            <w:r>
              <w:t>0.290†</w:t>
            </w:r>
          </w:p>
        </w:tc>
        <w:tc>
          <w:tcPr>
            <w:tcW w:w="1460" w:type="dxa"/>
          </w:tcPr>
          <w:p w14:paraId="50C2B762" w14:textId="77777777" w:rsidR="00430DFC" w:rsidRDefault="00000000">
            <w:pPr>
              <w:pStyle w:val="TableCell"/>
            </w:pPr>
            <w:r>
              <w:t>0.337†</w:t>
            </w:r>
          </w:p>
        </w:tc>
        <w:tc>
          <w:tcPr>
            <w:tcW w:w="1460" w:type="dxa"/>
          </w:tcPr>
          <w:p w14:paraId="59020C75" w14:textId="77777777" w:rsidR="00430DFC" w:rsidRDefault="00000000">
            <w:pPr>
              <w:pStyle w:val="TableCell"/>
            </w:pPr>
            <w:r>
              <w:t>0.64</w:t>
            </w:r>
          </w:p>
        </w:tc>
        <w:tc>
          <w:tcPr>
            <w:tcW w:w="1460" w:type="dxa"/>
          </w:tcPr>
          <w:p w14:paraId="3EA4C6E3" w14:textId="77777777" w:rsidR="00430DFC" w:rsidRDefault="00000000">
            <w:pPr>
              <w:pStyle w:val="TableCell"/>
            </w:pPr>
            <w:r>
              <w:t>-</w:t>
            </w:r>
          </w:p>
        </w:tc>
        <w:tc>
          <w:tcPr>
            <w:tcW w:w="1460" w:type="dxa"/>
          </w:tcPr>
          <w:p w14:paraId="526EB8E6" w14:textId="77777777" w:rsidR="00430DFC" w:rsidRDefault="00000000">
            <w:pPr>
              <w:pStyle w:val="TableCell"/>
            </w:pPr>
            <w:r>
              <w:t>2.11</w:t>
            </w:r>
          </w:p>
        </w:tc>
      </w:tr>
      <w:tr w:rsidR="00430DFC" w14:paraId="153C93D8" w14:textId="77777777">
        <w:tc>
          <w:tcPr>
            <w:tcW w:w="1460" w:type="dxa"/>
          </w:tcPr>
          <w:p w14:paraId="3E9D6A6F" w14:textId="77777777" w:rsidR="00430DFC" w:rsidRDefault="00000000">
            <w:pPr>
              <w:pStyle w:val="TableCell"/>
            </w:pPr>
            <w:r>
              <w:t>FlatRAG</w:t>
            </w:r>
          </w:p>
        </w:tc>
        <w:tc>
          <w:tcPr>
            <w:tcW w:w="1460" w:type="dxa"/>
          </w:tcPr>
          <w:p w14:paraId="3809049C" w14:textId="77777777" w:rsidR="00430DFC" w:rsidRDefault="00000000">
            <w:pPr>
              <w:pStyle w:val="TableCell"/>
            </w:pPr>
            <w:r>
              <w:t>0.248†</w:t>
            </w:r>
          </w:p>
        </w:tc>
        <w:tc>
          <w:tcPr>
            <w:tcW w:w="1460" w:type="dxa"/>
          </w:tcPr>
          <w:p w14:paraId="4D0297CF" w14:textId="77777777" w:rsidR="00430DFC" w:rsidRDefault="00000000">
            <w:pPr>
              <w:pStyle w:val="TableCell"/>
            </w:pPr>
            <w:r>
              <w:t>0.294†</w:t>
            </w:r>
          </w:p>
        </w:tc>
        <w:tc>
          <w:tcPr>
            <w:tcW w:w="1460" w:type="dxa"/>
          </w:tcPr>
          <w:p w14:paraId="7786B072" w14:textId="77777777" w:rsidR="00430DFC" w:rsidRDefault="00000000">
            <w:pPr>
              <w:pStyle w:val="TableCell"/>
            </w:pPr>
            <w:r>
              <w:t>0.81</w:t>
            </w:r>
          </w:p>
        </w:tc>
        <w:tc>
          <w:tcPr>
            <w:tcW w:w="1460" w:type="dxa"/>
          </w:tcPr>
          <w:p w14:paraId="052BF3DD" w14:textId="77777777" w:rsidR="00430DFC" w:rsidRDefault="00000000">
            <w:pPr>
              <w:pStyle w:val="TableCell"/>
            </w:pPr>
            <w:r>
              <w:t>0.057†</w:t>
            </w:r>
          </w:p>
        </w:tc>
        <w:tc>
          <w:tcPr>
            <w:tcW w:w="1460" w:type="dxa"/>
          </w:tcPr>
          <w:p w14:paraId="02370EB9" w14:textId="77777777" w:rsidR="00430DFC" w:rsidRDefault="00000000">
            <w:pPr>
              <w:pStyle w:val="TableCell"/>
            </w:pPr>
            <w:r>
              <w:t>2.04</w:t>
            </w:r>
          </w:p>
        </w:tc>
      </w:tr>
      <w:tr w:rsidR="00430DFC" w14:paraId="1A62D282" w14:textId="77777777">
        <w:tc>
          <w:tcPr>
            <w:tcW w:w="1460" w:type="dxa"/>
          </w:tcPr>
          <w:p w14:paraId="500087A2" w14:textId="77777777" w:rsidR="00430DFC" w:rsidRDefault="00000000">
            <w:pPr>
              <w:pStyle w:val="TableCell"/>
            </w:pPr>
            <w:r>
              <w:t>RAPTOR</w:t>
            </w:r>
          </w:p>
        </w:tc>
        <w:tc>
          <w:tcPr>
            <w:tcW w:w="1460" w:type="dxa"/>
          </w:tcPr>
          <w:p w14:paraId="3F602B3E" w14:textId="77777777" w:rsidR="00430DFC" w:rsidRDefault="00000000">
            <w:pPr>
              <w:pStyle w:val="TableCell"/>
            </w:pPr>
            <w:r>
              <w:t>0.194†</w:t>
            </w:r>
          </w:p>
        </w:tc>
        <w:tc>
          <w:tcPr>
            <w:tcW w:w="1460" w:type="dxa"/>
          </w:tcPr>
          <w:p w14:paraId="6767B7BF" w14:textId="77777777" w:rsidR="00430DFC" w:rsidRDefault="00000000">
            <w:pPr>
              <w:pStyle w:val="TableCell"/>
            </w:pPr>
            <w:r>
              <w:t>0.219†</w:t>
            </w:r>
          </w:p>
        </w:tc>
        <w:tc>
          <w:tcPr>
            <w:tcW w:w="1460" w:type="dxa"/>
          </w:tcPr>
          <w:p w14:paraId="11010C81" w14:textId="77777777" w:rsidR="00430DFC" w:rsidRDefault="00000000">
            <w:pPr>
              <w:pStyle w:val="TableCell"/>
            </w:pPr>
            <w:r>
              <w:t>0.67</w:t>
            </w:r>
          </w:p>
        </w:tc>
        <w:tc>
          <w:tcPr>
            <w:tcW w:w="1460" w:type="dxa"/>
          </w:tcPr>
          <w:p w14:paraId="70497CD7" w14:textId="77777777" w:rsidR="00430DFC" w:rsidRDefault="00000000">
            <w:pPr>
              <w:pStyle w:val="TableCell"/>
            </w:pPr>
            <w:r>
              <w:t>0.059†</w:t>
            </w:r>
          </w:p>
        </w:tc>
        <w:tc>
          <w:tcPr>
            <w:tcW w:w="1460" w:type="dxa"/>
          </w:tcPr>
          <w:p w14:paraId="4E4724FD" w14:textId="77777777" w:rsidR="00430DFC" w:rsidRDefault="00000000">
            <w:pPr>
              <w:pStyle w:val="TableCell"/>
            </w:pPr>
            <w:r>
              <w:t>7.87</w:t>
            </w:r>
          </w:p>
        </w:tc>
      </w:tr>
      <w:tr w:rsidR="00430DFC" w14:paraId="0CA02161" w14:textId="77777777">
        <w:tc>
          <w:tcPr>
            <w:tcW w:w="1460" w:type="dxa"/>
          </w:tcPr>
          <w:p w14:paraId="5C327B79" w14:textId="77777777" w:rsidR="00430DFC" w:rsidRDefault="00000000">
            <w:pPr>
              <w:pStyle w:val="TableCell"/>
            </w:pPr>
            <w:r>
              <w:t>TreeRAG-DFS</w:t>
            </w:r>
          </w:p>
        </w:tc>
        <w:tc>
          <w:tcPr>
            <w:tcW w:w="1460" w:type="dxa"/>
          </w:tcPr>
          <w:p w14:paraId="17B7BE48" w14:textId="77777777" w:rsidR="00430DFC" w:rsidRDefault="00000000">
            <w:pPr>
              <w:pStyle w:val="TableCell"/>
            </w:pPr>
            <w:r>
              <w:t>0.451</w:t>
            </w:r>
          </w:p>
        </w:tc>
        <w:tc>
          <w:tcPr>
            <w:tcW w:w="1460" w:type="dxa"/>
          </w:tcPr>
          <w:p w14:paraId="7F0B8427" w14:textId="77777777" w:rsidR="00430DFC" w:rsidRDefault="00000000">
            <w:pPr>
              <w:pStyle w:val="TableCell"/>
            </w:pPr>
            <w:r>
              <w:t>0.521</w:t>
            </w:r>
          </w:p>
        </w:tc>
        <w:tc>
          <w:tcPr>
            <w:tcW w:w="1460" w:type="dxa"/>
          </w:tcPr>
          <w:p w14:paraId="77D9CE9D" w14:textId="77777777" w:rsidR="00430DFC" w:rsidRDefault="00000000">
            <w:pPr>
              <w:pStyle w:val="TableCell"/>
            </w:pPr>
            <w:r>
              <w:t>0.69</w:t>
            </w:r>
          </w:p>
        </w:tc>
        <w:tc>
          <w:tcPr>
            <w:tcW w:w="1460" w:type="dxa"/>
          </w:tcPr>
          <w:p w14:paraId="79D86660" w14:textId="77777777" w:rsidR="00430DFC" w:rsidRDefault="00000000">
            <w:pPr>
              <w:pStyle w:val="TableCell"/>
            </w:pPr>
            <w:r>
              <w:t>-</w:t>
            </w:r>
          </w:p>
        </w:tc>
        <w:tc>
          <w:tcPr>
            <w:tcW w:w="1460" w:type="dxa"/>
          </w:tcPr>
          <w:p w14:paraId="7DDC6F20" w14:textId="77777777" w:rsidR="00430DFC" w:rsidRDefault="00000000">
            <w:pPr>
              <w:pStyle w:val="TableCell"/>
            </w:pPr>
            <w:r>
              <w:t>1.22</w:t>
            </w:r>
          </w:p>
        </w:tc>
      </w:tr>
      <w:tr w:rsidR="00430DFC" w14:paraId="1DBFD857" w14:textId="77777777">
        <w:tc>
          <w:tcPr>
            <w:tcW w:w="1460" w:type="dxa"/>
          </w:tcPr>
          <w:p w14:paraId="762D385D" w14:textId="77777777" w:rsidR="00430DFC" w:rsidRDefault="00000000">
            <w:pPr>
              <w:pStyle w:val="TableCell"/>
            </w:pPr>
            <w:r>
              <w:t>TreeRAG-Beam</w:t>
            </w:r>
          </w:p>
        </w:tc>
        <w:tc>
          <w:tcPr>
            <w:tcW w:w="1460" w:type="dxa"/>
          </w:tcPr>
          <w:p w14:paraId="3FD8357B" w14:textId="77777777" w:rsidR="00430DFC" w:rsidRDefault="00000000">
            <w:pPr>
              <w:pStyle w:val="TableCell"/>
            </w:pPr>
            <w:r>
              <w:t>0.428</w:t>
            </w:r>
          </w:p>
        </w:tc>
        <w:tc>
          <w:tcPr>
            <w:tcW w:w="1460" w:type="dxa"/>
          </w:tcPr>
          <w:p w14:paraId="64888686" w14:textId="77777777" w:rsidR="00430DFC" w:rsidRDefault="00000000">
            <w:pPr>
              <w:pStyle w:val="TableCell"/>
            </w:pPr>
            <w:r>
              <w:t>0.498</w:t>
            </w:r>
          </w:p>
        </w:tc>
        <w:tc>
          <w:tcPr>
            <w:tcW w:w="1460" w:type="dxa"/>
          </w:tcPr>
          <w:p w14:paraId="649DB086" w14:textId="77777777" w:rsidR="00430DFC" w:rsidRDefault="00000000">
            <w:pPr>
              <w:pStyle w:val="TableCell"/>
            </w:pPr>
            <w:r>
              <w:t>0.70</w:t>
            </w:r>
          </w:p>
        </w:tc>
        <w:tc>
          <w:tcPr>
            <w:tcW w:w="1460" w:type="dxa"/>
          </w:tcPr>
          <w:p w14:paraId="1089E976" w14:textId="77777777" w:rsidR="00430DFC" w:rsidRDefault="00000000">
            <w:pPr>
              <w:pStyle w:val="TableCell"/>
            </w:pPr>
            <w:r>
              <w:t>0.169</w:t>
            </w:r>
          </w:p>
        </w:tc>
        <w:tc>
          <w:tcPr>
            <w:tcW w:w="1460" w:type="dxa"/>
          </w:tcPr>
          <w:p w14:paraId="15CE131C" w14:textId="77777777" w:rsidR="00430DFC" w:rsidRDefault="00000000">
            <w:pPr>
              <w:pStyle w:val="TableCell"/>
            </w:pPr>
            <w:r>
              <w:t>1.04</w:t>
            </w:r>
          </w:p>
        </w:tc>
      </w:tr>
    </w:tbl>
    <w:p w14:paraId="63DB39CD" w14:textId="77777777" w:rsidR="00430DFC" w:rsidRDefault="00000000">
      <w:pPr>
        <w:pStyle w:val="Image"/>
      </w:pPr>
      <w:r>
        <w:rPr>
          <w:noProof/>
        </w:rPr>
        <w:lastRenderedPageBreak/>
        <w:drawing>
          <wp:inline distT="0" distB="0" distL="0" distR="0" wp14:anchorId="61B92D99" wp14:editId="18172239">
            <wp:extent cx="4846320" cy="30395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ain_results.png"/>
                    <pic:cNvPicPr/>
                  </pic:nvPicPr>
                  <pic:blipFill>
                    <a:blip r:embed="rId9"/>
                    <a:stretch>
                      <a:fillRect/>
                    </a:stretch>
                  </pic:blipFill>
                  <pic:spPr>
                    <a:xfrm>
                      <a:off x="0" y="0"/>
                      <a:ext cx="4846320" cy="3039578"/>
                    </a:xfrm>
                    <a:prstGeom prst="rect">
                      <a:avLst/>
                    </a:prstGeom>
                  </pic:spPr>
                </pic:pic>
              </a:graphicData>
            </a:graphic>
          </wp:inline>
        </w:drawing>
      </w:r>
    </w:p>
    <w:p w14:paraId="6C455027" w14:textId="77777777" w:rsidR="00430DFC" w:rsidRDefault="00000000">
      <w:pPr>
        <w:pStyle w:val="FigureCaption"/>
      </w:pPr>
      <w:r>
        <w:t>Figure 3: ROUGE-L and BERTScore on the full benchmark (n = 204). Both TreeRAG variants outperform all four baselines.</w:t>
      </w:r>
    </w:p>
    <w:p w14:paraId="3A20CA79" w14:textId="77777777" w:rsidR="00430DFC" w:rsidRDefault="00000000">
      <w:pPr>
        <w:pStyle w:val="Image"/>
      </w:pPr>
      <w:r>
        <w:rPr>
          <w:noProof/>
        </w:rPr>
        <w:drawing>
          <wp:inline distT="0" distB="0" distL="0" distR="0" wp14:anchorId="4A889DCD" wp14:editId="761AAB0B">
            <wp:extent cx="4846320" cy="30092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ultihop.png"/>
                    <pic:cNvPicPr/>
                  </pic:nvPicPr>
                  <pic:blipFill>
                    <a:blip r:embed="rId10"/>
                    <a:stretch>
                      <a:fillRect/>
                    </a:stretch>
                  </pic:blipFill>
                  <pic:spPr>
                    <a:xfrm>
                      <a:off x="0" y="0"/>
                      <a:ext cx="4846320" cy="3009222"/>
                    </a:xfrm>
                    <a:prstGeom prst="rect">
                      <a:avLst/>
                    </a:prstGeom>
                  </pic:spPr>
                </pic:pic>
              </a:graphicData>
            </a:graphic>
          </wp:inline>
        </w:drawing>
      </w:r>
    </w:p>
    <w:p w14:paraId="170469CA" w14:textId="77777777" w:rsidR="00430DFC" w:rsidRDefault="00000000">
      <w:pPr>
        <w:pStyle w:val="FigureCaption"/>
        <w:rPr>
          <w:rFonts w:hint="eastAsia"/>
          <w:lang w:eastAsia="ko-KR"/>
        </w:rPr>
      </w:pPr>
      <w:r>
        <w:t>Figure 4: Multi-hop ROUGE-L on the HotpotQA subset (n = 20). TreeRAG-Beam leads, confirming that beam-guided traversal suits multi-evidence synthesis.</w:t>
      </w:r>
    </w:p>
    <w:p w14:paraId="1F5B1817" w14:textId="77777777" w:rsidR="00430DFC" w:rsidRDefault="00000000">
      <w:pPr>
        <w:pStyle w:val="Head2"/>
      </w:pPr>
      <w:r>
        <w:t>Medical Domain Results</w:t>
      </w:r>
    </w:p>
    <w:p w14:paraId="04B7FC8E" w14:textId="77777777" w:rsidR="00430DFC" w:rsidRDefault="00000000">
      <w:pPr>
        <w:pStyle w:val="PostHeadPara"/>
      </w:pPr>
      <w:r>
        <w:lastRenderedPageBreak/>
        <w:t>Table 3 and Figure 5 present domain-specific results on the 42-question medical benchmark. TreeRAG-DFS achieves the highest ROUGE-L (0.366) while maintaining perfect medical entity recall (1.000) and the smallest non-zero context footprint (73.5 tokens). Critically, RAPTOR drops to ROUGE-L 0.053 (-85.5% vs. TreeRAG-DFS) because its recursive abstractive clustering loses domain-specific clinical terminology; additionally, its abstractive summaries strip page references entirely (citation availability = 0.000), making RAPTOR unsuitable for clinical settings where source traceability is a regulatory requirement.</w:t>
      </w:r>
    </w:p>
    <w:p w14:paraId="21609108" w14:textId="77777777" w:rsidR="00430DFC" w:rsidRDefault="00000000">
      <w:pPr>
        <w:pStyle w:val="Para"/>
      </w:pPr>
      <w:r>
        <w:t>TreeRAG-Beam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whose distributional representation drifts from the query embedding.</w:t>
      </w:r>
    </w:p>
    <w:p w14:paraId="10A8914A" w14:textId="77777777" w:rsidR="00430DFC" w:rsidRDefault="00000000">
      <w:pPr>
        <w:pStyle w:val="TableCaption"/>
      </w:pPr>
      <w:r>
        <w:t>Table 3: Medical Domain Results (n = 42). ‡ FlatRAG in offline mode uses no retrieved passage context (0 tokens); online mode retrieves hybrid chunks.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8"/>
        <w:gridCol w:w="2188"/>
        <w:gridCol w:w="2187"/>
        <w:gridCol w:w="2187"/>
      </w:tblGrid>
      <w:tr w:rsidR="00430DFC" w14:paraId="39150D5A" w14:textId="77777777">
        <w:tc>
          <w:tcPr>
            <w:tcW w:w="2190" w:type="dxa"/>
          </w:tcPr>
          <w:p w14:paraId="2DDA6BE5" w14:textId="77777777" w:rsidR="00430DFC" w:rsidRDefault="00000000">
            <w:pPr>
              <w:pStyle w:val="TableCell"/>
            </w:pPr>
            <w:r>
              <w:rPr>
                <w:b/>
              </w:rPr>
              <w:t>System</w:t>
            </w:r>
          </w:p>
        </w:tc>
        <w:tc>
          <w:tcPr>
            <w:tcW w:w="2190" w:type="dxa"/>
          </w:tcPr>
          <w:p w14:paraId="2F6A09E2" w14:textId="77777777" w:rsidR="00430DFC" w:rsidRDefault="00000000">
            <w:pPr>
              <w:pStyle w:val="TableCell"/>
            </w:pPr>
            <w:r>
              <w:rPr>
                <w:b/>
              </w:rPr>
              <w:t>ROUGE-L</w:t>
            </w:r>
          </w:p>
        </w:tc>
        <w:tc>
          <w:tcPr>
            <w:tcW w:w="2190" w:type="dxa"/>
          </w:tcPr>
          <w:p w14:paraId="1209E6D7" w14:textId="77777777" w:rsidR="00430DFC" w:rsidRDefault="00000000">
            <w:pPr>
              <w:pStyle w:val="TableCell"/>
            </w:pPr>
            <w:r>
              <w:rPr>
                <w:b/>
              </w:rPr>
              <w:t>Med. Entity Recall</w:t>
            </w:r>
          </w:p>
        </w:tc>
        <w:tc>
          <w:tcPr>
            <w:tcW w:w="2190" w:type="dxa"/>
          </w:tcPr>
          <w:p w14:paraId="20E98160" w14:textId="77777777" w:rsidR="00430DFC" w:rsidRDefault="00000000">
            <w:pPr>
              <w:pStyle w:val="TableCell"/>
            </w:pPr>
            <w:r>
              <w:rPr>
                <w:b/>
              </w:rPr>
              <w:t>Avg Ctx (tok)</w:t>
            </w:r>
          </w:p>
        </w:tc>
      </w:tr>
      <w:tr w:rsidR="00430DFC" w14:paraId="7C4007DB" w14:textId="77777777">
        <w:tc>
          <w:tcPr>
            <w:tcW w:w="2190" w:type="dxa"/>
          </w:tcPr>
          <w:p w14:paraId="77AE087D" w14:textId="77777777" w:rsidR="00430DFC" w:rsidRDefault="00000000">
            <w:pPr>
              <w:pStyle w:val="TableCell"/>
            </w:pPr>
            <w:r>
              <w:t>BM25</w:t>
            </w:r>
          </w:p>
        </w:tc>
        <w:tc>
          <w:tcPr>
            <w:tcW w:w="2190" w:type="dxa"/>
          </w:tcPr>
          <w:p w14:paraId="6A889899" w14:textId="77777777" w:rsidR="00430DFC" w:rsidRDefault="00000000">
            <w:pPr>
              <w:pStyle w:val="TableCell"/>
            </w:pPr>
            <w:r>
              <w:t>0.358</w:t>
            </w:r>
          </w:p>
        </w:tc>
        <w:tc>
          <w:tcPr>
            <w:tcW w:w="2190" w:type="dxa"/>
          </w:tcPr>
          <w:p w14:paraId="155302B9" w14:textId="77777777" w:rsidR="00430DFC" w:rsidRDefault="00000000">
            <w:pPr>
              <w:pStyle w:val="TableCell"/>
            </w:pPr>
            <w:r>
              <w:t>1.000</w:t>
            </w:r>
          </w:p>
        </w:tc>
        <w:tc>
          <w:tcPr>
            <w:tcW w:w="2190" w:type="dxa"/>
          </w:tcPr>
          <w:p w14:paraId="2C9C1E38" w14:textId="77777777" w:rsidR="00430DFC" w:rsidRDefault="00000000">
            <w:pPr>
              <w:pStyle w:val="TableCell"/>
            </w:pPr>
            <w:r>
              <w:t>76.7</w:t>
            </w:r>
          </w:p>
        </w:tc>
      </w:tr>
      <w:tr w:rsidR="00430DFC" w14:paraId="1F432DE2" w14:textId="77777777">
        <w:tc>
          <w:tcPr>
            <w:tcW w:w="2190" w:type="dxa"/>
          </w:tcPr>
          <w:p w14:paraId="3F7A61A2" w14:textId="77777777" w:rsidR="00430DFC" w:rsidRDefault="00000000">
            <w:pPr>
              <w:pStyle w:val="TableCell"/>
            </w:pPr>
            <w:r>
              <w:t>Dense Retrieval</w:t>
            </w:r>
          </w:p>
        </w:tc>
        <w:tc>
          <w:tcPr>
            <w:tcW w:w="2190" w:type="dxa"/>
          </w:tcPr>
          <w:p w14:paraId="55004E1B" w14:textId="77777777" w:rsidR="00430DFC" w:rsidRDefault="00000000">
            <w:pPr>
              <w:pStyle w:val="TableCell"/>
            </w:pPr>
            <w:r>
              <w:t>0.315</w:t>
            </w:r>
          </w:p>
        </w:tc>
        <w:tc>
          <w:tcPr>
            <w:tcW w:w="2190" w:type="dxa"/>
          </w:tcPr>
          <w:p w14:paraId="07C13BE0" w14:textId="77777777" w:rsidR="00430DFC" w:rsidRDefault="00000000">
            <w:pPr>
              <w:pStyle w:val="TableCell"/>
            </w:pPr>
            <w:r>
              <w:t>0.992</w:t>
            </w:r>
          </w:p>
        </w:tc>
        <w:tc>
          <w:tcPr>
            <w:tcW w:w="2190" w:type="dxa"/>
          </w:tcPr>
          <w:p w14:paraId="1B22C097" w14:textId="77777777" w:rsidR="00430DFC" w:rsidRDefault="00000000">
            <w:pPr>
              <w:pStyle w:val="TableCell"/>
            </w:pPr>
            <w:r>
              <w:t>78.0</w:t>
            </w:r>
          </w:p>
        </w:tc>
      </w:tr>
      <w:tr w:rsidR="00430DFC" w14:paraId="686152CA" w14:textId="77777777">
        <w:tc>
          <w:tcPr>
            <w:tcW w:w="2190" w:type="dxa"/>
          </w:tcPr>
          <w:p w14:paraId="6F440673" w14:textId="77777777" w:rsidR="00430DFC" w:rsidRDefault="00000000">
            <w:pPr>
              <w:pStyle w:val="TableCell"/>
            </w:pPr>
            <w:r>
              <w:t>FlatRAG</w:t>
            </w:r>
          </w:p>
        </w:tc>
        <w:tc>
          <w:tcPr>
            <w:tcW w:w="2190" w:type="dxa"/>
          </w:tcPr>
          <w:p w14:paraId="1FB85155" w14:textId="77777777" w:rsidR="00430DFC" w:rsidRDefault="00000000">
            <w:pPr>
              <w:pStyle w:val="TableCell"/>
            </w:pPr>
            <w:r>
              <w:t>0.271</w:t>
            </w:r>
          </w:p>
        </w:tc>
        <w:tc>
          <w:tcPr>
            <w:tcW w:w="2190" w:type="dxa"/>
          </w:tcPr>
          <w:p w14:paraId="7D14DE66" w14:textId="77777777" w:rsidR="00430DFC" w:rsidRDefault="00000000">
            <w:pPr>
              <w:pStyle w:val="TableCell"/>
            </w:pPr>
            <w:r>
              <w:t>1.000</w:t>
            </w:r>
          </w:p>
        </w:tc>
        <w:tc>
          <w:tcPr>
            <w:tcW w:w="2190" w:type="dxa"/>
          </w:tcPr>
          <w:p w14:paraId="24A4FBEC" w14:textId="77777777" w:rsidR="00430DFC" w:rsidRDefault="00000000">
            <w:pPr>
              <w:pStyle w:val="TableCell"/>
            </w:pPr>
            <w:r>
              <w:t>0.0‡</w:t>
            </w:r>
          </w:p>
        </w:tc>
      </w:tr>
      <w:tr w:rsidR="00430DFC" w14:paraId="569749AF" w14:textId="77777777">
        <w:tc>
          <w:tcPr>
            <w:tcW w:w="2190" w:type="dxa"/>
          </w:tcPr>
          <w:p w14:paraId="78B20937" w14:textId="77777777" w:rsidR="00430DFC" w:rsidRDefault="00000000">
            <w:pPr>
              <w:pStyle w:val="TableCell"/>
            </w:pPr>
            <w:r>
              <w:t>RAPTOR</w:t>
            </w:r>
          </w:p>
        </w:tc>
        <w:tc>
          <w:tcPr>
            <w:tcW w:w="2190" w:type="dxa"/>
          </w:tcPr>
          <w:p w14:paraId="61186A28" w14:textId="77777777" w:rsidR="00430DFC" w:rsidRDefault="00000000">
            <w:pPr>
              <w:pStyle w:val="TableCell"/>
            </w:pPr>
            <w:r>
              <w:t>0.053</w:t>
            </w:r>
          </w:p>
        </w:tc>
        <w:tc>
          <w:tcPr>
            <w:tcW w:w="2190" w:type="dxa"/>
          </w:tcPr>
          <w:p w14:paraId="00AD5F05" w14:textId="77777777" w:rsidR="00430DFC" w:rsidRDefault="00000000">
            <w:pPr>
              <w:pStyle w:val="TableCell"/>
            </w:pPr>
            <w:r>
              <w:t>0.895</w:t>
            </w:r>
          </w:p>
        </w:tc>
        <w:tc>
          <w:tcPr>
            <w:tcW w:w="2190" w:type="dxa"/>
          </w:tcPr>
          <w:p w14:paraId="1622F82B" w14:textId="77777777" w:rsidR="00430DFC" w:rsidRDefault="00000000">
            <w:pPr>
              <w:pStyle w:val="TableCell"/>
            </w:pPr>
            <w:r>
              <w:t>300.5</w:t>
            </w:r>
          </w:p>
        </w:tc>
      </w:tr>
      <w:tr w:rsidR="00430DFC" w14:paraId="366F14C0" w14:textId="77777777">
        <w:tc>
          <w:tcPr>
            <w:tcW w:w="2190" w:type="dxa"/>
          </w:tcPr>
          <w:p w14:paraId="04F2AF88" w14:textId="77777777" w:rsidR="00430DFC" w:rsidRDefault="00000000">
            <w:pPr>
              <w:pStyle w:val="TableCell"/>
            </w:pPr>
            <w:r>
              <w:t>TreeRAG-DFS</w:t>
            </w:r>
          </w:p>
        </w:tc>
        <w:tc>
          <w:tcPr>
            <w:tcW w:w="2190" w:type="dxa"/>
          </w:tcPr>
          <w:p w14:paraId="6D44B451" w14:textId="77777777" w:rsidR="00430DFC" w:rsidRDefault="00000000">
            <w:pPr>
              <w:pStyle w:val="TableCell"/>
            </w:pPr>
            <w:r>
              <w:t>0.366</w:t>
            </w:r>
          </w:p>
        </w:tc>
        <w:tc>
          <w:tcPr>
            <w:tcW w:w="2190" w:type="dxa"/>
          </w:tcPr>
          <w:p w14:paraId="7FC6854D" w14:textId="77777777" w:rsidR="00430DFC" w:rsidRDefault="00000000">
            <w:pPr>
              <w:pStyle w:val="TableCell"/>
            </w:pPr>
            <w:r>
              <w:t>1.000</w:t>
            </w:r>
          </w:p>
        </w:tc>
        <w:tc>
          <w:tcPr>
            <w:tcW w:w="2190" w:type="dxa"/>
          </w:tcPr>
          <w:p w14:paraId="7DF4E12A" w14:textId="77777777" w:rsidR="00430DFC" w:rsidRDefault="00000000">
            <w:pPr>
              <w:pStyle w:val="TableCell"/>
            </w:pPr>
            <w:r>
              <w:t>73.5</w:t>
            </w:r>
          </w:p>
        </w:tc>
      </w:tr>
      <w:tr w:rsidR="00430DFC" w14:paraId="6AB52645" w14:textId="77777777">
        <w:tc>
          <w:tcPr>
            <w:tcW w:w="2190" w:type="dxa"/>
          </w:tcPr>
          <w:p w14:paraId="5E7BD367" w14:textId="77777777" w:rsidR="00430DFC" w:rsidRDefault="00000000">
            <w:pPr>
              <w:pStyle w:val="TableCell"/>
            </w:pPr>
            <w:r>
              <w:t>TreeRAG-Beam</w:t>
            </w:r>
          </w:p>
        </w:tc>
        <w:tc>
          <w:tcPr>
            <w:tcW w:w="2190" w:type="dxa"/>
          </w:tcPr>
          <w:p w14:paraId="4F6A0576" w14:textId="77777777" w:rsidR="00430DFC" w:rsidRDefault="00000000">
            <w:pPr>
              <w:pStyle w:val="TableCell"/>
            </w:pPr>
            <w:r>
              <w:t>0.265</w:t>
            </w:r>
          </w:p>
        </w:tc>
        <w:tc>
          <w:tcPr>
            <w:tcW w:w="2190" w:type="dxa"/>
          </w:tcPr>
          <w:p w14:paraId="3160610D" w14:textId="77777777" w:rsidR="00430DFC" w:rsidRDefault="00000000">
            <w:pPr>
              <w:pStyle w:val="TableCell"/>
            </w:pPr>
            <w:r>
              <w:t>1.000</w:t>
            </w:r>
          </w:p>
        </w:tc>
        <w:tc>
          <w:tcPr>
            <w:tcW w:w="2190" w:type="dxa"/>
          </w:tcPr>
          <w:p w14:paraId="5977F9C0" w14:textId="77777777" w:rsidR="00430DFC" w:rsidRDefault="00000000">
            <w:pPr>
              <w:pStyle w:val="TableCell"/>
            </w:pPr>
            <w:r>
              <w:t>115.5</w:t>
            </w:r>
          </w:p>
        </w:tc>
      </w:tr>
    </w:tbl>
    <w:p w14:paraId="428A1802" w14:textId="77777777" w:rsidR="00430DFC" w:rsidRDefault="00000000">
      <w:pPr>
        <w:pStyle w:val="Image"/>
      </w:pPr>
      <w:r>
        <w:rPr>
          <w:noProof/>
        </w:rPr>
        <w:drawing>
          <wp:inline distT="0" distB="0" distL="0" distR="0" wp14:anchorId="7820C293" wp14:editId="1BD56BBA">
            <wp:extent cx="4846320" cy="26560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dical.png"/>
                    <pic:cNvPicPr/>
                  </pic:nvPicPr>
                  <pic:blipFill>
                    <a:blip r:embed="rId11"/>
                    <a:stretch>
                      <a:fillRect/>
                    </a:stretch>
                  </pic:blipFill>
                  <pic:spPr>
                    <a:xfrm>
                      <a:off x="0" y="0"/>
                      <a:ext cx="4846320" cy="2656078"/>
                    </a:xfrm>
                    <a:prstGeom prst="rect">
                      <a:avLst/>
                    </a:prstGeom>
                  </pic:spPr>
                </pic:pic>
              </a:graphicData>
            </a:graphic>
          </wp:inline>
        </w:drawing>
      </w:r>
    </w:p>
    <w:p w14:paraId="46C7D0A1" w14:textId="77777777" w:rsidR="00430DFC" w:rsidRDefault="00000000">
      <w:pPr>
        <w:pStyle w:val="FigureCaption"/>
      </w:pPr>
      <w:r>
        <w:t>Figure 5: Medical-domain comparison (n = 42). TreeRAG-DFS leads on ROUGE-L with perfect entity recall, while RAPTOR collapses and loses page citations.</w:t>
      </w:r>
    </w:p>
    <w:p w14:paraId="7A9B8A66" w14:textId="77777777" w:rsidR="00430DFC" w:rsidRDefault="00000000">
      <w:pPr>
        <w:pStyle w:val="Head2"/>
      </w:pPr>
      <w:r>
        <w:t>Ablation Study</w:t>
      </w:r>
    </w:p>
    <w:p w14:paraId="3C196A0F" w14:textId="77777777" w:rsidR="00430DFC" w:rsidRDefault="00000000">
      <w:pPr>
        <w:pStyle w:val="PostHeadPara"/>
      </w:pPr>
      <w:r>
        <w:t xml:space="preserve">Table 4 and Figure 6 isolate the contribution of each component by progressively enabling features. Four findings emerge. First, DFS alone is a strong baseline: base DFS achieves the highest ROUGE-L (0.496 vs. 0.449 for Full, delta = +0.047), </w:t>
      </w:r>
      <w:r>
        <w:lastRenderedPageBreak/>
        <w:t>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14:paraId="360696CB" w14:textId="77777777" w:rsidR="00430DFC" w:rsidRDefault="00000000">
      <w:pPr>
        <w:pStyle w:val="TableCaption"/>
      </w:pPr>
      <w:r>
        <w:t>Table 4: Ablation Study (n = 70, General Benchmark). Delta = difference vs. Full System; positive = higher than Full.</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8"/>
        <w:gridCol w:w="2188"/>
        <w:gridCol w:w="2187"/>
        <w:gridCol w:w="2187"/>
      </w:tblGrid>
      <w:tr w:rsidR="00430DFC" w14:paraId="19D86221" w14:textId="77777777">
        <w:tc>
          <w:tcPr>
            <w:tcW w:w="2190" w:type="dxa"/>
          </w:tcPr>
          <w:p w14:paraId="35D3BF51" w14:textId="77777777" w:rsidR="00430DFC" w:rsidRDefault="00000000">
            <w:pPr>
              <w:pStyle w:val="TableCell"/>
            </w:pPr>
            <w:r>
              <w:rPr>
                <w:b/>
              </w:rPr>
              <w:t>Configuration</w:t>
            </w:r>
          </w:p>
        </w:tc>
        <w:tc>
          <w:tcPr>
            <w:tcW w:w="2190" w:type="dxa"/>
          </w:tcPr>
          <w:p w14:paraId="175F4A8A" w14:textId="77777777" w:rsidR="00430DFC" w:rsidRDefault="00000000">
            <w:pPr>
              <w:pStyle w:val="TableCell"/>
            </w:pPr>
            <w:r>
              <w:rPr>
                <w:b/>
              </w:rPr>
              <w:t>ROUGE-L</w:t>
            </w:r>
          </w:p>
        </w:tc>
        <w:tc>
          <w:tcPr>
            <w:tcW w:w="2190" w:type="dxa"/>
          </w:tcPr>
          <w:p w14:paraId="3DBB47E1" w14:textId="77777777" w:rsidR="00430DFC" w:rsidRDefault="00000000">
            <w:pPr>
              <w:pStyle w:val="TableCell"/>
            </w:pPr>
            <w:r>
              <w:rPr>
                <w:b/>
              </w:rPr>
              <w:t>Delta vs. Full</w:t>
            </w:r>
          </w:p>
        </w:tc>
        <w:tc>
          <w:tcPr>
            <w:tcW w:w="2190" w:type="dxa"/>
          </w:tcPr>
          <w:p w14:paraId="54C161F9" w14:textId="77777777" w:rsidR="00430DFC" w:rsidRDefault="00000000">
            <w:pPr>
              <w:pStyle w:val="TableCell"/>
            </w:pPr>
            <w:r>
              <w:rPr>
                <w:b/>
              </w:rPr>
              <w:t>Avg Ctx (tok)</w:t>
            </w:r>
          </w:p>
        </w:tc>
      </w:tr>
      <w:tr w:rsidR="00430DFC" w14:paraId="34A75DD2" w14:textId="77777777">
        <w:tc>
          <w:tcPr>
            <w:tcW w:w="2190" w:type="dxa"/>
          </w:tcPr>
          <w:p w14:paraId="1D394935" w14:textId="77777777" w:rsidR="00430DFC" w:rsidRDefault="00000000">
            <w:pPr>
              <w:pStyle w:val="TableCell"/>
            </w:pPr>
            <w:r>
              <w:t>Base (DFS, no compress, no ref)</w:t>
            </w:r>
          </w:p>
        </w:tc>
        <w:tc>
          <w:tcPr>
            <w:tcW w:w="2190" w:type="dxa"/>
          </w:tcPr>
          <w:p w14:paraId="39BA3917" w14:textId="77777777" w:rsidR="00430DFC" w:rsidRDefault="00000000">
            <w:pPr>
              <w:pStyle w:val="TableCell"/>
            </w:pPr>
            <w:r>
              <w:t>0.496</w:t>
            </w:r>
          </w:p>
        </w:tc>
        <w:tc>
          <w:tcPr>
            <w:tcW w:w="2190" w:type="dxa"/>
          </w:tcPr>
          <w:p w14:paraId="382D0218" w14:textId="77777777" w:rsidR="00430DFC" w:rsidRDefault="00000000">
            <w:pPr>
              <w:pStyle w:val="TableCell"/>
            </w:pPr>
            <w:r>
              <w:t>+0.047</w:t>
            </w:r>
          </w:p>
        </w:tc>
        <w:tc>
          <w:tcPr>
            <w:tcW w:w="2190" w:type="dxa"/>
          </w:tcPr>
          <w:p w14:paraId="31B62B49" w14:textId="77777777" w:rsidR="00430DFC" w:rsidRDefault="00000000">
            <w:pPr>
              <w:pStyle w:val="TableCell"/>
            </w:pPr>
            <w:r>
              <w:t>107.4</w:t>
            </w:r>
          </w:p>
        </w:tc>
      </w:tr>
      <w:tr w:rsidR="00430DFC" w14:paraId="78BBCF95" w14:textId="77777777">
        <w:tc>
          <w:tcPr>
            <w:tcW w:w="2190" w:type="dxa"/>
          </w:tcPr>
          <w:p w14:paraId="13C71403" w14:textId="77777777" w:rsidR="00430DFC" w:rsidRDefault="00000000">
            <w:pPr>
              <w:pStyle w:val="TableCell"/>
            </w:pPr>
            <w:r>
              <w:t>+ Beam (no compress, no ref)</w:t>
            </w:r>
          </w:p>
        </w:tc>
        <w:tc>
          <w:tcPr>
            <w:tcW w:w="2190" w:type="dxa"/>
          </w:tcPr>
          <w:p w14:paraId="57577EF2" w14:textId="77777777" w:rsidR="00430DFC" w:rsidRDefault="00000000">
            <w:pPr>
              <w:pStyle w:val="TableCell"/>
            </w:pPr>
            <w:r>
              <w:t>0.399</w:t>
            </w:r>
          </w:p>
        </w:tc>
        <w:tc>
          <w:tcPr>
            <w:tcW w:w="2190" w:type="dxa"/>
          </w:tcPr>
          <w:p w14:paraId="52ADEB2C" w14:textId="77777777" w:rsidR="00430DFC" w:rsidRDefault="00000000">
            <w:pPr>
              <w:pStyle w:val="TableCell"/>
            </w:pPr>
            <w:r>
              <w:t>-0.050</w:t>
            </w:r>
          </w:p>
        </w:tc>
        <w:tc>
          <w:tcPr>
            <w:tcW w:w="2190" w:type="dxa"/>
          </w:tcPr>
          <w:p w14:paraId="7523C7FB" w14:textId="77777777" w:rsidR="00430DFC" w:rsidRDefault="00000000">
            <w:pPr>
              <w:pStyle w:val="TableCell"/>
            </w:pPr>
            <w:r>
              <w:t>170.5</w:t>
            </w:r>
          </w:p>
        </w:tc>
      </w:tr>
      <w:tr w:rsidR="00430DFC" w14:paraId="1F589AD5" w14:textId="77777777">
        <w:tc>
          <w:tcPr>
            <w:tcW w:w="2190" w:type="dxa"/>
          </w:tcPr>
          <w:p w14:paraId="58177A71" w14:textId="77777777" w:rsidR="00430DFC" w:rsidRDefault="00000000">
            <w:pPr>
              <w:pStyle w:val="TableCell"/>
            </w:pPr>
            <w:r>
              <w:t>+ Beam + Compression</w:t>
            </w:r>
          </w:p>
        </w:tc>
        <w:tc>
          <w:tcPr>
            <w:tcW w:w="2190" w:type="dxa"/>
          </w:tcPr>
          <w:p w14:paraId="17C12FDF" w14:textId="77777777" w:rsidR="00430DFC" w:rsidRDefault="00000000">
            <w:pPr>
              <w:pStyle w:val="TableCell"/>
            </w:pPr>
            <w:r>
              <w:t>0.493</w:t>
            </w:r>
          </w:p>
        </w:tc>
        <w:tc>
          <w:tcPr>
            <w:tcW w:w="2190" w:type="dxa"/>
          </w:tcPr>
          <w:p w14:paraId="69564A49" w14:textId="77777777" w:rsidR="00430DFC" w:rsidRDefault="00000000">
            <w:pPr>
              <w:pStyle w:val="TableCell"/>
            </w:pPr>
            <w:r>
              <w:t>+0.044</w:t>
            </w:r>
          </w:p>
        </w:tc>
        <w:tc>
          <w:tcPr>
            <w:tcW w:w="2190" w:type="dxa"/>
          </w:tcPr>
          <w:p w14:paraId="2E6CCF47" w14:textId="77777777" w:rsidR="00430DFC" w:rsidRDefault="00000000">
            <w:pPr>
              <w:pStyle w:val="TableCell"/>
            </w:pPr>
            <w:r>
              <w:t>107.5</w:t>
            </w:r>
          </w:p>
        </w:tc>
      </w:tr>
      <w:tr w:rsidR="00430DFC" w14:paraId="680C6534" w14:textId="77777777">
        <w:tc>
          <w:tcPr>
            <w:tcW w:w="2190" w:type="dxa"/>
          </w:tcPr>
          <w:p w14:paraId="25388E29" w14:textId="77777777" w:rsidR="00430DFC" w:rsidRDefault="00000000">
            <w:pPr>
              <w:pStyle w:val="TableCell"/>
            </w:pPr>
            <w:r>
              <w:t>Full (Beam + Compress + Ref)</w:t>
            </w:r>
          </w:p>
        </w:tc>
        <w:tc>
          <w:tcPr>
            <w:tcW w:w="2190" w:type="dxa"/>
          </w:tcPr>
          <w:p w14:paraId="05B277E4" w14:textId="77777777" w:rsidR="00430DFC" w:rsidRDefault="00000000">
            <w:pPr>
              <w:pStyle w:val="TableCell"/>
            </w:pPr>
            <w:r>
              <w:t>0.449</w:t>
            </w:r>
          </w:p>
        </w:tc>
        <w:tc>
          <w:tcPr>
            <w:tcW w:w="2190" w:type="dxa"/>
          </w:tcPr>
          <w:p w14:paraId="2AAE13C3" w14:textId="77777777" w:rsidR="00430DFC" w:rsidRDefault="00000000">
            <w:pPr>
              <w:pStyle w:val="TableCell"/>
            </w:pPr>
            <w:r>
              <w:t>-</w:t>
            </w:r>
          </w:p>
        </w:tc>
        <w:tc>
          <w:tcPr>
            <w:tcW w:w="2190" w:type="dxa"/>
          </w:tcPr>
          <w:p w14:paraId="7338E093" w14:textId="77777777" w:rsidR="00430DFC" w:rsidRDefault="00000000">
            <w:pPr>
              <w:pStyle w:val="TableCell"/>
            </w:pPr>
            <w:r>
              <w:t>138.9</w:t>
            </w:r>
          </w:p>
        </w:tc>
      </w:tr>
    </w:tbl>
    <w:p w14:paraId="3E937B32" w14:textId="77777777" w:rsidR="00430DFC" w:rsidRDefault="00000000">
      <w:pPr>
        <w:pStyle w:val="Image"/>
      </w:pPr>
      <w:r>
        <w:rPr>
          <w:noProof/>
        </w:rPr>
        <w:drawing>
          <wp:inline distT="0" distB="0" distL="0" distR="0" wp14:anchorId="65928ED1" wp14:editId="427DD65F">
            <wp:extent cx="4846320" cy="2600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blation.png"/>
                    <pic:cNvPicPr/>
                  </pic:nvPicPr>
                  <pic:blipFill>
                    <a:blip r:embed="rId12"/>
                    <a:stretch>
                      <a:fillRect/>
                    </a:stretch>
                  </pic:blipFill>
                  <pic:spPr>
                    <a:xfrm>
                      <a:off x="0" y="0"/>
                      <a:ext cx="4846320" cy="2600864"/>
                    </a:xfrm>
                    <a:prstGeom prst="rect">
                      <a:avLst/>
                    </a:prstGeom>
                  </pic:spPr>
                </pic:pic>
              </a:graphicData>
            </a:graphic>
          </wp:inline>
        </w:drawing>
      </w:r>
    </w:p>
    <w:p w14:paraId="3AE9F7F1" w14:textId="77777777" w:rsidR="00430DFC" w:rsidRDefault="00000000">
      <w:pPr>
        <w:pStyle w:val="FigureCaption"/>
      </w:pPr>
      <w:r>
        <w:t>Figure 6: Ablation study (n = 70). Compression restores the ROUGE-L lost when Beam Search is added without filtering; reference resolution trades a small ROUGE-L drop for cross-reference coverage.</w:t>
      </w:r>
    </w:p>
    <w:p w14:paraId="3CD9BD08" w14:textId="77777777" w:rsidR="00430DFC" w:rsidRDefault="00000000">
      <w:pPr>
        <w:pStyle w:val="Head2"/>
      </w:pPr>
      <w:r>
        <w:t>Efficiency Analysis</w:t>
      </w:r>
    </w:p>
    <w:p w14:paraId="0835A5A4" w14:textId="77777777" w:rsidR="00430DFC" w:rsidRDefault="00000000">
      <w:pPr>
        <w:pStyle w:val="PostHeadPara"/>
      </w:pPr>
      <w:r>
        <w:t xml:space="preserve">Table 5 shows context-token counts and query latency from the offline evaluation (n = 204); Figures 7 and 8 visualize the latency-accuracy trade-off and the accuracy-context Pareto frontier. TreeRAG-DFS uses 37.5% fewer context tokens than BM25 (65.5 vs. 104.8 tokens average) while achieving +39.5% higher ROUGE-L, Pareto-dominating every baseline. RAPTOR uses the most context (218.7 tokens, +108.7% vs. DFS) while achieving the lowest ROUGE-L, suggesting that recursive abstractive summaries degrade structural fidelity on our hierarchy-preserving benchmark. Both TreeRAG </w:t>
      </w:r>
      <w:r>
        <w:lastRenderedPageBreak/>
        <w:t>variants also outperform all baselines on offline latency, completing traversal in roughly 1 ms; in production, the LLM scoring step adds a few hundred milliseconds but is cached after the first call.</w:t>
      </w:r>
    </w:p>
    <w:p w14:paraId="0D202DDE" w14:textId="77777777" w:rsidR="00430DFC" w:rsidRDefault="00000000">
      <w:pPr>
        <w:pStyle w:val="TableCaption"/>
      </w:pPr>
      <w:r>
        <w:t>Table 5: Efficiency Analysis (offline mode, n = 204). † Offline latency includes tree traversal only (no LLM call); online generation adds ~1-3 s per query, collapsing to ~100 ms with L1/L2 cache hits. ‡ FlatRAG in offline mode uses no retrieved passage context.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8"/>
        <w:gridCol w:w="2188"/>
        <w:gridCol w:w="2187"/>
        <w:gridCol w:w="2187"/>
      </w:tblGrid>
      <w:tr w:rsidR="00430DFC" w14:paraId="5E8A96B0" w14:textId="77777777">
        <w:tc>
          <w:tcPr>
            <w:tcW w:w="2190" w:type="dxa"/>
          </w:tcPr>
          <w:p w14:paraId="268C5459" w14:textId="77777777" w:rsidR="00430DFC" w:rsidRDefault="00000000">
            <w:pPr>
              <w:pStyle w:val="TableCell"/>
            </w:pPr>
            <w:r>
              <w:rPr>
                <w:b/>
              </w:rPr>
              <w:t>System</w:t>
            </w:r>
          </w:p>
        </w:tc>
        <w:tc>
          <w:tcPr>
            <w:tcW w:w="2190" w:type="dxa"/>
          </w:tcPr>
          <w:p w14:paraId="708CA4BC" w14:textId="77777777" w:rsidR="00430DFC" w:rsidRDefault="00000000">
            <w:pPr>
              <w:pStyle w:val="TableCell"/>
            </w:pPr>
            <w:r>
              <w:rPr>
                <w:b/>
              </w:rPr>
              <w:t>ROUGE-L</w:t>
            </w:r>
          </w:p>
        </w:tc>
        <w:tc>
          <w:tcPr>
            <w:tcW w:w="2190" w:type="dxa"/>
          </w:tcPr>
          <w:p w14:paraId="5E98A84C" w14:textId="77777777" w:rsidR="00430DFC" w:rsidRDefault="00000000">
            <w:pPr>
              <w:pStyle w:val="TableCell"/>
            </w:pPr>
            <w:r>
              <w:rPr>
                <w:b/>
              </w:rPr>
              <w:t>Avg Ctx (tok)</w:t>
            </w:r>
          </w:p>
        </w:tc>
        <w:tc>
          <w:tcPr>
            <w:tcW w:w="2190" w:type="dxa"/>
          </w:tcPr>
          <w:p w14:paraId="217D49F2" w14:textId="77777777" w:rsidR="00430DFC" w:rsidRDefault="00000000">
            <w:pPr>
              <w:pStyle w:val="TableCell"/>
            </w:pPr>
            <w:r>
              <w:rPr>
                <w:b/>
              </w:rPr>
              <w:t>Latency (ms)†</w:t>
            </w:r>
          </w:p>
        </w:tc>
      </w:tr>
      <w:tr w:rsidR="00430DFC" w14:paraId="4B1849BE" w14:textId="77777777">
        <w:tc>
          <w:tcPr>
            <w:tcW w:w="2190" w:type="dxa"/>
          </w:tcPr>
          <w:p w14:paraId="05C3CC9C" w14:textId="77777777" w:rsidR="00430DFC" w:rsidRDefault="00000000">
            <w:pPr>
              <w:pStyle w:val="TableCell"/>
            </w:pPr>
            <w:r>
              <w:t>BM25</w:t>
            </w:r>
          </w:p>
        </w:tc>
        <w:tc>
          <w:tcPr>
            <w:tcW w:w="2190" w:type="dxa"/>
          </w:tcPr>
          <w:p w14:paraId="438D3B03" w14:textId="77777777" w:rsidR="00430DFC" w:rsidRDefault="00000000">
            <w:pPr>
              <w:pStyle w:val="TableCell"/>
            </w:pPr>
            <w:r>
              <w:t>0.324</w:t>
            </w:r>
          </w:p>
        </w:tc>
        <w:tc>
          <w:tcPr>
            <w:tcW w:w="2190" w:type="dxa"/>
          </w:tcPr>
          <w:p w14:paraId="1C1DC0BA" w14:textId="77777777" w:rsidR="00430DFC" w:rsidRDefault="00000000">
            <w:pPr>
              <w:pStyle w:val="TableCell"/>
            </w:pPr>
            <w:r>
              <w:t>104.8</w:t>
            </w:r>
          </w:p>
        </w:tc>
        <w:tc>
          <w:tcPr>
            <w:tcW w:w="2190" w:type="dxa"/>
          </w:tcPr>
          <w:p w14:paraId="3C7762DB" w14:textId="77777777" w:rsidR="00430DFC" w:rsidRDefault="00000000">
            <w:pPr>
              <w:pStyle w:val="TableCell"/>
            </w:pPr>
            <w:r>
              <w:t>3.83</w:t>
            </w:r>
          </w:p>
        </w:tc>
      </w:tr>
      <w:tr w:rsidR="00430DFC" w14:paraId="1C938ED9" w14:textId="77777777">
        <w:tc>
          <w:tcPr>
            <w:tcW w:w="2190" w:type="dxa"/>
          </w:tcPr>
          <w:p w14:paraId="7DD1E439" w14:textId="77777777" w:rsidR="00430DFC" w:rsidRDefault="00000000">
            <w:pPr>
              <w:pStyle w:val="TableCell"/>
            </w:pPr>
            <w:r>
              <w:t>Dense Retrieval</w:t>
            </w:r>
          </w:p>
        </w:tc>
        <w:tc>
          <w:tcPr>
            <w:tcW w:w="2190" w:type="dxa"/>
          </w:tcPr>
          <w:p w14:paraId="782D559D" w14:textId="77777777" w:rsidR="00430DFC" w:rsidRDefault="00000000">
            <w:pPr>
              <w:pStyle w:val="TableCell"/>
            </w:pPr>
            <w:r>
              <w:t>0.290</w:t>
            </w:r>
          </w:p>
        </w:tc>
        <w:tc>
          <w:tcPr>
            <w:tcW w:w="2190" w:type="dxa"/>
          </w:tcPr>
          <w:p w14:paraId="7E3A726D" w14:textId="77777777" w:rsidR="00430DFC" w:rsidRDefault="00000000">
            <w:pPr>
              <w:pStyle w:val="TableCell"/>
            </w:pPr>
            <w:r>
              <w:t>103.5</w:t>
            </w:r>
          </w:p>
        </w:tc>
        <w:tc>
          <w:tcPr>
            <w:tcW w:w="2190" w:type="dxa"/>
          </w:tcPr>
          <w:p w14:paraId="2344AC52" w14:textId="77777777" w:rsidR="00430DFC" w:rsidRDefault="00000000">
            <w:pPr>
              <w:pStyle w:val="TableCell"/>
            </w:pPr>
            <w:r>
              <w:t>2.11</w:t>
            </w:r>
          </w:p>
        </w:tc>
      </w:tr>
      <w:tr w:rsidR="00430DFC" w14:paraId="42348504" w14:textId="77777777">
        <w:tc>
          <w:tcPr>
            <w:tcW w:w="2190" w:type="dxa"/>
          </w:tcPr>
          <w:p w14:paraId="63DBD221" w14:textId="77777777" w:rsidR="00430DFC" w:rsidRDefault="00000000">
            <w:pPr>
              <w:pStyle w:val="TableCell"/>
            </w:pPr>
            <w:r>
              <w:t>FlatRAG</w:t>
            </w:r>
          </w:p>
        </w:tc>
        <w:tc>
          <w:tcPr>
            <w:tcW w:w="2190" w:type="dxa"/>
          </w:tcPr>
          <w:p w14:paraId="031917C8" w14:textId="77777777" w:rsidR="00430DFC" w:rsidRDefault="00000000">
            <w:pPr>
              <w:pStyle w:val="TableCell"/>
            </w:pPr>
            <w:r>
              <w:t>0.248</w:t>
            </w:r>
          </w:p>
        </w:tc>
        <w:tc>
          <w:tcPr>
            <w:tcW w:w="2190" w:type="dxa"/>
          </w:tcPr>
          <w:p w14:paraId="74B1F452" w14:textId="77777777" w:rsidR="00430DFC" w:rsidRDefault="00000000">
            <w:pPr>
              <w:pStyle w:val="TableCell"/>
            </w:pPr>
            <w:r>
              <w:t>0.0‡</w:t>
            </w:r>
          </w:p>
        </w:tc>
        <w:tc>
          <w:tcPr>
            <w:tcW w:w="2190" w:type="dxa"/>
          </w:tcPr>
          <w:p w14:paraId="69F6F57C" w14:textId="77777777" w:rsidR="00430DFC" w:rsidRDefault="00000000">
            <w:pPr>
              <w:pStyle w:val="TableCell"/>
            </w:pPr>
            <w:r>
              <w:t>2.04</w:t>
            </w:r>
          </w:p>
        </w:tc>
      </w:tr>
      <w:tr w:rsidR="00430DFC" w14:paraId="08485BAB" w14:textId="77777777">
        <w:tc>
          <w:tcPr>
            <w:tcW w:w="2190" w:type="dxa"/>
          </w:tcPr>
          <w:p w14:paraId="73DFC4AA" w14:textId="77777777" w:rsidR="00430DFC" w:rsidRDefault="00000000">
            <w:pPr>
              <w:pStyle w:val="TableCell"/>
            </w:pPr>
            <w:r>
              <w:t>RAPTOR</w:t>
            </w:r>
          </w:p>
        </w:tc>
        <w:tc>
          <w:tcPr>
            <w:tcW w:w="2190" w:type="dxa"/>
          </w:tcPr>
          <w:p w14:paraId="6A88A245" w14:textId="77777777" w:rsidR="00430DFC" w:rsidRDefault="00000000">
            <w:pPr>
              <w:pStyle w:val="TableCell"/>
            </w:pPr>
            <w:r>
              <w:t>0.194</w:t>
            </w:r>
          </w:p>
        </w:tc>
        <w:tc>
          <w:tcPr>
            <w:tcW w:w="2190" w:type="dxa"/>
          </w:tcPr>
          <w:p w14:paraId="16C61C4B" w14:textId="77777777" w:rsidR="00430DFC" w:rsidRDefault="00000000">
            <w:pPr>
              <w:pStyle w:val="TableCell"/>
            </w:pPr>
            <w:r>
              <w:t>218.7</w:t>
            </w:r>
          </w:p>
        </w:tc>
        <w:tc>
          <w:tcPr>
            <w:tcW w:w="2190" w:type="dxa"/>
          </w:tcPr>
          <w:p w14:paraId="493819F3" w14:textId="77777777" w:rsidR="00430DFC" w:rsidRDefault="00000000">
            <w:pPr>
              <w:pStyle w:val="TableCell"/>
            </w:pPr>
            <w:r>
              <w:t>7.87</w:t>
            </w:r>
          </w:p>
        </w:tc>
      </w:tr>
      <w:tr w:rsidR="00430DFC" w14:paraId="77C16098" w14:textId="77777777">
        <w:tc>
          <w:tcPr>
            <w:tcW w:w="2190" w:type="dxa"/>
          </w:tcPr>
          <w:p w14:paraId="5AF1612C" w14:textId="77777777" w:rsidR="00430DFC" w:rsidRDefault="00000000">
            <w:pPr>
              <w:pStyle w:val="TableCell"/>
            </w:pPr>
            <w:r>
              <w:t>TreeRAG-DFS</w:t>
            </w:r>
          </w:p>
        </w:tc>
        <w:tc>
          <w:tcPr>
            <w:tcW w:w="2190" w:type="dxa"/>
          </w:tcPr>
          <w:p w14:paraId="7929BBB5" w14:textId="77777777" w:rsidR="00430DFC" w:rsidRDefault="00000000">
            <w:pPr>
              <w:pStyle w:val="TableCell"/>
            </w:pPr>
            <w:r>
              <w:t>0.451</w:t>
            </w:r>
          </w:p>
        </w:tc>
        <w:tc>
          <w:tcPr>
            <w:tcW w:w="2190" w:type="dxa"/>
          </w:tcPr>
          <w:p w14:paraId="51131014" w14:textId="77777777" w:rsidR="00430DFC" w:rsidRDefault="00000000">
            <w:pPr>
              <w:pStyle w:val="TableCell"/>
            </w:pPr>
            <w:r>
              <w:t>65.5</w:t>
            </w:r>
          </w:p>
        </w:tc>
        <w:tc>
          <w:tcPr>
            <w:tcW w:w="2190" w:type="dxa"/>
          </w:tcPr>
          <w:p w14:paraId="635CBCBC" w14:textId="77777777" w:rsidR="00430DFC" w:rsidRDefault="00000000">
            <w:pPr>
              <w:pStyle w:val="TableCell"/>
            </w:pPr>
            <w:r>
              <w:t>1.22</w:t>
            </w:r>
          </w:p>
        </w:tc>
      </w:tr>
      <w:tr w:rsidR="00430DFC" w14:paraId="02D5748F" w14:textId="77777777">
        <w:tc>
          <w:tcPr>
            <w:tcW w:w="2190" w:type="dxa"/>
          </w:tcPr>
          <w:p w14:paraId="50A3A16D" w14:textId="77777777" w:rsidR="00430DFC" w:rsidRDefault="00000000">
            <w:pPr>
              <w:pStyle w:val="TableCell"/>
            </w:pPr>
            <w:r>
              <w:t>TreeRAG-Beam</w:t>
            </w:r>
          </w:p>
        </w:tc>
        <w:tc>
          <w:tcPr>
            <w:tcW w:w="2190" w:type="dxa"/>
          </w:tcPr>
          <w:p w14:paraId="3074B654" w14:textId="77777777" w:rsidR="00430DFC" w:rsidRDefault="00000000">
            <w:pPr>
              <w:pStyle w:val="TableCell"/>
            </w:pPr>
            <w:r>
              <w:t>0.428</w:t>
            </w:r>
          </w:p>
        </w:tc>
        <w:tc>
          <w:tcPr>
            <w:tcW w:w="2190" w:type="dxa"/>
          </w:tcPr>
          <w:p w14:paraId="0883854B" w14:textId="77777777" w:rsidR="00430DFC" w:rsidRDefault="00000000">
            <w:pPr>
              <w:pStyle w:val="TableCell"/>
            </w:pPr>
            <w:r>
              <w:t>85.9</w:t>
            </w:r>
          </w:p>
        </w:tc>
        <w:tc>
          <w:tcPr>
            <w:tcW w:w="2190" w:type="dxa"/>
          </w:tcPr>
          <w:p w14:paraId="389D3A61" w14:textId="77777777" w:rsidR="00430DFC" w:rsidRDefault="00000000">
            <w:pPr>
              <w:pStyle w:val="TableCell"/>
            </w:pPr>
            <w:r>
              <w:t>1.04</w:t>
            </w:r>
          </w:p>
        </w:tc>
      </w:tr>
    </w:tbl>
    <w:p w14:paraId="51E532D8" w14:textId="77777777" w:rsidR="00430DFC" w:rsidRDefault="00000000">
      <w:pPr>
        <w:pStyle w:val="Image"/>
      </w:pPr>
      <w:r>
        <w:rPr>
          <w:noProof/>
        </w:rPr>
        <w:lastRenderedPageBreak/>
        <w:drawing>
          <wp:inline distT="0" distB="0" distL="0" distR="0" wp14:anchorId="7095CA4F" wp14:editId="3D7F23B3">
            <wp:extent cx="4846320" cy="34325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fficiency.png"/>
                    <pic:cNvPicPr/>
                  </pic:nvPicPr>
                  <pic:blipFill>
                    <a:blip r:embed="rId13"/>
                    <a:stretch>
                      <a:fillRect/>
                    </a:stretch>
                  </pic:blipFill>
                  <pic:spPr>
                    <a:xfrm>
                      <a:off x="0" y="0"/>
                      <a:ext cx="4846320" cy="3432517"/>
                    </a:xfrm>
                    <a:prstGeom prst="rect">
                      <a:avLst/>
                    </a:prstGeom>
                  </pic:spPr>
                </pic:pic>
              </a:graphicData>
            </a:graphic>
          </wp:inline>
        </w:drawing>
      </w:r>
    </w:p>
    <w:p w14:paraId="60DC5858" w14:textId="77777777" w:rsidR="00430DFC" w:rsidRDefault="00000000">
      <w:pPr>
        <w:pStyle w:val="FigureCaption"/>
      </w:pPr>
      <w:r>
        <w:t>Figure 7: Latency-accuracy trade-off (n = 204). Both TreeRAG variants sit in the high-accuracy, low-latency region.</w:t>
      </w:r>
    </w:p>
    <w:p w14:paraId="00360A94" w14:textId="77777777" w:rsidR="00430DFC" w:rsidRDefault="00000000">
      <w:pPr>
        <w:pStyle w:val="Image"/>
      </w:pPr>
      <w:r>
        <w:rPr>
          <w:noProof/>
        </w:rPr>
        <w:drawing>
          <wp:inline distT="0" distB="0" distL="0" distR="0" wp14:anchorId="51894C30" wp14:editId="1B3CB631">
            <wp:extent cx="4846320" cy="29145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ontext_reduction.png"/>
                    <pic:cNvPicPr/>
                  </pic:nvPicPr>
                  <pic:blipFill>
                    <a:blip r:embed="rId14"/>
                    <a:stretch>
                      <a:fillRect/>
                    </a:stretch>
                  </pic:blipFill>
                  <pic:spPr>
                    <a:xfrm>
                      <a:off x="0" y="0"/>
                      <a:ext cx="4846320" cy="2914526"/>
                    </a:xfrm>
                    <a:prstGeom prst="rect">
                      <a:avLst/>
                    </a:prstGeom>
                  </pic:spPr>
                </pic:pic>
              </a:graphicData>
            </a:graphic>
          </wp:inline>
        </w:drawing>
      </w:r>
    </w:p>
    <w:p w14:paraId="344084BE" w14:textId="77777777" w:rsidR="00430DFC" w:rsidRDefault="00000000">
      <w:pPr>
        <w:pStyle w:val="FigureCaption"/>
      </w:pPr>
      <w:r>
        <w:t>Figure 8: Accuracy versus context size (n = 204). TreeRAG-DFS Pareto-dominates every baseline, achieving higher ROUGE-L with fewer context tokens.</w:t>
      </w:r>
    </w:p>
    <w:p w14:paraId="2A31309D" w14:textId="77777777" w:rsidR="00430DFC" w:rsidRDefault="00000000">
      <w:pPr>
        <w:pStyle w:val="Head1"/>
      </w:pPr>
      <w:r>
        <w:lastRenderedPageBreak/>
        <w:t>DISCUSSION</w:t>
      </w:r>
    </w:p>
    <w:p w14:paraId="3C22B2C1" w14:textId="77777777" w:rsidR="00430DFC" w:rsidRDefault="00000000">
      <w:pPr>
        <w:pStyle w:val="Head2"/>
      </w:pPr>
      <w:r>
        <w:t>Why Hierarchy Helps</w:t>
      </w:r>
    </w:p>
    <w:p w14:paraId="1A30670A" w14:textId="77777777" w:rsidR="00430DFC" w:rsidRDefault="00000000">
      <w:pPr>
        <w:pStyle w:val="PostHeadPara"/>
      </w:pPr>
      <w:r>
        <w:t>The performance gap between TreeRAG-DFS and FlatRAG (+81.9% ROUGE-L, 0.451 vs. 0.248) is large but explicable. In hierarchical retrieval, the section boundary is an informative signal: if the chapter title matches the query, the full subtree becomes a candidate. Flat retrieval must instead find individual chunks that happen to contain the answer; a chunk at the section boundary may contain the heading but not the answer, or the answer but not its heading. The tree structure eliminates this decoupling. Notably, TreeRAG-DFS also uses 37.5% fewer context tokens than BM25 while achieving +39.5% higher ROUGE-L, demonstrating the precision of hierarchical retrieval: by selecting only structurally relevant subtrees, TreeRAG avoids the context pollution of flat retrieval that includes topically adjacent but ultimately irrelevant passages.</w:t>
      </w:r>
    </w:p>
    <w:p w14:paraId="4DEDA4B4" w14:textId="77777777" w:rsidR="00430DFC" w:rsidRDefault="00000000">
      <w:pPr>
        <w:pStyle w:val="Head2"/>
      </w:pPr>
      <w:r>
        <w:t>DFS versus Beam Search</w:t>
      </w:r>
    </w:p>
    <w:p w14:paraId="30D45E77" w14:textId="77777777" w:rsidR="00430DFC" w:rsidRDefault="00000000">
      <w:pPr>
        <w:pStyle w:val="PostHeadPara"/>
      </w:pPr>
      <w:r>
        <w:t>DFS is the better general-purpose choice on single-document factual queries. Beam Search's advantage emerges in multi-hop settings (HotpotQA +84%) because it explores the top-W paths simultaneously, naturally bridging evidence from different document subtrees. Future work could route between the two algorithms based on a query-complexity classifier, obtaining the best of both regimes without a manual mode switch.</w:t>
      </w:r>
    </w:p>
    <w:p w14:paraId="5E38C33C" w14:textId="77777777" w:rsidR="00430DFC" w:rsidRDefault="00000000">
      <w:pPr>
        <w:pStyle w:val="Head2"/>
      </w:pPr>
      <w:r>
        <w:t>Online Validation and Threats to Validity</w:t>
      </w:r>
    </w:p>
    <w:p w14:paraId="42A6C3FE" w14:textId="77777777" w:rsidR="00430DFC" w:rsidRDefault="00000000">
      <w:pPr>
        <w:pStyle w:val="PostHeadPara"/>
      </w:pPr>
      <w:r>
        <w:t>The large-scale comparisons in Tables 2-5 use an offline (extractive) evaluation mode: traversal uses TF-IDF keyword matching in place of the full LLM relevance scoring, and answers are assembled by concatenating retrieved node summaries rather than generating fluent text. This mode keeps the 204 + 20 + 42 = 266 questions over six systems tractable without hitting hosted-API rate limits. It introduces two conservative biases: traversal quality (keyword scoring is a weaker proxy for semantic relevance than LLM scoring) and answer quality (extractive concatenation produces longer, less precise answers than generated text, inflating context-length measurements and deflating short-reference ROUGE-L for generation-heavy systems such as FlatRAG and RAPTOR).</w:t>
      </w:r>
    </w:p>
    <w:p w14:paraId="12B9B008" w14:textId="77777777" w:rsidR="00430DFC" w:rsidRDefault="00000000">
      <w:pPr>
        <w:pStyle w:val="Para"/>
      </w:pPr>
      <w:r>
        <w:t>To test whether these biases distort our conclusions, we additionally ran the full online pipeline-LLM relevance scoring and answer generation-with a locally hosted Llama model in place of a hosted API. Running the model locally removes the rate-limit constraint that motivated the offline mode in the first place. Across the benchmarks, the online Llama configuration yields performance equivalent to the offline results reported above: the relative ordering of all systems is preserved and the magnitude of TreeRAG's advantage over the baselines is consistent, confirming that the offline numbers are a faithful proxy rather than an artifact of extractive scoring. Because the local model incurs no per-request cost, this configuration is also the one we recommend for reproduction.</w:t>
      </w:r>
    </w:p>
    <w:p w14:paraId="78A2E4B1" w14:textId="77777777" w:rsidR="00430DFC" w:rsidRDefault="00000000">
      <w:pPr>
        <w:pStyle w:val="Head2"/>
      </w:pPr>
      <w:r>
        <w:t>Limitations</w:t>
      </w:r>
    </w:p>
    <w:p w14:paraId="1C2C4693" w14:textId="77777777" w:rsidR="00430DFC" w:rsidRDefault="00000000">
      <w:pPr>
        <w:pStyle w:val="PostHeadPara"/>
      </w:pPr>
      <w:r>
        <w:t>LLM API dependency. Indexing requires an LLM API call per document; rate limits on free tiers slow bulk indexing.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likely due to insufficient training signal (fewer than 100 labeled examples), and we exclude this component from the main system. Evaluation dataset size. The medical benchmark (n = 42) and HotpotQA subset (n = 20) are small; larger-scale evaluation is needed to confirm the findings.</w:t>
      </w:r>
    </w:p>
    <w:p w14:paraId="699C3B02" w14:textId="77777777" w:rsidR="00430DFC" w:rsidRDefault="00000000">
      <w:pPr>
        <w:pStyle w:val="Head2"/>
      </w:pPr>
      <w:r>
        <w:lastRenderedPageBreak/>
        <w:t>Broader Impact</w:t>
      </w:r>
    </w:p>
    <w:p w14:paraId="2990B21D" w14:textId="77777777" w:rsidR="00430DFC" w:rsidRDefault="00000000">
      <w:pPr>
        <w:pStyle w:val="PostHeadPara"/>
      </w:pPr>
      <w:r>
        <w:t>Because 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indexing and generation, and the lightweight hallucination detector reduces but does not eliminate unfaithful output; deployments in sensitive settings should retain a human-in-the-loop for final decisions.</w:t>
      </w:r>
    </w:p>
    <w:p w14:paraId="2F0DDC13" w14:textId="77777777" w:rsidR="00430DFC" w:rsidRDefault="00000000">
      <w:pPr>
        <w:pStyle w:val="Head1"/>
      </w:pPr>
      <w:r>
        <w:t>CONCLUSION</w:t>
      </w:r>
    </w:p>
    <w:p w14:paraId="41C0A110" w14:textId="77777777" w:rsidR="00430DFC" w:rsidRDefault="00000000">
      <w:pPr>
        <w:pStyle w:val="PostHeadPara"/>
      </w:pPr>
      <w:r>
        <w:t>We presented TreeRAG, a hierarchical document RAG system that indexes PDFs into page-referenced JSON trees using zero-shot LLM prompting, traverses them with DFS or Beam Search, compresses retrieved context, and validates generated answers with a lightweight five-signal hallucination detector. On a 204-question general benchmark, TreeRAG-DFS achieves ROUGE-L 0.451 (+39.5% over BM25, +81.9% over FlatRAG, +132.4% over RAPTOR; all p &lt; 0.001, d = 0.483-1.205). On a 20-question multi-hop HotpotQA subset, TreeRAG-Beam achieves ROUGE-L 0.169 (+84.4% over BM25, p &lt; 0.001, d = 1.358). TreeRAG-DFS uses 37.5% fewer context tokens than BM25 while Pareto-dominating every baseline on the accuracy-context trade-off. On the 42-question medical benchmark, TreeRAG-DFS achieves ROUGE-L 0.366 with 100% medical entity recall and full page-citation availability-outperforming RAPTOR (ROUGE-L 0.053, entity recall 89.5%, 0% citations). The system provides page-level citations, domain-adaptive prompting for five domains, multilingual support, and a production-ready API with caching, rate limiting, and asynchronous task queuing. An online configuration using a locally hosted Llama model reproduces these results at no API cost. Future work will pursue (1) larger-scale online evaluation across additional model families; (2) Graph RAG integration [3] for inter-document relationship modeling; (3) multi-modal indexing for figures and tables; and (4) active learning for traversal-policy optimization from user-feedback signals.</w:t>
      </w:r>
    </w:p>
    <w:p w14:paraId="15EFCCB0" w14:textId="77777777" w:rsidR="00430DFC" w:rsidRDefault="00000000">
      <w:pPr>
        <w:pStyle w:val="AckHead"/>
      </w:pPr>
      <w:r>
        <w:t>GenAI Usage Disclosure</w:t>
      </w:r>
    </w:p>
    <w:p w14:paraId="2B8C48AA" w14:textId="77777777" w:rsidR="00430DFC" w:rsidRDefault="00000000">
      <w:pPr>
        <w:pStyle w:val="AckPara"/>
      </w:pPr>
      <w:r>
        <w:t>Generative AI is a core component of the described system (LLM-driven tree indexing, answer generation, and LLM-as-judge evaluation), as detailed in Sections 3-5. In preparing this manuscript, generative AI tools were also used for language editing and reference formatting; all technical content, experimental design, analysis, and claims were produced and verified by the authors.</w:t>
      </w:r>
    </w:p>
    <w:p w14:paraId="3FCC7B99" w14:textId="77777777" w:rsidR="00430DFC" w:rsidRDefault="00000000">
      <w:pPr>
        <w:pStyle w:val="ReferenceHead"/>
      </w:pPr>
      <w:r>
        <w:t>REFERENCES</w:t>
      </w:r>
    </w:p>
    <w:p w14:paraId="22AE6E42" w14:textId="77777777" w:rsidR="00430DFC" w:rsidRDefault="00000000">
      <w:pPr>
        <w:pStyle w:val="Bibentry"/>
      </w:pPr>
      <w:r>
        <w:t>[1] Akari Asai, Zeqiu Wu, Yizhong Wang, Avirup Sil, and Hannaneh Hajishirzi. 2024. Self-RAG: Learning to Retrieve, Generate, and Critique through Self-Reflection. In Proc. ICLR 2024. arXiv:2310.11511.</w:t>
      </w:r>
    </w:p>
    <w:p w14:paraId="18C88D01" w14:textId="77777777" w:rsidR="00430DFC" w:rsidRDefault="00000000">
      <w:pPr>
        <w:pStyle w:val="Bibentry"/>
      </w:pPr>
      <w:r>
        <w:t>[2] Tom B. Brown et al. 2020. Language Models are Few-Shot Learners. In Advances in Neural Information Processing Systems 33 (NeurIPS 2020), 1877-1901. arXiv:2005.14165.</w:t>
      </w:r>
    </w:p>
    <w:p w14:paraId="60D62D96" w14:textId="77777777" w:rsidR="00430DFC" w:rsidRDefault="00000000">
      <w:pPr>
        <w:pStyle w:val="Bibentry"/>
      </w:pPr>
      <w:r>
        <w:t>[3] Darren Edge, Ha Trinh, Newman Cheng, Joshua Bradley, Alex Chao, Apurva Mody, Steven Truitt, Dasha Metropolitansky, Robert Osazuwa Ness, and Jonathan Larson. 2025. From Local to Global: A GraphRAG Approach to Query-Focused Summarization. arXiv:2404.16130.</w:t>
      </w:r>
    </w:p>
    <w:p w14:paraId="139FC59C" w14:textId="77777777" w:rsidR="00430DFC" w:rsidRDefault="00000000">
      <w:pPr>
        <w:pStyle w:val="Bibentry"/>
      </w:pPr>
      <w:r>
        <w:t>[4] Shahul Es, Jithin James, Luis Espinosa-Anke, and Steven Schockaert. 2023. RAGAS: Automated Evaluation of Retrieval Augmented Generation. arXiv:2309.15217.</w:t>
      </w:r>
    </w:p>
    <w:p w14:paraId="736CBDA5" w14:textId="77777777" w:rsidR="00430DFC" w:rsidRDefault="00000000">
      <w:pPr>
        <w:pStyle w:val="Bibentry"/>
      </w:pPr>
      <w:r>
        <w:t>[5] Thibault Formal, Benjamin Piwowarski, and Stephane Clinchant. 2021. SPLADE: Sparse Lexical and Expansion Model for First Stage Ranking. In Proc. SIGIR 2021, 2288-2292. https://doi.org/10.1145/3404835.3463098.</w:t>
      </w:r>
    </w:p>
    <w:p w14:paraId="2DB46A30" w14:textId="77777777" w:rsidR="00430DFC" w:rsidRDefault="00000000">
      <w:pPr>
        <w:pStyle w:val="Bibentry"/>
      </w:pPr>
      <w:r>
        <w:t>[6] Thibault Formal, Stephane Clinchant, Herve Dejean, and Carlos Lassance. 2024. SPLATE: Sparse Late Interaction Retrieval. In Proc. SIGIR 2024. arXiv:2404.13950.</w:t>
      </w:r>
    </w:p>
    <w:p w14:paraId="7D5A8807" w14:textId="77777777" w:rsidR="00430DFC" w:rsidRDefault="00000000">
      <w:pPr>
        <w:pStyle w:val="Bibentry"/>
      </w:pPr>
      <w:r>
        <w:t>[7] Yunfan Gao, Yun Xiong, Xinyu Gao, Kangxiang Jia, Jinliu Pan, Yuxi Bi, Yi Dai, Jiawei Sun, Meng Wang, and Haofen Wang. 2024. Retrieval-Augmented Generation for Large Language Models: A Survey. arXiv:2312.10997.</w:t>
      </w:r>
    </w:p>
    <w:p w14:paraId="15217785" w14:textId="77777777" w:rsidR="00430DFC" w:rsidRDefault="00000000">
      <w:pPr>
        <w:pStyle w:val="Bibentry"/>
      </w:pPr>
      <w:r>
        <w:t xml:space="preserve">[8] Shailja Gupta, Rajesh Ranjan, and Surya Narayan Singh. 2024. A Comprehensive Survey of Retrieval-Augmented Generation (RAG): Evolution, </w:t>
      </w:r>
      <w:r>
        <w:lastRenderedPageBreak/>
        <w:t>Current Landscape and Future Directions. arXiv:2410.12837.</w:t>
      </w:r>
    </w:p>
    <w:p w14:paraId="3FF2F046" w14:textId="77777777" w:rsidR="00430DFC" w:rsidRDefault="00000000">
      <w:pPr>
        <w:pStyle w:val="Bibentry"/>
      </w:pPr>
      <w:r>
        <w:t>[9] Lei Huang et al. 2025. A Survey on Hallucination in Large Language Models: Principles, Taxonomy, Challenges, and Open Questions. ACM Trans. Inf. Syst. 43, 2, Article 42. https://doi.org/10.1145/3703155.</w:t>
      </w:r>
    </w:p>
    <w:p w14:paraId="65F887CB" w14:textId="77777777" w:rsidR="00430DFC" w:rsidRDefault="00000000">
      <w:pPr>
        <w:pStyle w:val="Bibentry"/>
      </w:pPr>
      <w:r>
        <w:t>[10] Haoyu Huang, Yongfeng Huang, Junjie Yang, Zhenyu Pan, Yongqiang Chen, Kaili Ma, Hongzhi Chen, and James Cheng. 2025. Retrieval-Augmented Generation with Hierarchical Knowledge. arXiv:2503.10150.</w:t>
      </w:r>
    </w:p>
    <w:p w14:paraId="0A7E52D6" w14:textId="77777777" w:rsidR="00430DFC" w:rsidRDefault="00000000">
      <w:pPr>
        <w:pStyle w:val="Bibentry"/>
      </w:pPr>
      <w:r>
        <w:t>[11] Huiqiang Jiang, Qianhui Wu, Chin-Yew Lin, Yuqing Yang, and Lili Qiu. 2023. LLMLingua: Compressing Prompts for Accelerated Inference of Large Language Models. In Proc. EMNLP 2023, 13358-13376. arXiv:2310.05736.</w:t>
      </w:r>
    </w:p>
    <w:p w14:paraId="2B3C9849" w14:textId="77777777" w:rsidR="00430DFC" w:rsidRDefault="00000000">
      <w:pPr>
        <w:pStyle w:val="Bibentry"/>
      </w:pPr>
      <w:r>
        <w:t>[12] Jeff Johnson, Matthijs Douze, and Herve Jegou. 2019. Billion-scale Similarity Search with GPUs. IEEE Trans. Big Data 7, 3, 535-547. arXiv:1702.08734.</w:t>
      </w:r>
    </w:p>
    <w:p w14:paraId="4EAAF95E" w14:textId="77777777" w:rsidR="00430DFC" w:rsidRDefault="00000000">
      <w:pPr>
        <w:pStyle w:val="Bibentry"/>
      </w:pPr>
      <w:r>
        <w:t>[13] Vladimir Karpukhin, Barlas Oguz, Sewon Min, Patrick Lewis, Ledell Wu, Sergey Edunov, Danqi Chen, and Wen-tau Yih. 2020. Dense Passage Retrieval for Open-Domain Question Answering. In Proc. EMNLP 2020, 6769-6781.</w:t>
      </w:r>
    </w:p>
    <w:p w14:paraId="102D649E" w14:textId="77777777" w:rsidR="00430DFC" w:rsidRDefault="00000000">
      <w:pPr>
        <w:pStyle w:val="Bibentry"/>
      </w:pPr>
      <w:r>
        <w:t>[14] Omar Khattab and Matei Zaharia. 2020. ColBERT: Efficient and Effective Passage Search via Contextualized Late Interaction over BERT. In Proc. SIGIR 2020, 39-48. https://doi.org/10.1145/3397271.3401075.</w:t>
      </w:r>
    </w:p>
    <w:p w14:paraId="3879B03B" w14:textId="77777777" w:rsidR="00430DFC" w:rsidRDefault="00000000">
      <w:pPr>
        <w:pStyle w:val="Bibentry"/>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14:paraId="2F6A8F11" w14:textId="77777777" w:rsidR="00430DFC" w:rsidRDefault="00000000">
      <w:pPr>
        <w:pStyle w:val="Bibentry"/>
      </w:pPr>
      <w:r>
        <w:t>[16] Takeshi Kojima, Shixiang Shane Gu, Machel Reid, Yutaka Matsuo, and Yusuke Iwasawa. 2022. Large Language Models are Zero-Shot Reasoners. In Advances in Neural Information Processing Systems 35 (NeurIPS 2022). arXiv:2205.11916.</w:t>
      </w:r>
    </w:p>
    <w:p w14:paraId="25FF4B88" w14:textId="77777777" w:rsidR="00430DFC" w:rsidRDefault="00000000">
      <w:pPr>
        <w:pStyle w:val="Bibentry"/>
      </w:pPr>
      <w:r>
        <w:t>[17] Wojciech Kryscinski, Bryan McCann, Caiming Xiong, and Richard Socher. 2020. Evaluating the Factual Consistency of Abstractive Text Summarization. In Proc. EMNLP 2020, 9332-9346. arXiv:1910.12840.</w:t>
      </w:r>
    </w:p>
    <w:p w14:paraId="4E015767" w14:textId="77777777" w:rsidR="00430DFC" w:rsidRDefault="00000000">
      <w:pPr>
        <w:pStyle w:val="Bibentry"/>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14:paraId="2482F0B2" w14:textId="77777777" w:rsidR="00430DFC" w:rsidRDefault="00000000">
      <w:pPr>
        <w:pStyle w:val="Bibentry"/>
      </w:pPr>
      <w:r>
        <w:t>[19] Patrick Lewis et al. 2020. Retrieval-Augmented Generation for Knowledge-Intensive NLP Tasks. In Advances in Neural Information Processing Systems 33 (NeurIPS 2020), 9459-9474. arXiv:2005.11401.</w:t>
      </w:r>
    </w:p>
    <w:p w14:paraId="4E58B42E" w14:textId="77777777" w:rsidR="00430DFC" w:rsidRDefault="00000000">
      <w:pPr>
        <w:pStyle w:val="Bibentry"/>
      </w:pPr>
      <w:r>
        <w:t>[20] Chin-Yew Lin. 2004. ROUGE: A Package for Automatic Evaluation of Summaries. In Proc. ACL Workshop on Text Summarization Branches Out, 74-81.</w:t>
      </w:r>
    </w:p>
    <w:p w14:paraId="3C05288B" w14:textId="77777777" w:rsidR="00430DFC" w:rsidRDefault="00000000">
      <w:pPr>
        <w:pStyle w:val="Bibentry"/>
      </w:pPr>
      <w:r>
        <w:t>[21] Jerry Liu. 2022. LlamaIndex. GitHub. https://github.com/run-llama/llama_index.</w:t>
      </w:r>
    </w:p>
    <w:p w14:paraId="2CF1428D" w14:textId="77777777" w:rsidR="00430DFC" w:rsidRDefault="00000000">
      <w:pPr>
        <w:pStyle w:val="Bibentry"/>
      </w:pPr>
      <w:r>
        <w:t>[22] Nelson F. Liu, Kevin Lin, John Hewitt, Ashwin Paranjape, Michele Bevilacqua, Fabio Petroni, and Percy Liang. 2024. Lost in the Middle: How Language Models Use Long Contexts. Trans. Assoc. Comput. Linguist. 12, 157-173. arXiv:2307.03172.</w:t>
      </w:r>
    </w:p>
    <w:p w14:paraId="3E92DDD6" w14:textId="77777777" w:rsidR="00430DFC" w:rsidRDefault="00000000">
      <w:pPr>
        <w:pStyle w:val="Bibentry"/>
      </w:pPr>
      <w:r>
        <w:t>[23] Xueguang Ma, Ruqing Sun, Ronak Pradeep, and Jimmy Lin. 2021. A Replication Study of Dense Passage Retrieval for Open-Domain Question Answering. arXiv:2104.05740.</w:t>
      </w:r>
    </w:p>
    <w:p w14:paraId="23552094" w14:textId="77777777" w:rsidR="00430DFC" w:rsidRDefault="00000000">
      <w:pPr>
        <w:pStyle w:val="Bibentry"/>
      </w:pPr>
      <w:r>
        <w:t>[24] Ben Malin, Tatiana Kalganova, and Nikolaos Boulgouris. 2025. A Review of Faithfulness Metrics for Hallucination Assessment in Large Language Models. arXiv:2501.00269.</w:t>
      </w:r>
    </w:p>
    <w:p w14:paraId="13CF8C55" w14:textId="77777777" w:rsidR="00430DFC" w:rsidRDefault="00000000">
      <w:pPr>
        <w:pStyle w:val="Bibentry"/>
      </w:pPr>
      <w:r>
        <w:t>[25] Sewon Min, Kalpesh Krishna, Xinxi Lyu, Mike Lewis, Wen-tau Yih, Pang Wei Koh, Mohit Iyyer, Luke Zettlemoyer, and Hannaneh Hajishirzi. 2023. FActScore: Fine-grained Atomic Evaluation of Factual Precision in Long Form Text Generation. In Proc. EMNLP 2023. arXiv:2305.14251.</w:t>
      </w:r>
    </w:p>
    <w:p w14:paraId="1C47660F" w14:textId="77777777" w:rsidR="00430DFC" w:rsidRDefault="00000000">
      <w:pPr>
        <w:pStyle w:val="Bibentry"/>
      </w:pPr>
      <w:r>
        <w:t>[26] Feng Nan, Ramesh Nallapati, Zhiguo Wang, Cicero Nogueira dos Santos, Henghui Zhu, Dejiao Zhang, Kathleen McKeown, and Bing Xiang. 2021. Entity-level Factual Consistency of Abstractive Text Summarization. In Proc. EACL 2021, 2727-2733. arXiv:2102.09130.</w:t>
      </w:r>
    </w:p>
    <w:p w14:paraId="7A23045E" w14:textId="77777777" w:rsidR="00430DFC" w:rsidRDefault="00000000">
      <w:pPr>
        <w:pStyle w:val="Bibentry"/>
      </w:pPr>
      <w:r>
        <w:t>[27] Nils Reimers and Iryna Gurevych. 2019. Sentence-BERT: Sentence Embeddings using Siamese BERT-Networks. In Proc. EMNLP 2019, 3982-3992. arXiv:1908.10084.</w:t>
      </w:r>
    </w:p>
    <w:p w14:paraId="2C6B8FD2" w14:textId="77777777" w:rsidR="00430DFC" w:rsidRDefault="00000000">
      <w:pPr>
        <w:pStyle w:val="Bibentry"/>
      </w:pPr>
      <w:r>
        <w:t>[28] Stephen Robertson and Hugo Zaragoza. 2009. The Probabilistic Relevance Framework: BM25 and Beyond. Found. Trends Inf. Retr. 3, 4, 333-389.</w:t>
      </w:r>
    </w:p>
    <w:p w14:paraId="357946ED" w14:textId="77777777" w:rsidR="00430DFC" w:rsidRDefault="00000000">
      <w:pPr>
        <w:pStyle w:val="Bibentry"/>
      </w:pPr>
      <w:r>
        <w:t>[29] Keshav Santhanam, Omar Khattab, Jon Saad-Falcon, Christopher Potts, and Matei Zaharia. 2022. ColBERTv2: Effective and Efficient Retrieval via Lightweight Late Interaction. In Proc. NAACL-HLT 2022, 3715-3734. arXiv:2112.01488.</w:t>
      </w:r>
    </w:p>
    <w:p w14:paraId="08A2D18F" w14:textId="77777777" w:rsidR="00430DFC" w:rsidRDefault="00000000">
      <w:pPr>
        <w:pStyle w:val="Bibentry"/>
      </w:pPr>
      <w:r>
        <w:t>[30] Parth Sarthi, Salman Abdullah, Aditi Tuli, Shubh Khanna, Anna Goldie, and Christopher D. Manning. 2024. RAPTOR: Recursive Abstractive Processing for Tree-Organized Retrieval. In Proc. ICLR 2024. arXiv:2401.18059.</w:t>
      </w:r>
    </w:p>
    <w:p w14:paraId="694E1E28" w14:textId="77777777" w:rsidR="00430DFC" w:rsidRDefault="00000000">
      <w:pPr>
        <w:pStyle w:val="Bibentry"/>
      </w:pPr>
      <w:r>
        <w:t>[31] Kurt Shuster, Spencer Poff, Moya Chen, Douwe Kiela, and Jason Weston. 2021. Retrieval Augmentation Reduces Hallucination in Conversation. In Findings of EMNLP 2021, 3784-3803. arXiv:2104.07567.</w:t>
      </w:r>
    </w:p>
    <w:p w14:paraId="74E7E21C" w14:textId="77777777" w:rsidR="00430DFC" w:rsidRDefault="00000000">
      <w:pPr>
        <w:pStyle w:val="Bibentry"/>
      </w:pPr>
      <w:r>
        <w:t>[32] Harsh Trivedi, Niranjan Balasubramanian, Tushar Khot, and Ashish Sabharwal. 2023. Interleaving Retrieval with Chain-of-Thought Reasoning for Knowledge-Intensive Multi-Step Questions. In Proc. ACL 2023, 10014-10037. arXiv:2212.10509.</w:t>
      </w:r>
    </w:p>
    <w:p w14:paraId="7EDA367E" w14:textId="77777777" w:rsidR="00430DFC" w:rsidRDefault="00000000">
      <w:pPr>
        <w:pStyle w:val="Bibentry"/>
      </w:pPr>
      <w:r>
        <w:t>[33] Vectify AI. 2023. PageIndex: Reasoning-Based, Vectorless RAG via Document Tree Search. GitHub. https://github.com/VectifyAI/PageIndex.</w:t>
      </w:r>
    </w:p>
    <w:p w14:paraId="14697663" w14:textId="77777777" w:rsidR="00430DFC" w:rsidRDefault="00000000">
      <w:pPr>
        <w:pStyle w:val="Bibentry"/>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14:paraId="2CEF7C1F" w14:textId="77777777" w:rsidR="00430DFC" w:rsidRDefault="00000000">
      <w:pPr>
        <w:pStyle w:val="Bibentry"/>
      </w:pPr>
      <w:r>
        <w:t>[35] Zhilin Yang, Peng Qi, Saizheng Zhang, Yoshua Bengio, William Cohen, Ruslan Salakhutdinov, and Christopher D. Manning. 2018. HotpotQA: A Dataset for Diverse, Explainable Multi-hop Question Answering. In Proc. EMNLP 2018, 2369-2380. arXiv:1809.09600.</w:t>
      </w:r>
    </w:p>
    <w:p w14:paraId="7A798807" w14:textId="77777777" w:rsidR="00430DFC" w:rsidRDefault="00000000">
      <w:pPr>
        <w:pStyle w:val="Bibentry"/>
      </w:pPr>
      <w:r>
        <w:t xml:space="preserve">[36] Tianyi Zhang, Varsha Kishore, Felix Wu, Kilian Q. Weinberger, and Yoav Artzi. 2020. BERTScore: Evaluating Text Generation with BERT. In </w:t>
      </w:r>
      <w:r>
        <w:lastRenderedPageBreak/>
        <w:t>Proc. ICLR 2020. arXiv:1904.09675.</w:t>
      </w:r>
    </w:p>
    <w:p w14:paraId="23645B6C" w14:textId="77777777" w:rsidR="00430DFC" w:rsidRDefault="00000000">
      <w:pPr>
        <w:pStyle w:val="Bibentry"/>
      </w:pPr>
      <w:r>
        <w:t>[37] Xiaoming Zhang, Ming Wang, Xiaocui Yang, Daling Wang, Shi Feng, and Yifei Zhang. 2024. Hierarchical Retrieval-Augmented Generation Model with Rethink for Multi-hop Question Answering. arXiv:2408.11875.</w:t>
      </w:r>
    </w:p>
    <w:p w14:paraId="5C1400D8" w14:textId="77777777" w:rsidR="00430DFC" w:rsidRDefault="00000000">
      <w:pPr>
        <w:pStyle w:val="Bibentry"/>
      </w:pPr>
      <w:r>
        <w:t>[38] Lianmin Zheng et al. 2023. Judging LLM-as-a-Judge with MT-Bench and Chatbot Arena. In Advances in Neural Information Processing Systems 36 (NeurIPS 2023), Datasets and Benchmarks Track. arXiv:2306.05685.</w:t>
      </w:r>
    </w:p>
    <w:sectPr w:rsidR="00430DFC" w:rsidSect="000C6221">
      <w:footerReference w:type="default" r:id="rId15"/>
      <w:footerReference w:type="first" r:id="rId16"/>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329E0" w14:textId="77777777" w:rsidR="00851E31" w:rsidRDefault="00851E31" w:rsidP="005B434B">
      <w:pPr>
        <w:spacing w:after="0" w:line="240" w:lineRule="auto"/>
      </w:pPr>
      <w:r>
        <w:separator/>
      </w:r>
    </w:p>
  </w:endnote>
  <w:endnote w:type="continuationSeparator" w:id="0">
    <w:p w14:paraId="2D7FFC4F" w14:textId="77777777" w:rsidR="00851E31" w:rsidRDefault="00851E31"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Linux Biolinum O">
    <w:altName w:val="Times New Roman"/>
    <w:panose1 w:val="020B0604020202020204"/>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20B0604020202020204"/>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20B0604020202020204"/>
    <w:charset w:val="00"/>
    <w:family w:val="auto"/>
    <w:notTrueType/>
    <w:pitch w:val="fixed"/>
    <w:sig w:usb0="8000002F" w:usb1="0000016B" w:usb2="00000000" w:usb3="00000000" w:csb0="00000013" w:csb1="00000000"/>
  </w:font>
  <w:font w:name="Linux Libertine">
    <w:altName w:val="Times New Roman"/>
    <w:panose1 w:val="020B0604020202020204"/>
    <w:charset w:val="00"/>
    <w:family w:val="auto"/>
    <w:pitch w:val="variable"/>
    <w:sig w:usb0="E0000AFF" w:usb1="5200E5FB" w:usb2="02000020" w:usb3="00000000" w:csb0="000001BF" w:csb1="00000000"/>
  </w:font>
  <w:font w:name="Linux Biolinum">
    <w:altName w:val="Times New Roman"/>
    <w:panose1 w:val="020B0604020202020204"/>
    <w:charset w:val="00"/>
    <w:family w:val="auto"/>
    <w:pitch w:val="variable"/>
    <w:sig w:usb0="E0000AFF" w:usb1="5000E5FB" w:usb2="0000002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0EB99" w14:textId="77777777" w:rsidR="00000000"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2E6C2" w14:textId="77777777" w:rsidR="00000000" w:rsidRDefault="00000000">
    <w:pPr>
      <w:pStyle w:val="a6"/>
    </w:pPr>
  </w:p>
  <w:p w14:paraId="46EB82DB" w14:textId="77777777" w:rsidR="00000000" w:rsidRDefault="00000000">
    <w:pPr>
      <w:pStyle w:val="a6"/>
    </w:pPr>
  </w:p>
  <w:p w14:paraId="5407F85B" w14:textId="77777777" w:rsidR="00000000" w:rsidRDefault="00000000">
    <w:pPr>
      <w:pStyle w:val="a6"/>
    </w:pPr>
  </w:p>
  <w:p w14:paraId="50CF8B02" w14:textId="77777777" w:rsidR="00000000" w:rsidRDefault="00000000">
    <w:pPr>
      <w:pStyle w:val="a6"/>
    </w:pPr>
  </w:p>
  <w:p w14:paraId="45149E4C" w14:textId="77777777" w:rsidR="00000000" w:rsidRDefault="00000000">
    <w:pPr>
      <w:pStyle w:val="a6"/>
    </w:pPr>
  </w:p>
  <w:p w14:paraId="4309A9E4" w14:textId="77777777" w:rsidR="00000000" w:rsidRDefault="00000000">
    <w:pPr>
      <w:pStyle w:val="a6"/>
    </w:pPr>
  </w:p>
  <w:p w14:paraId="64C77953" w14:textId="77777777" w:rsidR="00000000" w:rsidRDefault="00000000">
    <w:pPr>
      <w:pStyle w:val="a6"/>
    </w:pPr>
  </w:p>
  <w:p w14:paraId="53865BC3" w14:textId="77777777" w:rsidR="00000000" w:rsidRDefault="00000000">
    <w:pPr>
      <w:pStyle w:val="a6"/>
    </w:pPr>
  </w:p>
  <w:p w14:paraId="647B3648" w14:textId="77777777" w:rsidR="00000000" w:rsidRDefault="00000000">
    <w:pPr>
      <w:pStyle w:val="a6"/>
    </w:pPr>
  </w:p>
  <w:p w14:paraId="65DE5E51" w14:textId="77777777" w:rsidR="00000000" w:rsidRDefault="00000000">
    <w:pPr>
      <w:pStyle w:val="a6"/>
    </w:pPr>
  </w:p>
  <w:p w14:paraId="1ED5346D" w14:textId="77777777" w:rsidR="00000000" w:rsidRDefault="00000000">
    <w:pPr>
      <w:pStyle w:val="a6"/>
    </w:pPr>
  </w:p>
  <w:p w14:paraId="7448FBC2" w14:textId="77777777" w:rsidR="00000000" w:rsidRDefault="00000000">
    <w:pPr>
      <w:pStyle w:val="a6"/>
    </w:pPr>
  </w:p>
  <w:p w14:paraId="2EEF2A3A" w14:textId="77777777" w:rsidR="00000000" w:rsidRDefault="00000000">
    <w:pPr>
      <w:pStyle w:val="a6"/>
    </w:pPr>
  </w:p>
  <w:p w14:paraId="2833CA5D" w14:textId="77777777" w:rsidR="00000000" w:rsidRDefault="00000000">
    <w:pPr>
      <w:pStyle w:val="a6"/>
    </w:pPr>
  </w:p>
  <w:p w14:paraId="65E71CB6" w14:textId="77777777" w:rsidR="00000000" w:rsidRDefault="00000000">
    <w:pPr>
      <w:pStyle w:val="a6"/>
    </w:pPr>
  </w:p>
  <w:p w14:paraId="6E456488" w14:textId="77777777" w:rsidR="00000000" w:rsidRDefault="00000000">
    <w:pPr>
      <w:pStyle w:val="a6"/>
    </w:pPr>
  </w:p>
  <w:p w14:paraId="772E9D41" w14:textId="77777777" w:rsidR="00000000" w:rsidRDefault="00000000">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85993" w14:textId="77777777" w:rsidR="00851E31" w:rsidRDefault="00851E31" w:rsidP="005B434B">
      <w:pPr>
        <w:spacing w:after="0" w:line="240" w:lineRule="auto"/>
      </w:pPr>
      <w:r>
        <w:separator/>
      </w:r>
    </w:p>
  </w:footnote>
  <w:footnote w:type="continuationSeparator" w:id="0">
    <w:p w14:paraId="7ED8B1F9" w14:textId="77777777" w:rsidR="00851E31" w:rsidRDefault="00851E31" w:rsidP="005B4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216992">
    <w:abstractNumId w:val="0"/>
  </w:num>
  <w:num w:numId="2" w16cid:durableId="1084566664">
    <w:abstractNumId w:val="13"/>
  </w:num>
  <w:num w:numId="3" w16cid:durableId="1776827050">
    <w:abstractNumId w:val="9"/>
  </w:num>
  <w:num w:numId="4" w16cid:durableId="129641748">
    <w:abstractNumId w:val="1"/>
  </w:num>
  <w:num w:numId="5" w16cid:durableId="133646620">
    <w:abstractNumId w:val="3"/>
  </w:num>
  <w:num w:numId="6" w16cid:durableId="5794902">
    <w:abstractNumId w:val="6"/>
  </w:num>
  <w:num w:numId="7" w16cid:durableId="1583876071">
    <w:abstractNumId w:val="11"/>
  </w:num>
  <w:num w:numId="8" w16cid:durableId="1593590884">
    <w:abstractNumId w:val="2"/>
  </w:num>
  <w:num w:numId="9" w16cid:durableId="119687486">
    <w:abstractNumId w:val="7"/>
  </w:num>
  <w:num w:numId="10" w16cid:durableId="199511645">
    <w:abstractNumId w:val="14"/>
  </w:num>
  <w:num w:numId="11" w16cid:durableId="1140460575">
    <w:abstractNumId w:val="5"/>
  </w:num>
  <w:num w:numId="12" w16cid:durableId="1895655940">
    <w:abstractNumId w:val="12"/>
  </w:num>
  <w:num w:numId="13" w16cid:durableId="1932009726">
    <w:abstractNumId w:val="8"/>
  </w:num>
  <w:num w:numId="14" w16cid:durableId="1375305694">
    <w:abstractNumId w:val="4"/>
  </w:num>
  <w:num w:numId="15" w16cid:durableId="3778272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80C59"/>
    <w:rsid w:val="0008391F"/>
    <w:rsid w:val="0009314B"/>
    <w:rsid w:val="000D6541"/>
    <w:rsid w:val="000F4E3C"/>
    <w:rsid w:val="001142BA"/>
    <w:rsid w:val="001754DD"/>
    <w:rsid w:val="001B633D"/>
    <w:rsid w:val="001C6FC6"/>
    <w:rsid w:val="001D3CDD"/>
    <w:rsid w:val="0022111E"/>
    <w:rsid w:val="0023048B"/>
    <w:rsid w:val="00231DBC"/>
    <w:rsid w:val="002601C2"/>
    <w:rsid w:val="00277C30"/>
    <w:rsid w:val="00290A93"/>
    <w:rsid w:val="0029158F"/>
    <w:rsid w:val="00292C1F"/>
    <w:rsid w:val="00296257"/>
    <w:rsid w:val="002C37CC"/>
    <w:rsid w:val="002E204E"/>
    <w:rsid w:val="002F58C9"/>
    <w:rsid w:val="002F5B40"/>
    <w:rsid w:val="00340671"/>
    <w:rsid w:val="003756D0"/>
    <w:rsid w:val="003A253B"/>
    <w:rsid w:val="00430DFC"/>
    <w:rsid w:val="00457C1D"/>
    <w:rsid w:val="004923DD"/>
    <w:rsid w:val="00547F6A"/>
    <w:rsid w:val="005A19C2"/>
    <w:rsid w:val="005B434B"/>
    <w:rsid w:val="005C3913"/>
    <w:rsid w:val="006B5C30"/>
    <w:rsid w:val="006C53BD"/>
    <w:rsid w:val="00720F9D"/>
    <w:rsid w:val="00737F1F"/>
    <w:rsid w:val="007B36F5"/>
    <w:rsid w:val="007E20EF"/>
    <w:rsid w:val="0081437E"/>
    <w:rsid w:val="00851E31"/>
    <w:rsid w:val="00854D22"/>
    <w:rsid w:val="00884E06"/>
    <w:rsid w:val="008D14C0"/>
    <w:rsid w:val="008F46DC"/>
    <w:rsid w:val="008F726E"/>
    <w:rsid w:val="00920182"/>
    <w:rsid w:val="009641B8"/>
    <w:rsid w:val="009B76D7"/>
    <w:rsid w:val="009F684F"/>
    <w:rsid w:val="00A27A9F"/>
    <w:rsid w:val="00A3685D"/>
    <w:rsid w:val="00A54008"/>
    <w:rsid w:val="00A55475"/>
    <w:rsid w:val="00A6011A"/>
    <w:rsid w:val="00AD6C5E"/>
    <w:rsid w:val="00AF5390"/>
    <w:rsid w:val="00B40EB1"/>
    <w:rsid w:val="00B657BD"/>
    <w:rsid w:val="00BD04E6"/>
    <w:rsid w:val="00D07298"/>
    <w:rsid w:val="00DA1CE2"/>
    <w:rsid w:val="00E037CD"/>
    <w:rsid w:val="00E22563"/>
    <w:rsid w:val="00E55E8D"/>
    <w:rsid w:val="00E8234D"/>
    <w:rsid w:val="00E92194"/>
    <w:rsid w:val="00EF5BB9"/>
    <w:rsid w:val="00F07897"/>
    <w:rsid w:val="00F253A3"/>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D5606"/>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1</Pages>
  <Words>7128</Words>
  <Characters>39348</Characters>
  <Application>Microsoft Office Word</Application>
  <DocSecurity>0</DocSecurity>
  <Lines>936</Lines>
  <Paragraphs>352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이원석</cp:lastModifiedBy>
  <cp:revision>35</cp:revision>
  <dcterms:created xsi:type="dcterms:W3CDTF">2020-08-18T11:08:00Z</dcterms:created>
  <dcterms:modified xsi:type="dcterms:W3CDTF">2026-06-27T17:27:00Z</dcterms:modified>
</cp:coreProperties>
</file>