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87E" w:rsidRDefault="006640D5">
      <w:pPr>
        <w:jc w:val="center"/>
        <w:rPr>
          <w:rFonts w:ascii="Century" w:hAnsi="Century" w:cs="Century"/>
          <w:sz w:val="40"/>
          <w:szCs w:val="40"/>
          <w:lang w:val="sr-Latn-CS"/>
        </w:rPr>
      </w:pPr>
      <w:r>
        <w:rPr>
          <w:rFonts w:ascii="Century" w:hAnsi="Century" w:cs="Century"/>
          <w:sz w:val="40"/>
          <w:szCs w:val="40"/>
          <w:lang w:val="sr-Latn-CS"/>
        </w:rPr>
        <w:t xml:space="preserve">Državni </w:t>
      </w:r>
      <w:r>
        <w:rPr>
          <w:rFonts w:ascii="Century" w:hAnsi="Century" w:cs="Century"/>
          <w:sz w:val="40"/>
          <w:szCs w:val="40"/>
          <w:lang w:val="sr-Latn-RS"/>
        </w:rPr>
        <w:t>U</w:t>
      </w:r>
      <w:r>
        <w:rPr>
          <w:rFonts w:ascii="Century" w:hAnsi="Century" w:cs="Century"/>
          <w:sz w:val="40"/>
          <w:szCs w:val="40"/>
          <w:lang w:val="sr-Latn-CS"/>
        </w:rPr>
        <w:t>niverzitet u Novom Pazaru</w:t>
      </w:r>
    </w:p>
    <w:p w:rsidR="004A487E" w:rsidRDefault="004A487E">
      <w:pPr>
        <w:jc w:val="center"/>
        <w:rPr>
          <w:sz w:val="48"/>
          <w:szCs w:val="48"/>
          <w:lang w:val="sr-Latn-CS"/>
        </w:rPr>
      </w:pPr>
    </w:p>
    <w:p w:rsidR="004A487E" w:rsidRDefault="004A487E">
      <w:pPr>
        <w:jc w:val="center"/>
        <w:rPr>
          <w:b/>
          <w:sz w:val="36"/>
          <w:szCs w:val="36"/>
          <w:lang w:val="sr-Latn-CS"/>
        </w:rPr>
      </w:pPr>
    </w:p>
    <w:p w:rsidR="004A487E" w:rsidRDefault="004A487E">
      <w:pPr>
        <w:jc w:val="center"/>
        <w:rPr>
          <w:b/>
          <w:sz w:val="36"/>
          <w:szCs w:val="36"/>
          <w:lang w:val="sr-Latn-CS"/>
        </w:rPr>
      </w:pPr>
    </w:p>
    <w:p w:rsidR="004A487E" w:rsidRDefault="004A487E">
      <w:pPr>
        <w:jc w:val="center"/>
        <w:rPr>
          <w:rFonts w:ascii="Century" w:hAnsi="Century" w:cs="Century"/>
          <w:b/>
          <w:sz w:val="50"/>
          <w:szCs w:val="50"/>
          <w:lang w:val="sr-Latn-CS"/>
        </w:rPr>
      </w:pPr>
    </w:p>
    <w:p w:rsidR="004A487E" w:rsidRDefault="006640D5">
      <w:pPr>
        <w:jc w:val="center"/>
        <w:rPr>
          <w:rFonts w:ascii="Century" w:hAnsi="Century" w:cs="Century"/>
          <w:sz w:val="50"/>
          <w:szCs w:val="50"/>
          <w:lang w:val="sr-Latn-CS"/>
        </w:rPr>
      </w:pPr>
      <w:r>
        <w:rPr>
          <w:rFonts w:ascii="Century" w:hAnsi="Century" w:cs="Century"/>
          <w:sz w:val="50"/>
          <w:szCs w:val="50"/>
          <w:lang w:val="sr-Latn-CS"/>
        </w:rPr>
        <w:t>Upravljanje softverskim projektima</w:t>
      </w:r>
    </w:p>
    <w:p w:rsidR="004A487E" w:rsidRDefault="004A487E">
      <w:pPr>
        <w:jc w:val="center"/>
        <w:rPr>
          <w:sz w:val="36"/>
          <w:szCs w:val="36"/>
          <w:lang w:val="sr-Latn-CS"/>
        </w:rPr>
      </w:pPr>
    </w:p>
    <w:p w:rsidR="004A487E" w:rsidRDefault="006640D5">
      <w:pPr>
        <w:jc w:val="center"/>
        <w:rPr>
          <w:rFonts w:ascii="Century" w:hAnsi="Century" w:cs="Century"/>
          <w:b/>
          <w:bCs/>
          <w:sz w:val="40"/>
          <w:szCs w:val="40"/>
          <w:lang w:val="sr-Latn-RS"/>
        </w:rPr>
      </w:pPr>
      <w:bookmarkStart w:id="0" w:name="_Toc10580"/>
      <w:bookmarkStart w:id="1" w:name="_Toc26868"/>
      <w:r>
        <w:rPr>
          <w:rFonts w:ascii="Century" w:hAnsi="Century" w:cs="Century"/>
          <w:b/>
          <w:bCs/>
          <w:sz w:val="40"/>
          <w:szCs w:val="40"/>
          <w:lang w:val="sr-Latn-RS"/>
        </w:rPr>
        <w:t xml:space="preserve">Analiza </w:t>
      </w:r>
      <w:bookmarkEnd w:id="0"/>
      <w:bookmarkEnd w:id="1"/>
      <w:r>
        <w:rPr>
          <w:rFonts w:ascii="Century" w:hAnsi="Century" w:cs="Century"/>
          <w:b/>
          <w:bCs/>
          <w:sz w:val="40"/>
          <w:szCs w:val="40"/>
          <w:lang w:val="sr-Latn-RS"/>
        </w:rPr>
        <w:t>strategija</w:t>
      </w:r>
    </w:p>
    <w:p w:rsidR="004A487E" w:rsidRDefault="004A487E">
      <w:pPr>
        <w:pStyle w:val="Heading2"/>
        <w:jc w:val="center"/>
      </w:pPr>
    </w:p>
    <w:p w:rsidR="004A487E" w:rsidRDefault="004A487E">
      <w:pPr>
        <w:pStyle w:val="Heading2"/>
        <w:jc w:val="center"/>
      </w:pPr>
    </w:p>
    <w:p w:rsidR="004A487E" w:rsidRDefault="004A487E">
      <w:pPr>
        <w:pStyle w:val="Heading2"/>
        <w:jc w:val="center"/>
      </w:pPr>
    </w:p>
    <w:p w:rsidR="004A487E" w:rsidRDefault="004A487E">
      <w:pPr>
        <w:pStyle w:val="Heading2"/>
        <w:jc w:val="center"/>
      </w:pPr>
    </w:p>
    <w:p w:rsidR="004A487E" w:rsidRDefault="004A487E">
      <w:pPr>
        <w:pStyle w:val="Heading2"/>
        <w:jc w:val="center"/>
      </w:pPr>
    </w:p>
    <w:p w:rsidR="004A487E" w:rsidRDefault="004A487E"/>
    <w:p w:rsidR="004A487E" w:rsidRDefault="004A487E"/>
    <w:p w:rsidR="004A487E" w:rsidRDefault="004A487E"/>
    <w:p w:rsidR="004A487E" w:rsidRDefault="004A487E"/>
    <w:p w:rsidR="004A487E" w:rsidRDefault="004A487E">
      <w:pPr>
        <w:pStyle w:val="TOC2"/>
        <w:tabs>
          <w:tab w:val="left" w:pos="660"/>
        </w:tabs>
        <w:jc w:val="center"/>
        <w:rPr>
          <w:b/>
          <w:sz w:val="40"/>
          <w:szCs w:val="40"/>
          <w:lang w:val="sr-Latn-CS"/>
        </w:rPr>
        <w:sectPr w:rsidR="004A487E">
          <w:headerReference w:type="default" r:id="rId9"/>
          <w:pgSz w:w="11906" w:h="16838"/>
          <w:pgMar w:top="1440" w:right="1800" w:bottom="1440" w:left="1800" w:header="720" w:footer="720" w:gutter="0"/>
          <w:pgNumType w:start="2"/>
          <w:cols w:space="720"/>
          <w:titlePg/>
          <w:docGrid w:linePitch="360"/>
        </w:sectPr>
      </w:pPr>
    </w:p>
    <w:p w:rsidR="004A487E" w:rsidRDefault="004A487E">
      <w:pPr>
        <w:pStyle w:val="TOC2"/>
        <w:tabs>
          <w:tab w:val="left" w:pos="660"/>
        </w:tabs>
        <w:jc w:val="center"/>
        <w:rPr>
          <w:b/>
          <w:sz w:val="40"/>
          <w:szCs w:val="40"/>
          <w:lang w:val="sr-Latn-CS"/>
        </w:rPr>
      </w:pPr>
    </w:p>
    <w:p w:rsidR="004A487E" w:rsidRDefault="006640D5">
      <w:pPr>
        <w:pStyle w:val="TOC2"/>
        <w:tabs>
          <w:tab w:val="left" w:pos="660"/>
        </w:tabs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Sadržaj</w:t>
      </w:r>
    </w:p>
    <w:p w:rsidR="004A487E" w:rsidRDefault="004A487E">
      <w:pPr>
        <w:rPr>
          <w:lang w:val="sr-Latn-CS"/>
        </w:rPr>
      </w:pPr>
    </w:p>
    <w:sdt>
      <w:sdtPr>
        <w:rPr>
          <w:rFonts w:ascii="SimSun" w:eastAsia="SimSun" w:hAnsi="SimSun"/>
          <w:sz w:val="21"/>
        </w:rPr>
        <w:id w:val="1474632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sz w:val="22"/>
        </w:rPr>
      </w:sdtEndPr>
      <w:sdtContent>
        <w:p w:rsidR="004A487E" w:rsidRDefault="004A487E">
          <w:pPr>
            <w:spacing w:after="0" w:line="240" w:lineRule="auto"/>
            <w:jc w:val="center"/>
          </w:pPr>
        </w:p>
        <w:p w:rsidR="006D02E8" w:rsidRDefault="006640D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rFonts w:ascii="Times New Roman" w:eastAsia="SimSun" w:hAnsi="Times New Roman" w:cs="Times New Roman"/>
              <w:sz w:val="20"/>
              <w:szCs w:val="20"/>
            </w:rPr>
            <w:fldChar w:fldCharType="begin"/>
          </w:r>
          <w:r>
            <w:instrText xml:space="preserve">TOC \o "1-3" \h \u </w:instrText>
          </w:r>
          <w:r>
            <w:rPr>
              <w:rFonts w:ascii="Times New Roman" w:eastAsia="SimSun" w:hAnsi="Times New Roman" w:cs="Times New Roman"/>
              <w:sz w:val="20"/>
              <w:szCs w:val="20"/>
            </w:rPr>
            <w:fldChar w:fldCharType="separate"/>
          </w:r>
          <w:hyperlink w:anchor="_Toc76470701" w:history="1">
            <w:r w:rsidR="006D02E8" w:rsidRPr="000F3FF9">
              <w:rPr>
                <w:rStyle w:val="Hyperlink"/>
                <w:rFonts w:ascii="Century" w:hAnsi="Century" w:cs="Century"/>
                <w:noProof/>
                <w:lang w:val="sr-Latn-RS"/>
              </w:rPr>
              <w:t>Doprinos verzija</w:t>
            </w:r>
            <w:r w:rsidR="006D02E8">
              <w:rPr>
                <w:noProof/>
              </w:rPr>
              <w:tab/>
            </w:r>
            <w:r w:rsidR="006D02E8">
              <w:rPr>
                <w:noProof/>
              </w:rPr>
              <w:fldChar w:fldCharType="begin"/>
            </w:r>
            <w:r w:rsidR="006D02E8">
              <w:rPr>
                <w:noProof/>
              </w:rPr>
              <w:instrText xml:space="preserve"> PAGEREF _Toc76470701 \h </w:instrText>
            </w:r>
            <w:r w:rsidR="006D02E8">
              <w:rPr>
                <w:noProof/>
              </w:rPr>
            </w:r>
            <w:r w:rsidR="006D02E8">
              <w:rPr>
                <w:noProof/>
              </w:rPr>
              <w:fldChar w:fldCharType="separate"/>
            </w:r>
            <w:r w:rsidR="006D02E8">
              <w:rPr>
                <w:noProof/>
              </w:rPr>
              <w:t>3</w:t>
            </w:r>
            <w:r w:rsidR="006D02E8">
              <w:rPr>
                <w:noProof/>
              </w:rPr>
              <w:fldChar w:fldCharType="end"/>
            </w:r>
          </w:hyperlink>
        </w:p>
        <w:p w:rsidR="006D02E8" w:rsidRDefault="006D02E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470702" w:history="1">
            <w:r w:rsidRPr="000F3FF9">
              <w:rPr>
                <w:rStyle w:val="Hyperlink"/>
                <w:rFonts w:ascii="Century" w:hAnsi="Century" w:cs="Century"/>
                <w:noProof/>
              </w:rPr>
              <w:t xml:space="preserve">Analiza </w:t>
            </w:r>
            <w:r w:rsidRPr="000F3FF9">
              <w:rPr>
                <w:rStyle w:val="Hyperlink"/>
                <w:rFonts w:ascii="Century" w:hAnsi="Century" w:cs="Century"/>
                <w:noProof/>
                <w:lang w:val="sr-Latn-RS"/>
              </w:rPr>
              <w:t>strategija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_Toc76470702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6D02E8" w:rsidRDefault="006D02E8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76470703" w:history="1">
            <w:r w:rsidRPr="000F3FF9">
              <w:rPr>
                <w:rStyle w:val="Hyperlink"/>
                <w:rFonts w:ascii="Century" w:hAnsi="Century" w:cs="Century"/>
                <w:noProof/>
                <w:lang w:val="sr-Latn-RS"/>
              </w:rPr>
              <w:t>Srbija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_Toc76470703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6D02E8" w:rsidRDefault="006D02E8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76470704" w:history="1">
            <w:r w:rsidRPr="000F3FF9">
              <w:rPr>
                <w:rStyle w:val="Hyperlink"/>
                <w:rFonts w:ascii="Century" w:hAnsi="Century" w:cs="Century"/>
                <w:noProof/>
                <w:lang w:val="sr-Latn-RS"/>
              </w:rPr>
              <w:t>Turska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_Toc76470704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6D02E8" w:rsidRDefault="006D02E8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76470705" w:history="1">
            <w:r w:rsidRPr="000F3FF9">
              <w:rPr>
                <w:rStyle w:val="Hyperlink"/>
                <w:rFonts w:ascii="Century" w:hAnsi="Century" w:cs="Century"/>
                <w:noProof/>
                <w:lang w:val="sr-Latn-RS"/>
              </w:rPr>
              <w:t>Norveška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_Toc76470705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6D02E8" w:rsidRDefault="006D02E8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76470706" w:history="1">
            <w:r w:rsidRPr="000F3FF9">
              <w:rPr>
                <w:rStyle w:val="Hyperlink"/>
                <w:rFonts w:ascii="Century" w:hAnsi="Century" w:cs="Century"/>
                <w:noProof/>
                <w:lang w:val="sr-Latn-RS"/>
              </w:rPr>
              <w:t>Švedska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_Toc76470706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6D02E8" w:rsidRDefault="006D02E8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76470707" w:history="1">
            <w:r w:rsidRPr="000F3FF9">
              <w:rPr>
                <w:rStyle w:val="Hyperlink"/>
                <w:rFonts w:ascii="Century" w:hAnsi="Century" w:cs="Century"/>
                <w:noProof/>
                <w:lang w:val="sr-Latn-RS"/>
              </w:rPr>
              <w:t>Nemačka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_Toc76470707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6D02E8" w:rsidRDefault="006D02E8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76470708" w:history="1">
            <w:r w:rsidRPr="000F3FF9">
              <w:rPr>
                <w:rStyle w:val="Hyperlink"/>
                <w:noProof/>
                <w:lang w:val="sr-Latn-RS"/>
              </w:rPr>
              <w:t>Albanija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_Toc76470708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6D02E8" w:rsidRDefault="006D02E8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76470709" w:history="1">
            <w:r w:rsidRPr="000F3FF9">
              <w:rPr>
                <w:rStyle w:val="Hyperlink"/>
                <w:noProof/>
                <w:lang w:val="sr-Latn-RS"/>
              </w:rPr>
              <w:t>Tunis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_Toc76470709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6D02E8" w:rsidRDefault="006D02E8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76470710" w:history="1">
            <w:r w:rsidRPr="000F3FF9">
              <w:rPr>
                <w:rStyle w:val="Hyperlink"/>
                <w:noProof/>
                <w:lang w:val="sr-Latn-RS"/>
              </w:rPr>
              <w:t>Jemen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_Toc76470710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6D02E8" w:rsidRDefault="006D02E8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76470711" w:history="1">
            <w:r w:rsidRPr="000F3FF9">
              <w:rPr>
                <w:rStyle w:val="Hyperlink"/>
                <w:noProof/>
                <w:lang w:val="sr-Latn-RS"/>
              </w:rPr>
              <w:t>Tajland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_Toc76470711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6D02E8" w:rsidRDefault="006D02E8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76470712" w:history="1">
            <w:r w:rsidRPr="000F3FF9">
              <w:rPr>
                <w:rStyle w:val="Hyperlink"/>
                <w:noProof/>
                <w:lang w:val="sr-Latn-RS"/>
              </w:rPr>
              <w:t>Crna Gora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_Toc76470712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6D02E8" w:rsidRDefault="006D02E8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76470713" w:history="1">
            <w:r w:rsidRPr="000F3FF9">
              <w:rPr>
                <w:rStyle w:val="Hyperlink"/>
                <w:noProof/>
                <w:lang w:val="sr-Latn-RS"/>
              </w:rPr>
              <w:t>Bosna i Hercegovina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_Toc76470713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6D02E8" w:rsidRDefault="006D02E8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76470714" w:history="1">
            <w:r w:rsidRPr="000F3FF9">
              <w:rPr>
                <w:rStyle w:val="Hyperlink"/>
                <w:noProof/>
                <w:lang w:val="sr-Latn-RS"/>
              </w:rPr>
              <w:t>Kosovo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_Toc76470714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6D02E8" w:rsidRDefault="006D02E8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76470715" w:history="1">
            <w:r w:rsidRPr="000F3FF9">
              <w:rPr>
                <w:rStyle w:val="Hyperlink"/>
                <w:noProof/>
                <w:lang w:val="sr-Latn-RS"/>
              </w:rPr>
              <w:t>Peru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_Toc76470715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6D02E8" w:rsidRDefault="006D02E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6470716" w:history="1">
            <w:r w:rsidRPr="000F3FF9">
              <w:rPr>
                <w:rStyle w:val="Hyperlink"/>
                <w:rFonts w:ascii="Century" w:hAnsi="Century" w:cs="Century"/>
                <w:noProof/>
                <w:lang w:val="sr-Latn-RS"/>
              </w:rPr>
              <w:t>Aktivnosti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_Toc76470716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4A487E" w:rsidRDefault="006640D5">
          <w:r>
            <w:fldChar w:fldCharType="end"/>
          </w:r>
        </w:p>
      </w:sdtContent>
    </w:sdt>
    <w:p w:rsidR="004A487E" w:rsidRDefault="004A487E"/>
    <w:p w:rsidR="004A487E" w:rsidRDefault="004A487E"/>
    <w:p w:rsidR="004A487E" w:rsidRDefault="004A487E">
      <w:pPr>
        <w:sectPr w:rsidR="004A487E">
          <w:headerReference w:type="default" r:id="rId10"/>
          <w:footerReference w:type="default" r:id="rId11"/>
          <w:pgSz w:w="11906" w:h="16838"/>
          <w:pgMar w:top="1440" w:right="1800" w:bottom="1440" w:left="1800" w:header="720" w:footer="720" w:gutter="0"/>
          <w:pgNumType w:start="2"/>
          <w:cols w:space="720"/>
          <w:docGrid w:linePitch="360"/>
        </w:sectPr>
      </w:pPr>
    </w:p>
    <w:p w:rsidR="004A487E" w:rsidRDefault="004A487E" w:rsidP="00394263">
      <w:pPr>
        <w:pStyle w:val="Heading2"/>
        <w:ind w:firstLineChars="50" w:firstLine="181"/>
        <w:jc w:val="center"/>
        <w:rPr>
          <w:rFonts w:ascii="Century" w:hAnsi="Century" w:cs="Century"/>
          <w:lang w:val="sr-Latn-RS"/>
        </w:rPr>
      </w:pPr>
      <w:bookmarkStart w:id="2" w:name="_Toc22121"/>
    </w:p>
    <w:p w:rsidR="004A487E" w:rsidRDefault="006640D5">
      <w:pPr>
        <w:pStyle w:val="Heading1"/>
        <w:jc w:val="center"/>
        <w:rPr>
          <w:rFonts w:ascii="Century" w:hAnsi="Century" w:cs="Century"/>
          <w:sz w:val="40"/>
          <w:szCs w:val="40"/>
          <w:lang w:val="sr-Latn-RS"/>
        </w:rPr>
      </w:pPr>
      <w:bookmarkStart w:id="3" w:name="_Toc8346"/>
      <w:bookmarkStart w:id="4" w:name="_Toc14277"/>
      <w:bookmarkStart w:id="5" w:name="_Toc14780"/>
      <w:bookmarkStart w:id="6" w:name="_Toc11335"/>
      <w:bookmarkStart w:id="7" w:name="_Toc30484"/>
      <w:bookmarkStart w:id="8" w:name="_Toc16976"/>
      <w:bookmarkStart w:id="9" w:name="_Toc76470701"/>
      <w:r>
        <w:rPr>
          <w:rFonts w:ascii="Century" w:hAnsi="Century" w:cs="Century"/>
          <w:sz w:val="40"/>
          <w:szCs w:val="40"/>
          <w:lang w:val="sr-Latn-RS"/>
        </w:rPr>
        <w:t>Doprinos verzija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A487E" w:rsidRDefault="004A487E">
      <w:pPr>
        <w:rPr>
          <w:lang w:val="sr-Latn-RS"/>
        </w:rPr>
      </w:pPr>
    </w:p>
    <w:tbl>
      <w:tblPr>
        <w:tblStyle w:val="TableGrid"/>
        <w:tblpPr w:leftFromText="180" w:rightFromText="180" w:vertAnchor="text" w:horzAnchor="page" w:tblpX="454" w:tblpY="224"/>
        <w:tblW w:w="11448" w:type="dxa"/>
        <w:tblLayout w:type="fixed"/>
        <w:tblLook w:val="04A0" w:firstRow="1" w:lastRow="0" w:firstColumn="1" w:lastColumn="0" w:noHBand="0" w:noVBand="1"/>
      </w:tblPr>
      <w:tblGrid>
        <w:gridCol w:w="9606"/>
        <w:gridCol w:w="1275"/>
        <w:gridCol w:w="567"/>
      </w:tblGrid>
      <w:tr w:rsidR="00394263" w:rsidTr="00394263">
        <w:trPr>
          <w:trHeight w:val="560"/>
        </w:trPr>
        <w:tc>
          <w:tcPr>
            <w:tcW w:w="9606" w:type="dxa"/>
          </w:tcPr>
          <w:p w:rsidR="00394263" w:rsidRDefault="00394263" w:rsidP="00394263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Ime i prezime</w:t>
            </w:r>
          </w:p>
        </w:tc>
        <w:tc>
          <w:tcPr>
            <w:tcW w:w="1275" w:type="dxa"/>
          </w:tcPr>
          <w:p w:rsidR="00394263" w:rsidRDefault="00394263" w:rsidP="00394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Datum</w:t>
            </w:r>
          </w:p>
        </w:tc>
        <w:tc>
          <w:tcPr>
            <w:tcW w:w="567" w:type="dxa"/>
          </w:tcPr>
          <w:p w:rsidR="00394263" w:rsidRDefault="00394263" w:rsidP="00394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</w:p>
        </w:tc>
      </w:tr>
      <w:tr w:rsidR="00394263" w:rsidTr="00394263">
        <w:trPr>
          <w:trHeight w:val="692"/>
        </w:trPr>
        <w:tc>
          <w:tcPr>
            <w:tcW w:w="9606" w:type="dxa"/>
          </w:tcPr>
          <w:p w:rsidR="00394263" w:rsidRDefault="00394263" w:rsidP="00394263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Soraja Ugljanin,Dalila Pramenković, Belkisa Dazdarević,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 xml:space="preserve">Elma 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Islamović, Maida Vejselović</w:t>
            </w:r>
          </w:p>
        </w:tc>
        <w:tc>
          <w:tcPr>
            <w:tcW w:w="1275" w:type="dxa"/>
          </w:tcPr>
          <w:p w:rsidR="00394263" w:rsidRDefault="00394263" w:rsidP="00394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20.5.2021</w:t>
            </w:r>
          </w:p>
        </w:tc>
        <w:tc>
          <w:tcPr>
            <w:tcW w:w="567" w:type="dxa"/>
          </w:tcPr>
          <w:p w:rsidR="00394263" w:rsidRDefault="00394263" w:rsidP="00394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1.0</w:t>
            </w:r>
          </w:p>
        </w:tc>
      </w:tr>
      <w:tr w:rsidR="00394263" w:rsidTr="00394263">
        <w:trPr>
          <w:trHeight w:val="58"/>
        </w:trPr>
        <w:tc>
          <w:tcPr>
            <w:tcW w:w="9606" w:type="dxa"/>
          </w:tcPr>
          <w:p w:rsidR="00394263" w:rsidRDefault="00394263" w:rsidP="00394263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 xml:space="preserve">Maida Vejselović,Dalila Pramenković, Belkisa Dazdarević,Elma Islamović, 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Soraja Ugljanin</w:t>
            </w:r>
          </w:p>
        </w:tc>
        <w:tc>
          <w:tcPr>
            <w:tcW w:w="1275" w:type="dxa"/>
          </w:tcPr>
          <w:p w:rsidR="00394263" w:rsidRDefault="00394263" w:rsidP="00394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6.7.2021.</w:t>
            </w:r>
          </w:p>
        </w:tc>
        <w:tc>
          <w:tcPr>
            <w:tcW w:w="567" w:type="dxa"/>
          </w:tcPr>
          <w:p w:rsidR="00394263" w:rsidRDefault="00394263" w:rsidP="00394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sr-Latn-RS"/>
              </w:rPr>
              <w:t>.0</w:t>
            </w:r>
          </w:p>
        </w:tc>
      </w:tr>
    </w:tbl>
    <w:p w:rsidR="004A487E" w:rsidRDefault="004A48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sr-Latn-RS"/>
        </w:rPr>
      </w:pPr>
    </w:p>
    <w:p w:rsidR="004A487E" w:rsidRDefault="004A487E">
      <w:pPr>
        <w:spacing w:after="0" w:line="240" w:lineRule="auto"/>
        <w:rPr>
          <w:rFonts w:ascii="Calibri" w:eastAsia="Times New Roman" w:hAnsi="Calibri" w:cs="Calibri"/>
          <w:color w:val="000000"/>
          <w:sz w:val="26"/>
          <w:szCs w:val="26"/>
          <w:lang w:val="sr-Latn-RS"/>
        </w:rPr>
      </w:pPr>
    </w:p>
    <w:p w:rsidR="004A487E" w:rsidRDefault="004A487E">
      <w:pPr>
        <w:spacing w:after="0" w:line="240" w:lineRule="auto"/>
        <w:rPr>
          <w:rFonts w:ascii="Calibri" w:eastAsia="Times New Roman" w:hAnsi="Calibri" w:cs="Calibri"/>
          <w:color w:val="000000"/>
          <w:sz w:val="26"/>
          <w:szCs w:val="26"/>
          <w:lang w:val="sr-Latn-RS"/>
        </w:rPr>
      </w:pPr>
    </w:p>
    <w:p w:rsidR="004A487E" w:rsidRDefault="004A487E">
      <w:pPr>
        <w:spacing w:after="0" w:line="240" w:lineRule="auto"/>
        <w:rPr>
          <w:rFonts w:ascii="Calibri" w:eastAsia="Times New Roman" w:hAnsi="Calibri" w:cs="Calibri"/>
          <w:color w:val="000000"/>
          <w:sz w:val="26"/>
          <w:szCs w:val="26"/>
          <w:lang w:val="sr-Latn-RS"/>
        </w:rPr>
      </w:pPr>
    </w:p>
    <w:p w:rsidR="004A487E" w:rsidRDefault="004A487E">
      <w:pPr>
        <w:spacing w:after="0" w:line="240" w:lineRule="auto"/>
        <w:rPr>
          <w:rFonts w:ascii="Calibri" w:eastAsia="Times New Roman" w:hAnsi="Calibri" w:cs="Calibri"/>
          <w:color w:val="000000"/>
          <w:sz w:val="26"/>
          <w:szCs w:val="26"/>
          <w:lang w:val="sr-Latn-RS"/>
        </w:rPr>
      </w:pPr>
    </w:p>
    <w:p w:rsidR="004A487E" w:rsidRDefault="004A487E">
      <w:pPr>
        <w:spacing w:after="0" w:line="240" w:lineRule="auto"/>
        <w:rPr>
          <w:rFonts w:ascii="Calibri" w:eastAsia="Times New Roman" w:hAnsi="Calibri" w:cs="Calibri"/>
          <w:color w:val="000000"/>
          <w:sz w:val="26"/>
          <w:szCs w:val="26"/>
          <w:lang w:val="sr-Latn-RS"/>
        </w:rPr>
      </w:pPr>
    </w:p>
    <w:p w:rsidR="004A487E" w:rsidRDefault="004A487E">
      <w:pPr>
        <w:spacing w:after="0" w:line="240" w:lineRule="auto"/>
        <w:rPr>
          <w:rFonts w:ascii="Calibri" w:eastAsia="Times New Roman" w:hAnsi="Calibri" w:cs="Calibri"/>
          <w:color w:val="000000"/>
          <w:sz w:val="26"/>
          <w:szCs w:val="26"/>
          <w:lang w:val="sr-Latn-RS"/>
        </w:rPr>
      </w:pPr>
    </w:p>
    <w:p w:rsidR="004A487E" w:rsidRDefault="004A487E">
      <w:pPr>
        <w:spacing w:after="0" w:line="240" w:lineRule="auto"/>
        <w:rPr>
          <w:rFonts w:ascii="Calibri" w:eastAsia="Times New Roman" w:hAnsi="Calibri" w:cs="Calibri"/>
          <w:color w:val="000000"/>
          <w:sz w:val="26"/>
          <w:szCs w:val="26"/>
          <w:lang w:val="sr-Latn-RS"/>
        </w:rPr>
      </w:pPr>
    </w:p>
    <w:p w:rsidR="004A487E" w:rsidRDefault="004A487E"/>
    <w:p w:rsidR="004A487E" w:rsidRDefault="004A487E"/>
    <w:p w:rsidR="004A487E" w:rsidRDefault="004A487E"/>
    <w:p w:rsidR="004A487E" w:rsidRDefault="004A487E"/>
    <w:p w:rsidR="004A487E" w:rsidRDefault="004A487E"/>
    <w:p w:rsidR="004A487E" w:rsidRDefault="004A487E"/>
    <w:p w:rsidR="004A487E" w:rsidRDefault="004A487E"/>
    <w:p w:rsidR="004A487E" w:rsidRDefault="004A487E"/>
    <w:p w:rsidR="004A487E" w:rsidRDefault="004A487E"/>
    <w:p w:rsidR="004A487E" w:rsidRDefault="004A487E"/>
    <w:p w:rsidR="004A487E" w:rsidRDefault="004A487E"/>
    <w:p w:rsidR="004A487E" w:rsidRDefault="004A487E">
      <w:pPr>
        <w:pStyle w:val="Heading2"/>
        <w:jc w:val="both"/>
      </w:pPr>
    </w:p>
    <w:p w:rsidR="004A487E" w:rsidRDefault="004A487E">
      <w:pPr>
        <w:pStyle w:val="Heading2"/>
        <w:jc w:val="center"/>
        <w:rPr>
          <w:rFonts w:ascii="Century" w:hAnsi="Century" w:cs="Century"/>
        </w:rPr>
      </w:pPr>
      <w:bookmarkStart w:id="10" w:name="_Toc8142"/>
    </w:p>
    <w:p w:rsidR="004A487E" w:rsidRDefault="006640D5">
      <w:pPr>
        <w:pStyle w:val="Heading1"/>
        <w:jc w:val="center"/>
        <w:rPr>
          <w:rFonts w:ascii="Century" w:hAnsi="Century" w:cs="Century"/>
          <w:b w:val="0"/>
          <w:iCs/>
          <w:sz w:val="24"/>
          <w:szCs w:val="24"/>
          <w:lang w:val="sr-Latn-RS"/>
        </w:rPr>
      </w:pPr>
      <w:bookmarkStart w:id="11" w:name="_Toc32414"/>
      <w:bookmarkStart w:id="12" w:name="_Toc29159"/>
      <w:bookmarkStart w:id="13" w:name="_Toc16074"/>
      <w:bookmarkStart w:id="14" w:name="_Toc24365"/>
      <w:bookmarkStart w:id="15" w:name="_Toc4454"/>
      <w:bookmarkStart w:id="16" w:name="_Toc18028"/>
      <w:bookmarkStart w:id="17" w:name="_Toc76470702"/>
      <w:r>
        <w:rPr>
          <w:rFonts w:ascii="Century" w:hAnsi="Century" w:cs="Century"/>
        </w:rPr>
        <w:t xml:space="preserve">Analiza </w:t>
      </w:r>
      <w:bookmarkEnd w:id="10"/>
      <w:bookmarkEnd w:id="11"/>
      <w:bookmarkEnd w:id="12"/>
      <w:bookmarkEnd w:id="13"/>
      <w:r>
        <w:rPr>
          <w:rFonts w:ascii="Century" w:hAnsi="Century" w:cs="Century"/>
          <w:lang w:val="sr-Latn-RS"/>
        </w:rPr>
        <w:t>strategija</w:t>
      </w:r>
      <w:bookmarkEnd w:id="14"/>
      <w:bookmarkEnd w:id="15"/>
      <w:bookmarkEnd w:id="16"/>
      <w:bookmarkEnd w:id="17"/>
    </w:p>
    <w:p w:rsidR="004A487E" w:rsidRDefault="006640D5">
      <w:pPr>
        <w:rPr>
          <w:rFonts w:ascii="Century" w:hAnsi="Century" w:cs="Century"/>
          <w:bCs/>
          <w:i/>
          <w:iCs/>
          <w:sz w:val="24"/>
          <w:szCs w:val="24"/>
          <w:lang w:val="sr-Latn-RS"/>
        </w:rPr>
      </w:pPr>
      <w:r w:rsidRPr="008D62D9">
        <w:rPr>
          <w:rFonts w:ascii="Century" w:hAnsi="Century" w:cs="Century"/>
          <w:bCs/>
          <w:i/>
          <w:iCs/>
          <w:sz w:val="24"/>
          <w:szCs w:val="24"/>
          <w:lang w:val="sr-Latn-RS"/>
        </w:rPr>
        <w:t>Upravljanje migracijama podrazumeva uređen sistem koji sačinjavaju jasna migraciona politika i plansko i organizovano upravljanje migracionim tokovima, uz odgovarajući doprinos regulisanju migracija na</w:t>
      </w:r>
      <w:r w:rsidRPr="008D62D9">
        <w:rPr>
          <w:rFonts w:ascii="Century" w:hAnsi="Century" w:cs="Century"/>
          <w:bCs/>
          <w:i/>
          <w:iCs/>
          <w:sz w:val="24"/>
          <w:szCs w:val="24"/>
          <w:lang w:val="sr-Latn-RS"/>
        </w:rPr>
        <w:t xml:space="preserve"> regionalnom i globalnom nivou.</w:t>
      </w:r>
    </w:p>
    <w:p w:rsidR="003E5A30" w:rsidRPr="008D62D9" w:rsidRDefault="003E5A30">
      <w:pPr>
        <w:rPr>
          <w:rFonts w:ascii="Century" w:hAnsi="Century" w:cs="Century"/>
          <w:bCs/>
          <w:i/>
          <w:iCs/>
          <w:sz w:val="24"/>
          <w:szCs w:val="24"/>
          <w:lang w:val="sr-Latn-RS"/>
        </w:rPr>
      </w:pPr>
    </w:p>
    <w:p w:rsidR="004A487E" w:rsidRDefault="006640D5">
      <w:pPr>
        <w:pStyle w:val="Heading2"/>
        <w:rPr>
          <w:rFonts w:ascii="Century" w:hAnsi="Century" w:cs="Century"/>
          <w:lang w:val="sr-Latn-RS"/>
        </w:rPr>
      </w:pPr>
      <w:bookmarkStart w:id="18" w:name="_Toc31836"/>
      <w:bookmarkStart w:id="19" w:name="_Toc20332"/>
      <w:bookmarkStart w:id="20" w:name="_Toc76470703"/>
      <w:r>
        <w:rPr>
          <w:rFonts w:ascii="Century" w:hAnsi="Century" w:cs="Century"/>
          <w:lang w:val="sr-Latn-RS"/>
        </w:rPr>
        <w:t>Srbija</w:t>
      </w:r>
      <w:bookmarkEnd w:id="18"/>
      <w:bookmarkEnd w:id="19"/>
      <w:bookmarkEnd w:id="20"/>
    </w:p>
    <w:p w:rsidR="004A487E" w:rsidRPr="00881019" w:rsidRDefault="006640D5">
      <w:pPr>
        <w:rPr>
          <w:rStyle w:val="Emphasis"/>
        </w:rPr>
      </w:pPr>
      <w:r w:rsidRPr="00881019">
        <w:rPr>
          <w:rStyle w:val="Emphasis"/>
        </w:rPr>
        <w:t xml:space="preserve">Strategija za upravljanje migracijama i Akcioni plan iz 2011. </w:t>
      </w:r>
      <w:proofErr w:type="gramStart"/>
      <w:r w:rsidRPr="00881019">
        <w:rPr>
          <w:rStyle w:val="Emphasis"/>
        </w:rPr>
        <w:t>godine</w:t>
      </w:r>
      <w:proofErr w:type="gramEnd"/>
      <w:r w:rsidRPr="00881019">
        <w:rPr>
          <w:rStyle w:val="Emphasis"/>
        </w:rPr>
        <w:t xml:space="preserve"> je krovni dokument koji je prethodio izradi istoimenog zakona. Upravljanje migracijama podrazumeva uređen sistem koji sačinjavaju jasna migraciona </w:t>
      </w:r>
      <w:r w:rsidRPr="00881019">
        <w:rPr>
          <w:rStyle w:val="Emphasis"/>
        </w:rPr>
        <w:t xml:space="preserve">politika i plansko i organizovano upravljanje migracionim tokovima, uz odgovarajući doprinos regulisanju migracija </w:t>
      </w:r>
      <w:proofErr w:type="gramStart"/>
      <w:r w:rsidRPr="00881019">
        <w:rPr>
          <w:rStyle w:val="Emphasis"/>
        </w:rPr>
        <w:t>na</w:t>
      </w:r>
      <w:proofErr w:type="gramEnd"/>
      <w:r w:rsidRPr="00881019">
        <w:rPr>
          <w:rStyle w:val="Emphasis"/>
        </w:rPr>
        <w:t xml:space="preserve"> regionalnom i globalnom nivou. Plansko i organizovano upravljanje migracijama podrazumeva praćenje spoljnih i unutrašnjih migracionih kret</w:t>
      </w:r>
      <w:r w:rsidRPr="00881019">
        <w:rPr>
          <w:rStyle w:val="Emphasis"/>
        </w:rPr>
        <w:t xml:space="preserve">anja i sprovođenje aktivnosti koje </w:t>
      </w:r>
      <w:proofErr w:type="gramStart"/>
      <w:r w:rsidRPr="00881019">
        <w:rPr>
          <w:rStyle w:val="Emphasis"/>
        </w:rPr>
        <w:t>će</w:t>
      </w:r>
      <w:proofErr w:type="gramEnd"/>
      <w:r w:rsidRPr="00881019">
        <w:rPr>
          <w:rStyle w:val="Emphasis"/>
        </w:rPr>
        <w:t xml:space="preserve"> dovesti do podsticanja regularnih i suzbijanja iregularnih migracija. Osnovni elementi sistema upravljanja migracijama su politika viza, integrisano upravljanje granicom, regulisan boravak stranaca, mehanizmi za integr</w:t>
      </w:r>
      <w:r w:rsidRPr="00881019">
        <w:rPr>
          <w:rStyle w:val="Emphasis"/>
        </w:rPr>
        <w:t xml:space="preserve">aciju migranata u društvo, ukupna zaštita državljana koji se nalaze </w:t>
      </w:r>
      <w:proofErr w:type="gramStart"/>
      <w:r w:rsidRPr="00881019">
        <w:rPr>
          <w:rStyle w:val="Emphasis"/>
        </w:rPr>
        <w:t>na</w:t>
      </w:r>
      <w:proofErr w:type="gramEnd"/>
      <w:r w:rsidRPr="00881019">
        <w:rPr>
          <w:rStyle w:val="Emphasis"/>
        </w:rPr>
        <w:t xml:space="preserve"> radu i boravku u inostranstvu, kao i aktivna politika zapošljavanja.</w:t>
      </w:r>
    </w:p>
    <w:p w:rsidR="003E5A30" w:rsidRDefault="003E5A30" w:rsidP="003E5A30">
      <w:pPr>
        <w:pStyle w:val="Heading2"/>
        <w:rPr>
          <w:rFonts w:ascii="Century" w:hAnsi="Century" w:cs="Century"/>
          <w:lang w:val="sr-Latn-RS"/>
        </w:rPr>
      </w:pPr>
      <w:bookmarkStart w:id="21" w:name="_Toc76470704"/>
      <w:r>
        <w:rPr>
          <w:rFonts w:ascii="Century" w:hAnsi="Century" w:cs="Century"/>
          <w:lang w:val="sr-Latn-RS"/>
        </w:rPr>
        <w:t>Turska</w:t>
      </w:r>
      <w:bookmarkEnd w:id="21"/>
    </w:p>
    <w:p w:rsidR="00871048" w:rsidRPr="00871048" w:rsidRDefault="00871048" w:rsidP="00871048">
      <w:pPr>
        <w:pStyle w:val="Footer"/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</w:pPr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>Turska je domaćin za preko 3</w:t>
      </w:r>
      <w:proofErr w:type="gramStart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>,6</w:t>
      </w:r>
      <w:proofErr w:type="gramEnd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 xml:space="preserve"> miliona izbjeglica, što je čini najvećom zemljom domaćinom na svijetu. </w:t>
      </w:r>
      <w:proofErr w:type="gramStart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>Velika većina ovih izbjeglica su Sirijci, raseljeni nakon građanskog rata 2011.</w:t>
      </w:r>
      <w:proofErr w:type="gramEnd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 xml:space="preserve"> </w:t>
      </w:r>
      <w:proofErr w:type="gramStart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>godine</w:t>
      </w:r>
      <w:proofErr w:type="gramEnd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>. </w:t>
      </w:r>
      <w:proofErr w:type="gramStart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>Od 2017.</w:t>
      </w:r>
      <w:proofErr w:type="gramEnd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 xml:space="preserve"> Turska je prihvatila 54 posto ukupnog broja sirijskih izbjeglica, a Liban je u dalekoj sekundi bio domaćin 15</w:t>
      </w:r>
      <w:proofErr w:type="gramStart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>,7</w:t>
      </w:r>
      <w:proofErr w:type="gramEnd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 xml:space="preserve"> posto. Ovo ilustrira širi trend kod izbjeglica: oni imaju tendenciju da se presele u susjedne zemlje </w:t>
      </w:r>
      <w:proofErr w:type="gramStart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>ili</w:t>
      </w:r>
      <w:proofErr w:type="gramEnd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> </w:t>
      </w:r>
      <w:hyperlink r:id="rId12" w:history="1">
        <w:r w:rsidRPr="00871048">
          <w:rPr>
            <w:rStyle w:val="Hyperlink"/>
            <w:rFonts w:cstheme="minorHAnsi"/>
            <w:i/>
            <w:color w:val="006B77"/>
            <w:spacing w:val="3"/>
            <w:sz w:val="22"/>
            <w:szCs w:val="22"/>
            <w:bdr w:val="none" w:sz="0" w:space="0" w:color="auto" w:frame="1"/>
            <w:shd w:val="clear" w:color="auto" w:fill="FCFCFB"/>
          </w:rPr>
          <w:t>zemlje u istoj regiji</w:t>
        </w:r>
      </w:hyperlink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 xml:space="preserve"> , često u nadi da će se jednog dana moći vratiti kući. Iako je razvojnu zajednicu s pravom pohvalila otvorenost Njemačke prema izbjeglicama, po prirodi blizine Sirije, Turska je u posljednjih godinu </w:t>
      </w:r>
      <w:proofErr w:type="gramStart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>dana</w:t>
      </w:r>
      <w:proofErr w:type="gramEnd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 xml:space="preserve"> ugostila oko tri i pol puta više.</w:t>
      </w:r>
    </w:p>
    <w:p w:rsidR="00871048" w:rsidRPr="00871048" w:rsidRDefault="00871048" w:rsidP="00871048">
      <w:pPr>
        <w:pStyle w:val="Footer"/>
        <w:rPr>
          <w:rFonts w:eastAsia="Times New Roman" w:cstheme="minorHAnsi"/>
          <w:bCs/>
          <w:i/>
          <w:color w:val="2C2C2C"/>
          <w:spacing w:val="2"/>
          <w:sz w:val="22"/>
          <w:szCs w:val="22"/>
        </w:rPr>
      </w:pPr>
      <w:proofErr w:type="gramStart"/>
      <w:r w:rsidRPr="00871048">
        <w:rPr>
          <w:rFonts w:eastAsia="Times New Roman" w:cstheme="minorHAnsi"/>
          <w:bCs/>
          <w:i/>
          <w:color w:val="2C2C2C"/>
          <w:spacing w:val="2"/>
          <w:sz w:val="22"/>
          <w:szCs w:val="22"/>
          <w:bdr w:val="none" w:sz="0" w:space="0" w:color="auto" w:frame="1"/>
        </w:rPr>
        <w:t>Kako se uspoređuju doprinosi za izbjeglice i azil u Turskoj?</w:t>
      </w:r>
      <w:proofErr w:type="gramEnd"/>
    </w:p>
    <w:p w:rsidR="00871048" w:rsidRPr="00871048" w:rsidRDefault="00871048" w:rsidP="00871048">
      <w:pPr>
        <w:pStyle w:val="Footer"/>
        <w:rPr>
          <w:rFonts w:eastAsia="Times New Roman" w:cstheme="minorHAnsi"/>
          <w:i/>
          <w:sz w:val="22"/>
          <w:szCs w:val="22"/>
        </w:rPr>
      </w:pPr>
      <w:r w:rsidRPr="00871048">
        <w:rPr>
          <w:rFonts w:eastAsia="Times New Roman" w:cstheme="minorHAnsi"/>
          <w:i/>
          <w:sz w:val="22"/>
          <w:szCs w:val="22"/>
          <w:bdr w:val="none" w:sz="0" w:space="0" w:color="auto" w:frame="1"/>
        </w:rPr>
        <w:t xml:space="preserve">Kao što je gore spomenuto, Turska bi bila </w:t>
      </w:r>
      <w:proofErr w:type="gramStart"/>
      <w:r w:rsidRPr="00871048">
        <w:rPr>
          <w:rFonts w:eastAsia="Times New Roman" w:cstheme="minorHAnsi"/>
          <w:i/>
          <w:sz w:val="22"/>
          <w:szCs w:val="22"/>
          <w:bdr w:val="none" w:sz="0" w:space="0" w:color="auto" w:frame="1"/>
        </w:rPr>
        <w:t>novi</w:t>
      </w:r>
      <w:proofErr w:type="gramEnd"/>
      <w:r w:rsidRPr="00871048">
        <w:rPr>
          <w:rFonts w:eastAsia="Times New Roman" w:cstheme="minorHAnsi"/>
          <w:i/>
          <w:sz w:val="22"/>
          <w:szCs w:val="22"/>
          <w:bdr w:val="none" w:sz="0" w:space="0" w:color="auto" w:frame="1"/>
        </w:rPr>
        <w:t xml:space="preserve"> dodatak CDI-u. Tako smo izračunali koliki </w:t>
      </w:r>
      <w:r w:rsidRPr="00871048">
        <w:rPr>
          <w:rFonts w:eastAsia="Times New Roman" w:cstheme="minorHAnsi"/>
          <w:i/>
          <w:iCs/>
          <w:sz w:val="22"/>
          <w:szCs w:val="22"/>
          <w:bdr w:val="none" w:sz="0" w:space="0" w:color="auto" w:frame="1"/>
        </w:rPr>
        <w:t>bi bio</w:t>
      </w:r>
      <w:r w:rsidRPr="00871048">
        <w:rPr>
          <w:rFonts w:eastAsia="Times New Roman" w:cstheme="minorHAnsi"/>
          <w:i/>
          <w:sz w:val="22"/>
          <w:szCs w:val="22"/>
          <w:bdr w:val="none" w:sz="0" w:space="0" w:color="auto" w:frame="1"/>
        </w:rPr>
        <w:t> njegov rezultat </w:t>
      </w:r>
      <w:proofErr w:type="gramStart"/>
      <w:r w:rsidRPr="00871048">
        <w:rPr>
          <w:rFonts w:eastAsia="Times New Roman" w:cstheme="minorHAnsi"/>
          <w:i/>
          <w:sz w:val="22"/>
          <w:szCs w:val="22"/>
          <w:bdr w:val="none" w:sz="0" w:space="0" w:color="auto" w:frame="1"/>
        </w:rPr>
        <w:t>na</w:t>
      </w:r>
      <w:proofErr w:type="gramEnd"/>
      <w:r w:rsidRPr="00871048">
        <w:rPr>
          <w:rFonts w:eastAsia="Times New Roman" w:cstheme="minorHAnsi"/>
          <w:i/>
          <w:sz w:val="22"/>
          <w:szCs w:val="22"/>
          <w:bdr w:val="none" w:sz="0" w:space="0" w:color="auto" w:frame="1"/>
        </w:rPr>
        <w:t xml:space="preserve"> mjeri migracije CDI-a za 2018. </w:t>
      </w:r>
      <w:proofErr w:type="gramStart"/>
      <w:r w:rsidRPr="00871048">
        <w:rPr>
          <w:rFonts w:eastAsia="Times New Roman" w:cstheme="minorHAnsi"/>
          <w:i/>
          <w:sz w:val="22"/>
          <w:szCs w:val="22"/>
          <w:bdr w:val="none" w:sz="0" w:space="0" w:color="auto" w:frame="1"/>
        </w:rPr>
        <w:t>da</w:t>
      </w:r>
      <w:proofErr w:type="gramEnd"/>
      <w:r w:rsidRPr="00871048">
        <w:rPr>
          <w:rFonts w:eastAsia="Times New Roman" w:cstheme="minorHAnsi"/>
          <w:i/>
          <w:sz w:val="22"/>
          <w:szCs w:val="22"/>
          <w:bdr w:val="none" w:sz="0" w:space="0" w:color="auto" w:frame="1"/>
        </w:rPr>
        <w:t xml:space="preserve"> je bio uključen. Postoji nekoliko pokazatelja u ukupnom rezultatu (kompletnu metodologiju pogledajte </w:t>
      </w:r>
      <w:hyperlink r:id="rId13" w:history="1">
        <w:r w:rsidRPr="00871048">
          <w:rPr>
            <w:rFonts w:eastAsia="Times New Roman" w:cstheme="minorHAnsi"/>
            <w:i/>
            <w:color w:val="006B77"/>
            <w:sz w:val="22"/>
            <w:szCs w:val="22"/>
            <w:bdr w:val="none" w:sz="0" w:space="0" w:color="auto" w:frame="1"/>
          </w:rPr>
          <w:t>ovdje</w:t>
        </w:r>
      </w:hyperlink>
      <w:r w:rsidRPr="00871048">
        <w:rPr>
          <w:rFonts w:eastAsia="Times New Roman" w:cstheme="minorHAnsi"/>
          <w:i/>
          <w:sz w:val="22"/>
          <w:szCs w:val="22"/>
          <w:bdr w:val="none" w:sz="0" w:space="0" w:color="auto" w:frame="1"/>
        </w:rPr>
        <w:t> ):</w:t>
      </w:r>
    </w:p>
    <w:p w:rsidR="00871048" w:rsidRPr="00871048" w:rsidRDefault="00871048" w:rsidP="00871048">
      <w:pPr>
        <w:pStyle w:val="Footer"/>
        <w:rPr>
          <w:rFonts w:eastAsia="Times New Roman" w:cstheme="minorHAnsi"/>
          <w:i/>
          <w:color w:val="3B342B"/>
          <w:sz w:val="22"/>
          <w:szCs w:val="22"/>
        </w:rPr>
      </w:pPr>
      <w:r w:rsidRPr="00871048">
        <w:rPr>
          <w:rFonts w:eastAsia="Times New Roman" w:cstheme="minorHAnsi"/>
          <w:b/>
          <w:bCs/>
          <w:i/>
          <w:color w:val="3B342B"/>
          <w:sz w:val="22"/>
          <w:szCs w:val="22"/>
          <w:bdr w:val="none" w:sz="0" w:space="0" w:color="auto" w:frame="1"/>
        </w:rPr>
        <w:lastRenderedPageBreak/>
        <w:t>Udomljeni izbjeglice</w:t>
      </w:r>
      <w:r w:rsidRPr="00871048">
        <w:rPr>
          <w:rFonts w:eastAsia="Times New Roman" w:cstheme="minorHAnsi"/>
          <w:i/>
          <w:color w:val="3B342B"/>
          <w:sz w:val="22"/>
          <w:szCs w:val="22"/>
          <w:bdr w:val="none" w:sz="0" w:space="0" w:color="auto" w:frame="1"/>
        </w:rPr>
        <w:t xml:space="preserve"> (njihova veličina u odnosu </w:t>
      </w:r>
      <w:proofErr w:type="gramStart"/>
      <w:r w:rsidRPr="00871048">
        <w:rPr>
          <w:rFonts w:eastAsia="Times New Roman" w:cstheme="minorHAnsi"/>
          <w:i/>
          <w:color w:val="3B342B"/>
          <w:sz w:val="22"/>
          <w:szCs w:val="22"/>
          <w:bdr w:val="none" w:sz="0" w:space="0" w:color="auto" w:frame="1"/>
        </w:rPr>
        <w:t>na</w:t>
      </w:r>
      <w:proofErr w:type="gramEnd"/>
      <w:r w:rsidRPr="00871048">
        <w:rPr>
          <w:rFonts w:eastAsia="Times New Roman" w:cstheme="minorHAnsi"/>
          <w:i/>
          <w:color w:val="3B342B"/>
          <w:sz w:val="22"/>
          <w:szCs w:val="22"/>
          <w:bdr w:val="none" w:sz="0" w:space="0" w:color="auto" w:frame="1"/>
        </w:rPr>
        <w:t xml:space="preserve"> stanovništvo, BDP po stanovniku i površinu zemlje)</w:t>
      </w:r>
    </w:p>
    <w:p w:rsidR="00871048" w:rsidRPr="00871048" w:rsidRDefault="00871048" w:rsidP="00871048">
      <w:pPr>
        <w:pStyle w:val="Footer"/>
        <w:rPr>
          <w:rFonts w:eastAsia="Times New Roman" w:cstheme="minorHAnsi"/>
          <w:i/>
          <w:color w:val="3B342B"/>
          <w:sz w:val="22"/>
          <w:szCs w:val="22"/>
        </w:rPr>
      </w:pPr>
      <w:r w:rsidRPr="00871048">
        <w:rPr>
          <w:rFonts w:eastAsia="Times New Roman" w:cstheme="minorHAnsi"/>
          <w:b/>
          <w:bCs/>
          <w:i/>
          <w:color w:val="3B342B"/>
          <w:sz w:val="22"/>
          <w:szCs w:val="22"/>
          <w:bdr w:val="none" w:sz="0" w:space="0" w:color="auto" w:frame="1"/>
        </w:rPr>
        <w:t xml:space="preserve">Tražioci </w:t>
      </w:r>
      <w:proofErr w:type="gramStart"/>
      <w:r w:rsidRPr="00871048">
        <w:rPr>
          <w:rFonts w:eastAsia="Times New Roman" w:cstheme="minorHAnsi"/>
          <w:b/>
          <w:bCs/>
          <w:i/>
          <w:color w:val="3B342B"/>
          <w:sz w:val="22"/>
          <w:szCs w:val="22"/>
          <w:bdr w:val="none" w:sz="0" w:space="0" w:color="auto" w:frame="1"/>
        </w:rPr>
        <w:t>azila</w:t>
      </w:r>
      <w:r w:rsidRPr="00871048">
        <w:rPr>
          <w:rFonts w:eastAsia="Times New Roman" w:cstheme="minorHAnsi"/>
          <w:i/>
          <w:color w:val="3B342B"/>
          <w:sz w:val="22"/>
          <w:szCs w:val="22"/>
          <w:bdr w:val="none" w:sz="0" w:space="0" w:color="auto" w:frame="1"/>
        </w:rPr>
        <w:t> :</w:t>
      </w:r>
      <w:proofErr w:type="gramEnd"/>
      <w:r w:rsidRPr="00871048">
        <w:rPr>
          <w:rFonts w:eastAsia="Times New Roman" w:cstheme="minorHAnsi"/>
          <w:i/>
          <w:color w:val="3B342B"/>
          <w:sz w:val="22"/>
          <w:szCs w:val="22"/>
          <w:bdr w:val="none" w:sz="0" w:space="0" w:color="auto" w:frame="1"/>
        </w:rPr>
        <w:t xml:space="preserve"> broj prijavljenih i broj odobrenih zahtjeva</w:t>
      </w:r>
    </w:p>
    <w:p w:rsidR="00871048" w:rsidRPr="00871048" w:rsidRDefault="00871048" w:rsidP="00871048">
      <w:pPr>
        <w:pStyle w:val="Footer"/>
        <w:rPr>
          <w:rFonts w:eastAsia="Times New Roman" w:cstheme="minorHAnsi"/>
          <w:i/>
          <w:color w:val="3B342B"/>
          <w:sz w:val="22"/>
          <w:szCs w:val="22"/>
        </w:rPr>
      </w:pPr>
      <w:proofErr w:type="gramStart"/>
      <w:r w:rsidRPr="00871048">
        <w:rPr>
          <w:rFonts w:eastAsia="Times New Roman" w:cstheme="minorHAnsi"/>
          <w:b/>
          <w:bCs/>
          <w:i/>
          <w:color w:val="3B342B"/>
          <w:sz w:val="22"/>
          <w:szCs w:val="22"/>
          <w:bdr w:val="none" w:sz="0" w:space="0" w:color="auto" w:frame="1"/>
        </w:rPr>
        <w:t>Migranti</w:t>
      </w:r>
      <w:r w:rsidRPr="00871048">
        <w:rPr>
          <w:rFonts w:eastAsia="Times New Roman" w:cstheme="minorHAnsi"/>
          <w:i/>
          <w:color w:val="3B342B"/>
          <w:sz w:val="22"/>
          <w:szCs w:val="22"/>
          <w:bdr w:val="none" w:sz="0" w:space="0" w:color="auto" w:frame="1"/>
        </w:rPr>
        <w:t> :</w:t>
      </w:r>
      <w:proofErr w:type="gramEnd"/>
      <w:r w:rsidRPr="00871048">
        <w:rPr>
          <w:rFonts w:eastAsia="Times New Roman" w:cstheme="minorHAnsi"/>
          <w:i/>
          <w:color w:val="3B342B"/>
          <w:sz w:val="22"/>
          <w:szCs w:val="22"/>
          <w:bdr w:val="none" w:sz="0" w:space="0" w:color="auto" w:frame="1"/>
        </w:rPr>
        <w:t xml:space="preserve"> ukupan broj kao udio stanovništva s većim ponderiranjem za one iz siromašnijih zemalja</w:t>
      </w:r>
    </w:p>
    <w:p w:rsidR="00871048" w:rsidRPr="00871048" w:rsidRDefault="00871048" w:rsidP="00871048">
      <w:pPr>
        <w:pStyle w:val="Footer"/>
        <w:rPr>
          <w:rFonts w:eastAsia="Times New Roman" w:cstheme="minorHAnsi"/>
          <w:i/>
          <w:color w:val="3B342B"/>
          <w:sz w:val="22"/>
          <w:szCs w:val="22"/>
        </w:rPr>
      </w:pPr>
      <w:r w:rsidRPr="00871048">
        <w:rPr>
          <w:rFonts w:eastAsia="Times New Roman" w:cstheme="minorHAnsi"/>
          <w:b/>
          <w:bCs/>
          <w:i/>
          <w:color w:val="3B342B"/>
          <w:sz w:val="22"/>
          <w:szCs w:val="22"/>
          <w:bdr w:val="none" w:sz="0" w:space="0" w:color="auto" w:frame="1"/>
        </w:rPr>
        <w:t xml:space="preserve">Međunarodni </w:t>
      </w:r>
      <w:proofErr w:type="gramStart"/>
      <w:r w:rsidRPr="00871048">
        <w:rPr>
          <w:rFonts w:eastAsia="Times New Roman" w:cstheme="minorHAnsi"/>
          <w:b/>
          <w:bCs/>
          <w:i/>
          <w:color w:val="3B342B"/>
          <w:sz w:val="22"/>
          <w:szCs w:val="22"/>
          <w:bdr w:val="none" w:sz="0" w:space="0" w:color="auto" w:frame="1"/>
        </w:rPr>
        <w:t>studenti</w:t>
      </w:r>
      <w:r w:rsidRPr="00871048">
        <w:rPr>
          <w:rFonts w:eastAsia="Times New Roman" w:cstheme="minorHAnsi"/>
          <w:i/>
          <w:color w:val="3B342B"/>
          <w:sz w:val="22"/>
          <w:szCs w:val="22"/>
          <w:bdr w:val="none" w:sz="0" w:space="0" w:color="auto" w:frame="1"/>
        </w:rPr>
        <w:t> :</w:t>
      </w:r>
      <w:proofErr w:type="gramEnd"/>
      <w:r w:rsidRPr="00871048">
        <w:rPr>
          <w:rFonts w:eastAsia="Times New Roman" w:cstheme="minorHAnsi"/>
          <w:i/>
          <w:color w:val="3B342B"/>
          <w:sz w:val="22"/>
          <w:szCs w:val="22"/>
          <w:bdr w:val="none" w:sz="0" w:space="0" w:color="auto" w:frame="1"/>
        </w:rPr>
        <w:t xml:space="preserve"> Broj domaćina i onih iz zemalja koje primaju pomoć</w:t>
      </w:r>
    </w:p>
    <w:p w:rsidR="00871048" w:rsidRPr="00871048" w:rsidRDefault="00871048" w:rsidP="00871048">
      <w:pPr>
        <w:pStyle w:val="Footer"/>
        <w:rPr>
          <w:rFonts w:eastAsia="Times New Roman" w:cstheme="minorHAnsi"/>
          <w:i/>
          <w:color w:val="3B342B"/>
          <w:sz w:val="22"/>
          <w:szCs w:val="22"/>
        </w:rPr>
      </w:pPr>
      <w:r w:rsidRPr="00871048">
        <w:rPr>
          <w:rFonts w:eastAsia="Times New Roman" w:cstheme="minorHAnsi"/>
          <w:b/>
          <w:bCs/>
          <w:i/>
          <w:color w:val="3B342B"/>
          <w:sz w:val="22"/>
          <w:szCs w:val="22"/>
          <w:bdr w:val="none" w:sz="0" w:space="0" w:color="auto" w:frame="1"/>
        </w:rPr>
        <w:t xml:space="preserve">Politike </w:t>
      </w:r>
      <w:proofErr w:type="gramStart"/>
      <w:r w:rsidRPr="00871048">
        <w:rPr>
          <w:rFonts w:eastAsia="Times New Roman" w:cstheme="minorHAnsi"/>
          <w:b/>
          <w:bCs/>
          <w:i/>
          <w:color w:val="3B342B"/>
          <w:sz w:val="22"/>
          <w:szCs w:val="22"/>
          <w:bdr w:val="none" w:sz="0" w:space="0" w:color="auto" w:frame="1"/>
        </w:rPr>
        <w:t>integracije</w:t>
      </w:r>
      <w:r w:rsidRPr="00871048">
        <w:rPr>
          <w:rFonts w:eastAsia="Times New Roman" w:cstheme="minorHAnsi"/>
          <w:i/>
          <w:color w:val="3B342B"/>
          <w:sz w:val="22"/>
          <w:szCs w:val="22"/>
          <w:bdr w:val="none" w:sz="0" w:space="0" w:color="auto" w:frame="1"/>
        </w:rPr>
        <w:t> :</w:t>
      </w:r>
      <w:proofErr w:type="gramEnd"/>
      <w:r w:rsidRPr="00871048">
        <w:rPr>
          <w:rFonts w:eastAsia="Times New Roman" w:cstheme="minorHAnsi"/>
          <w:i/>
          <w:color w:val="3B342B"/>
          <w:sz w:val="22"/>
          <w:szCs w:val="22"/>
          <w:bdr w:val="none" w:sz="0" w:space="0" w:color="auto" w:frame="1"/>
        </w:rPr>
        <w:t xml:space="preserve"> Da li politike štite prava izbjeglica i migranata i podržavaju li njihovu integraciju u društvo i ekonomiju</w:t>
      </w:r>
    </w:p>
    <w:p w:rsidR="00871048" w:rsidRPr="00871048" w:rsidRDefault="00871048" w:rsidP="00871048">
      <w:pPr>
        <w:pStyle w:val="Footer"/>
        <w:rPr>
          <w:rFonts w:eastAsia="Times New Roman" w:cstheme="minorHAnsi"/>
          <w:i/>
          <w:color w:val="3B342B"/>
          <w:sz w:val="22"/>
          <w:szCs w:val="22"/>
        </w:rPr>
      </w:pPr>
      <w:r w:rsidRPr="00871048">
        <w:rPr>
          <w:rFonts w:eastAsia="Times New Roman" w:cstheme="minorHAnsi"/>
          <w:b/>
          <w:bCs/>
          <w:i/>
          <w:color w:val="3B342B"/>
          <w:sz w:val="22"/>
          <w:szCs w:val="22"/>
          <w:bdr w:val="none" w:sz="0" w:space="0" w:color="auto" w:frame="1"/>
        </w:rPr>
        <w:t xml:space="preserve">Međunarodne </w:t>
      </w:r>
      <w:proofErr w:type="gramStart"/>
      <w:r w:rsidRPr="00871048">
        <w:rPr>
          <w:rFonts w:eastAsia="Times New Roman" w:cstheme="minorHAnsi"/>
          <w:b/>
          <w:bCs/>
          <w:i/>
          <w:color w:val="3B342B"/>
          <w:sz w:val="22"/>
          <w:szCs w:val="22"/>
          <w:bdr w:val="none" w:sz="0" w:space="0" w:color="auto" w:frame="1"/>
        </w:rPr>
        <w:t>konvencije</w:t>
      </w:r>
      <w:r w:rsidRPr="00871048">
        <w:rPr>
          <w:rFonts w:eastAsia="Times New Roman" w:cstheme="minorHAnsi"/>
          <w:i/>
          <w:color w:val="3B342B"/>
          <w:sz w:val="22"/>
          <w:szCs w:val="22"/>
          <w:bdr w:val="none" w:sz="0" w:space="0" w:color="auto" w:frame="1"/>
        </w:rPr>
        <w:t> :</w:t>
      </w:r>
      <w:proofErr w:type="gramEnd"/>
      <w:r w:rsidRPr="00871048">
        <w:rPr>
          <w:rFonts w:eastAsia="Times New Roman" w:cstheme="minorHAnsi"/>
          <w:i/>
          <w:color w:val="3B342B"/>
          <w:sz w:val="22"/>
          <w:szCs w:val="22"/>
          <w:bdr w:val="none" w:sz="0" w:space="0" w:color="auto" w:frame="1"/>
        </w:rPr>
        <w:t xml:space="preserve"> Koliko je konvencija o zaštiti migranata i prava izbjeglica ratificirano</w:t>
      </w:r>
    </w:p>
    <w:p w:rsidR="00871048" w:rsidRPr="00871048" w:rsidRDefault="00871048" w:rsidP="00871048">
      <w:pPr>
        <w:pStyle w:val="Footer"/>
        <w:rPr>
          <w:rFonts w:eastAsia="Times New Roman" w:cstheme="minorHAnsi"/>
          <w:i/>
          <w:sz w:val="22"/>
          <w:szCs w:val="22"/>
        </w:rPr>
      </w:pPr>
      <w:r w:rsidRPr="00871048">
        <w:rPr>
          <w:rFonts w:eastAsia="Times New Roman" w:cstheme="minorHAnsi"/>
          <w:i/>
          <w:sz w:val="22"/>
          <w:szCs w:val="22"/>
          <w:bdr w:val="none" w:sz="0" w:space="0" w:color="auto" w:frame="1"/>
        </w:rPr>
        <w:t>Što se tiče mjere za </w:t>
      </w:r>
      <w:r w:rsidRPr="00871048">
        <w:rPr>
          <w:rFonts w:eastAsia="Times New Roman" w:cstheme="minorHAnsi"/>
          <w:i/>
          <w:iCs/>
          <w:sz w:val="22"/>
          <w:szCs w:val="22"/>
          <w:bdr w:val="none" w:sz="0" w:space="0" w:color="auto" w:frame="1"/>
        </w:rPr>
        <w:t>izbjeglice</w:t>
      </w:r>
      <w:r w:rsidRPr="00871048">
        <w:rPr>
          <w:rFonts w:eastAsia="Times New Roman" w:cstheme="minorHAnsi"/>
          <w:i/>
          <w:sz w:val="22"/>
          <w:szCs w:val="22"/>
          <w:bdr w:val="none" w:sz="0" w:space="0" w:color="auto" w:frame="1"/>
        </w:rPr>
        <w:t> , Turska je bila daleko ispred ostalih 27 zemalja koje su procijenjene, iako je njena ocjena odobrenja zahtjeva za azil bila mnogo niža od većine drugih zemalja. Procjenjujući ovih šest pokazatelja, u mogućnosti smo utvrditi ukupni rang Turske po pitanju migracija.</w:t>
      </w:r>
    </w:p>
    <w:p w:rsidR="00871048" w:rsidRPr="00871048" w:rsidRDefault="00871048" w:rsidP="00871048">
      <w:pPr>
        <w:rPr>
          <w:rFonts w:cstheme="minorHAnsi"/>
          <w:lang w:val="sr-Latn-RS"/>
        </w:rPr>
      </w:pPr>
    </w:p>
    <w:p w:rsidR="003E5A30" w:rsidRDefault="003E5A30" w:rsidP="003E5A30">
      <w:pPr>
        <w:pStyle w:val="Heading2"/>
        <w:rPr>
          <w:rFonts w:ascii="Century" w:hAnsi="Century" w:cs="Century"/>
          <w:lang w:val="sr-Latn-RS"/>
        </w:rPr>
      </w:pPr>
      <w:bookmarkStart w:id="22" w:name="_Toc76470705"/>
      <w:r>
        <w:rPr>
          <w:rFonts w:ascii="Century" w:hAnsi="Century" w:cs="Century"/>
          <w:lang w:val="sr-Latn-RS"/>
        </w:rPr>
        <w:t>Norveška</w:t>
      </w:r>
      <w:bookmarkEnd w:id="22"/>
    </w:p>
    <w:p w:rsidR="00871048" w:rsidRPr="00871048" w:rsidRDefault="00871048" w:rsidP="00871048">
      <w:pPr>
        <w:pStyle w:val="Footer"/>
        <w:rPr>
          <w:i/>
          <w:sz w:val="22"/>
        </w:rPr>
      </w:pPr>
      <w:proofErr w:type="gramStart"/>
      <w:r w:rsidRPr="00871048">
        <w:rPr>
          <w:i/>
          <w:sz w:val="22"/>
        </w:rPr>
        <w:t>U 2016.</w:t>
      </w:r>
      <w:proofErr w:type="gramEnd"/>
      <w:r w:rsidRPr="00871048">
        <w:rPr>
          <w:i/>
          <w:sz w:val="22"/>
        </w:rPr>
        <w:t xml:space="preserve"> </w:t>
      </w:r>
      <w:proofErr w:type="gramStart"/>
      <w:r w:rsidRPr="00871048">
        <w:rPr>
          <w:i/>
          <w:sz w:val="22"/>
        </w:rPr>
        <w:t>i</w:t>
      </w:r>
      <w:proofErr w:type="gramEnd"/>
      <w:r w:rsidRPr="00871048">
        <w:rPr>
          <w:i/>
          <w:sz w:val="22"/>
        </w:rPr>
        <w:t xml:space="preserve"> 2017. </w:t>
      </w:r>
      <w:proofErr w:type="gramStart"/>
      <w:r w:rsidRPr="00871048">
        <w:rPr>
          <w:i/>
          <w:sz w:val="22"/>
        </w:rPr>
        <w:t>godini</w:t>
      </w:r>
      <w:proofErr w:type="gramEnd"/>
      <w:r w:rsidRPr="00871048">
        <w:rPr>
          <w:i/>
          <w:sz w:val="22"/>
        </w:rPr>
        <w:t xml:space="preserve"> manje od 3.000 ljudi zatražilo je azil u Norveškoj ( </w:t>
      </w:r>
      <w:hyperlink r:id="rId14" w:anchor="B39" w:history="1">
        <w:r w:rsidRPr="00871048">
          <w:rPr>
            <w:b/>
            <w:bCs/>
            <w:i/>
            <w:color w:val="99360F"/>
            <w:sz w:val="22"/>
            <w:bdr w:val="none" w:sz="0" w:space="0" w:color="auto" w:frame="1"/>
          </w:rPr>
          <w:t>Utlendingsdirektoratet 2017</w:t>
        </w:r>
      </w:hyperlink>
      <w:r w:rsidRPr="00871048">
        <w:rPr>
          <w:i/>
          <w:sz w:val="22"/>
        </w:rPr>
        <w:t xml:space="preserve"> ), što je značajno smanjenje u odnosu na 31.141 zahtjev za azil primljen 2015. </w:t>
      </w:r>
      <w:proofErr w:type="gramStart"/>
      <w:r w:rsidRPr="00871048">
        <w:rPr>
          <w:i/>
          <w:sz w:val="22"/>
        </w:rPr>
        <w:t>( </w:t>
      </w:r>
      <w:proofErr w:type="gramEnd"/>
      <w:r w:rsidRPr="00871048">
        <w:rPr>
          <w:b/>
          <w:bCs/>
          <w:i/>
          <w:sz w:val="22"/>
          <w:bdr w:val="none" w:sz="0" w:space="0" w:color="auto" w:frame="1"/>
        </w:rPr>
        <w:fldChar w:fldCharType="begin"/>
      </w:r>
      <w:r w:rsidRPr="00871048">
        <w:rPr>
          <w:b/>
          <w:bCs/>
          <w:i/>
          <w:sz w:val="22"/>
          <w:bdr w:val="none" w:sz="0" w:space="0" w:color="auto" w:frame="1"/>
        </w:rPr>
        <w:instrText xml:space="preserve"> HYPERLINK "https://journal-njmr.org/articles/10.33134/njmr.251/" \l "B38" </w:instrText>
      </w:r>
      <w:r w:rsidRPr="00871048">
        <w:rPr>
          <w:b/>
          <w:bCs/>
          <w:i/>
          <w:sz w:val="22"/>
          <w:bdr w:val="none" w:sz="0" w:space="0" w:color="auto" w:frame="1"/>
        </w:rPr>
        <w:fldChar w:fldCharType="separate"/>
      </w:r>
      <w:r w:rsidRPr="00871048">
        <w:rPr>
          <w:b/>
          <w:bCs/>
          <w:i/>
          <w:color w:val="99360F"/>
          <w:sz w:val="22"/>
          <w:bdr w:val="none" w:sz="0" w:space="0" w:color="auto" w:frame="1"/>
        </w:rPr>
        <w:t>Utlendingsdirektoratet 2015</w:t>
      </w:r>
      <w:r w:rsidRPr="00871048">
        <w:rPr>
          <w:b/>
          <w:bCs/>
          <w:i/>
          <w:sz w:val="22"/>
          <w:bdr w:val="none" w:sz="0" w:space="0" w:color="auto" w:frame="1"/>
        </w:rPr>
        <w:fldChar w:fldCharType="end"/>
      </w:r>
      <w:r w:rsidRPr="00871048">
        <w:rPr>
          <w:i/>
          <w:sz w:val="22"/>
        </w:rPr>
        <w:t xml:space="preserve"> ). Dok čekaju, azilanti obično žive u centrima za azil, </w:t>
      </w:r>
      <w:proofErr w:type="gramStart"/>
      <w:r w:rsidRPr="00871048">
        <w:rPr>
          <w:i/>
          <w:sz w:val="22"/>
        </w:rPr>
        <w:t>sa</w:t>
      </w:r>
      <w:proofErr w:type="gramEnd"/>
      <w:r w:rsidRPr="00871048">
        <w:rPr>
          <w:i/>
          <w:sz w:val="22"/>
        </w:rPr>
        <w:t xml:space="preserve"> skromnim životnim uvjetima, koji se često nalaze na selu ili na periferiji gradova ili naselja. Ova geografska i socijalna izolacija, zajedno s nekoliko značajnih aktivnosti koje im stoje na raspolaganju za </w:t>
      </w:r>
      <w:hyperlink r:id="rId15" w:anchor="B20" w:history="1">
        <w:r w:rsidRPr="00871048">
          <w:rPr>
            <w:b/>
            <w:bCs/>
            <w:i/>
            <w:color w:val="99360F"/>
            <w:sz w:val="22"/>
            <w:bdr w:val="none" w:sz="0" w:space="0" w:color="auto" w:frame="1"/>
          </w:rPr>
          <w:t>provođenje</w:t>
        </w:r>
      </w:hyperlink>
      <w:r w:rsidRPr="00871048">
        <w:rPr>
          <w:i/>
          <w:sz w:val="22"/>
        </w:rPr>
        <w:t xml:space="preserve"> vremena, čine njihov svakodnevni život posebno izazovnim </w:t>
      </w:r>
      <w:proofErr w:type="gramStart"/>
      <w:r w:rsidRPr="00871048">
        <w:rPr>
          <w:i/>
          <w:sz w:val="22"/>
        </w:rPr>
        <w:t>( </w:t>
      </w:r>
      <w:proofErr w:type="gramEnd"/>
      <w:r w:rsidRPr="00871048">
        <w:rPr>
          <w:b/>
          <w:bCs/>
          <w:i/>
          <w:sz w:val="22"/>
          <w:bdr w:val="none" w:sz="0" w:space="0" w:color="auto" w:frame="1"/>
        </w:rPr>
        <w:fldChar w:fldCharType="begin"/>
      </w:r>
      <w:r w:rsidRPr="00871048">
        <w:rPr>
          <w:b/>
          <w:bCs/>
          <w:i/>
          <w:sz w:val="22"/>
          <w:bdr w:val="none" w:sz="0" w:space="0" w:color="auto" w:frame="1"/>
        </w:rPr>
        <w:instrText xml:space="preserve"> HYPERLINK "https://journal-njmr.org/articles/10.33134/njmr.251/" \l "B20" </w:instrText>
      </w:r>
      <w:r w:rsidRPr="00871048">
        <w:rPr>
          <w:b/>
          <w:bCs/>
          <w:i/>
          <w:sz w:val="22"/>
          <w:bdr w:val="none" w:sz="0" w:space="0" w:color="auto" w:frame="1"/>
        </w:rPr>
        <w:fldChar w:fldCharType="separate"/>
      </w:r>
      <w:r w:rsidRPr="00871048">
        <w:rPr>
          <w:b/>
          <w:bCs/>
          <w:i/>
          <w:color w:val="99360F"/>
          <w:sz w:val="22"/>
          <w:bdr w:val="none" w:sz="0" w:space="0" w:color="auto" w:frame="1"/>
        </w:rPr>
        <w:t>Hauge, Støa &amp; Denizou 2017</w:t>
      </w:r>
      <w:r w:rsidRPr="00871048">
        <w:rPr>
          <w:b/>
          <w:bCs/>
          <w:i/>
          <w:sz w:val="22"/>
          <w:bdr w:val="none" w:sz="0" w:space="0" w:color="auto" w:frame="1"/>
        </w:rPr>
        <w:fldChar w:fldCharType="end"/>
      </w:r>
      <w:r w:rsidRPr="00871048">
        <w:rPr>
          <w:i/>
          <w:sz w:val="22"/>
        </w:rPr>
        <w:t xml:space="preserve"> ). Tvrdi se da ovo, zajedno </w:t>
      </w:r>
      <w:proofErr w:type="gramStart"/>
      <w:r w:rsidRPr="00871048">
        <w:rPr>
          <w:i/>
          <w:sz w:val="22"/>
        </w:rPr>
        <w:t>sa</w:t>
      </w:r>
      <w:proofErr w:type="gramEnd"/>
      <w:r w:rsidRPr="00871048">
        <w:rPr>
          <w:i/>
          <w:sz w:val="22"/>
        </w:rPr>
        <w:t xml:space="preserve"> neizvjesnošću njihove situacije i prethodnim traumatičnim iskustvima, potencijalno dovodi do lošeg mentalnog zdravlja (</w:t>
      </w:r>
      <w:hyperlink r:id="rId16" w:anchor="B32" w:history="1">
        <w:r w:rsidRPr="00871048">
          <w:rPr>
            <w:b/>
            <w:bCs/>
            <w:i/>
            <w:color w:val="99360F"/>
            <w:sz w:val="22"/>
            <w:bdr w:val="none" w:sz="0" w:space="0" w:color="auto" w:frame="1"/>
          </w:rPr>
          <w:t>Robjant, Hassan i Katona 2009</w:t>
        </w:r>
      </w:hyperlink>
      <w:r w:rsidRPr="00871048">
        <w:rPr>
          <w:i/>
          <w:sz w:val="22"/>
        </w:rPr>
        <w:t xml:space="preserve"> ). Pored toga, za azilante, ne znajući koliko </w:t>
      </w:r>
      <w:proofErr w:type="gramStart"/>
      <w:r w:rsidRPr="00871048">
        <w:rPr>
          <w:i/>
          <w:sz w:val="22"/>
        </w:rPr>
        <w:t>će</w:t>
      </w:r>
      <w:proofErr w:type="gramEnd"/>
      <w:r w:rsidRPr="00871048">
        <w:rPr>
          <w:i/>
          <w:sz w:val="22"/>
        </w:rPr>
        <w:t xml:space="preserve"> dugo morati čekati, a neizvjesnost koja dolazi s tim mnogi su doživjeli kao razvlašćivanje (</w:t>
      </w:r>
      <w:hyperlink r:id="rId17" w:anchor="B34" w:history="1">
        <w:r w:rsidRPr="00871048">
          <w:rPr>
            <w:b/>
            <w:bCs/>
            <w:i/>
            <w:color w:val="99360F"/>
            <w:sz w:val="22"/>
            <w:bdr w:val="none" w:sz="0" w:space="0" w:color="auto" w:frame="1"/>
          </w:rPr>
          <w:t> Seeberg, Bagge &amp; Enger 2009</w:t>
        </w:r>
      </w:hyperlink>
      <w:r w:rsidRPr="00871048">
        <w:rPr>
          <w:i/>
          <w:sz w:val="22"/>
        </w:rPr>
        <w:t> ;</w:t>
      </w:r>
      <w:hyperlink r:id="rId18" w:anchor="B45" w:history="1">
        <w:r w:rsidRPr="00871048">
          <w:rPr>
            <w:b/>
            <w:bCs/>
            <w:i/>
            <w:color w:val="99360F"/>
            <w:sz w:val="22"/>
            <w:bdr w:val="none" w:sz="0" w:space="0" w:color="auto" w:frame="1"/>
          </w:rPr>
          <w:t> Vitus 2010</w:t>
        </w:r>
      </w:hyperlink>
      <w:r w:rsidRPr="00871048">
        <w:rPr>
          <w:i/>
          <w:sz w:val="22"/>
        </w:rPr>
        <w:t> ). To je dovelo do toga da je nekoliko naučnika kritiziralo određene sisteme azila zbog djelimičnog oduzimanja podnosiocima zahtjeva njihove agencije i, time, stvaranja zavisnosti i pasivnosti (</w:t>
      </w:r>
      <w:hyperlink r:id="rId19" w:anchor="B26" w:history="1">
        <w:r w:rsidRPr="00871048">
          <w:rPr>
            <w:b/>
            <w:bCs/>
            <w:i/>
            <w:color w:val="99360F"/>
            <w:sz w:val="22"/>
            <w:bdr w:val="none" w:sz="0" w:space="0" w:color="auto" w:frame="1"/>
          </w:rPr>
          <w:t> Korac 2003</w:t>
        </w:r>
      </w:hyperlink>
      <w:r w:rsidRPr="00871048">
        <w:rPr>
          <w:i/>
          <w:sz w:val="22"/>
        </w:rPr>
        <w:t> ;</w:t>
      </w:r>
      <w:hyperlink r:id="rId20" w:anchor="B27" w:history="1">
        <w:r w:rsidRPr="00871048">
          <w:rPr>
            <w:b/>
            <w:bCs/>
            <w:i/>
            <w:color w:val="99360F"/>
            <w:sz w:val="22"/>
            <w:bdr w:val="none" w:sz="0" w:space="0" w:color="auto" w:frame="1"/>
          </w:rPr>
          <w:t> Lamba &amp; Krahn 2003</w:t>
        </w:r>
      </w:hyperlink>
      <w:r w:rsidRPr="00871048">
        <w:rPr>
          <w:i/>
          <w:sz w:val="22"/>
        </w:rPr>
        <w:t> ). </w:t>
      </w:r>
      <w:proofErr w:type="gramStart"/>
      <w:r w:rsidRPr="00871048">
        <w:rPr>
          <w:i/>
          <w:sz w:val="22"/>
        </w:rPr>
        <w:t>Štaviše, 37% prvih zahtjeva za azil u EU u 2018.</w:t>
      </w:r>
      <w:proofErr w:type="gramEnd"/>
      <w:r w:rsidRPr="00871048">
        <w:rPr>
          <w:i/>
          <w:sz w:val="22"/>
        </w:rPr>
        <w:t xml:space="preserve"> </w:t>
      </w:r>
      <w:proofErr w:type="gramStart"/>
      <w:r w:rsidRPr="00871048">
        <w:rPr>
          <w:i/>
          <w:sz w:val="22"/>
        </w:rPr>
        <w:t>godini</w:t>
      </w:r>
      <w:proofErr w:type="gramEnd"/>
      <w:r w:rsidRPr="00871048">
        <w:rPr>
          <w:i/>
          <w:sz w:val="22"/>
        </w:rPr>
        <w:t xml:space="preserve"> bile su žene (</w:t>
      </w:r>
      <w:hyperlink r:id="rId21" w:anchor="B11" w:history="1">
        <w:r w:rsidRPr="00871048">
          <w:rPr>
            <w:b/>
            <w:bCs/>
            <w:i/>
            <w:color w:val="99360F"/>
            <w:sz w:val="22"/>
            <w:bdr w:val="none" w:sz="0" w:space="0" w:color="auto" w:frame="1"/>
          </w:rPr>
          <w:t> Eurostat 2018</w:t>
        </w:r>
      </w:hyperlink>
      <w:r w:rsidRPr="00871048">
        <w:rPr>
          <w:i/>
          <w:sz w:val="22"/>
        </w:rPr>
        <w:t> ). </w:t>
      </w:r>
      <w:proofErr w:type="gramStart"/>
      <w:r w:rsidRPr="00871048">
        <w:rPr>
          <w:i/>
          <w:sz w:val="22"/>
        </w:rPr>
        <w:t>Slično tome, u Norveškoj je oko 42% tražitelja azila u 2019.</w:t>
      </w:r>
      <w:proofErr w:type="gramEnd"/>
      <w:r w:rsidRPr="00871048">
        <w:rPr>
          <w:i/>
          <w:sz w:val="22"/>
        </w:rPr>
        <w:t xml:space="preserve"> </w:t>
      </w:r>
      <w:proofErr w:type="gramStart"/>
      <w:r w:rsidRPr="00871048">
        <w:rPr>
          <w:i/>
          <w:sz w:val="22"/>
        </w:rPr>
        <w:t>godini</w:t>
      </w:r>
      <w:proofErr w:type="gramEnd"/>
      <w:r w:rsidRPr="00871048">
        <w:rPr>
          <w:i/>
          <w:sz w:val="22"/>
        </w:rPr>
        <w:t xml:space="preserve"> bilo žena (</w:t>
      </w:r>
      <w:hyperlink r:id="rId22" w:anchor="B36" w:history="1">
        <w:r w:rsidRPr="00871048">
          <w:rPr>
            <w:b/>
            <w:bCs/>
            <w:i/>
            <w:color w:val="99360F"/>
            <w:sz w:val="22"/>
            <w:bdr w:val="none" w:sz="0" w:space="0" w:color="auto" w:frame="1"/>
          </w:rPr>
          <w:t> UDI 2019</w:t>
        </w:r>
      </w:hyperlink>
      <w:r w:rsidRPr="00871048">
        <w:rPr>
          <w:i/>
          <w:sz w:val="22"/>
        </w:rPr>
        <w:t xml:space="preserve">). Ipak, samo je nekoliko studija koje su raspravljale o životu u centrima za azil posvetilo dovoljno pažnje iskustvima ženskih stanovnika ili rodnim razlikama u iskustvima </w:t>
      </w:r>
      <w:proofErr w:type="gramStart"/>
      <w:r w:rsidRPr="00871048">
        <w:rPr>
          <w:i/>
          <w:sz w:val="22"/>
        </w:rPr>
        <w:t>( </w:t>
      </w:r>
      <w:proofErr w:type="gramEnd"/>
      <w:r w:rsidRPr="00871048">
        <w:rPr>
          <w:b/>
          <w:bCs/>
          <w:i/>
          <w:sz w:val="22"/>
          <w:bdr w:val="none" w:sz="0" w:space="0" w:color="auto" w:frame="1"/>
        </w:rPr>
        <w:fldChar w:fldCharType="begin"/>
      </w:r>
      <w:r w:rsidRPr="00871048">
        <w:rPr>
          <w:b/>
          <w:bCs/>
          <w:i/>
          <w:sz w:val="22"/>
          <w:bdr w:val="none" w:sz="0" w:space="0" w:color="auto" w:frame="1"/>
        </w:rPr>
        <w:instrText xml:space="preserve"> HYPERLINK "https://journal-njmr.org/articles/10.33134/njmr.251/" \l "B13" </w:instrText>
      </w:r>
      <w:r w:rsidRPr="00871048">
        <w:rPr>
          <w:b/>
          <w:bCs/>
          <w:i/>
          <w:sz w:val="22"/>
          <w:bdr w:val="none" w:sz="0" w:space="0" w:color="auto" w:frame="1"/>
        </w:rPr>
        <w:fldChar w:fldCharType="separate"/>
      </w:r>
      <w:r w:rsidRPr="00871048">
        <w:rPr>
          <w:b/>
          <w:bCs/>
          <w:i/>
          <w:color w:val="99360F"/>
          <w:sz w:val="22"/>
          <w:bdr w:val="none" w:sz="0" w:space="0" w:color="auto" w:frame="1"/>
        </w:rPr>
        <w:t>Ghorashi, de Boer &amp; ten Holder 2018</w:t>
      </w:r>
      <w:r w:rsidRPr="00871048">
        <w:rPr>
          <w:b/>
          <w:bCs/>
          <w:i/>
          <w:sz w:val="22"/>
          <w:bdr w:val="none" w:sz="0" w:space="0" w:color="auto" w:frame="1"/>
        </w:rPr>
        <w:fldChar w:fldCharType="end"/>
      </w:r>
      <w:r w:rsidRPr="00871048">
        <w:rPr>
          <w:i/>
          <w:sz w:val="22"/>
        </w:rPr>
        <w:t> ; </w:t>
      </w:r>
      <w:hyperlink r:id="rId23" w:anchor="B41" w:history="1">
        <w:r w:rsidRPr="00871048">
          <w:rPr>
            <w:b/>
            <w:bCs/>
            <w:i/>
            <w:color w:val="99360F"/>
            <w:sz w:val="22"/>
            <w:bdr w:val="none" w:sz="0" w:space="0" w:color="auto" w:frame="1"/>
          </w:rPr>
          <w:t>Valenta &amp; Berg 2010</w:t>
        </w:r>
      </w:hyperlink>
      <w:r w:rsidRPr="00871048">
        <w:rPr>
          <w:i/>
          <w:sz w:val="22"/>
        </w:rPr>
        <w:t> ; </w:t>
      </w:r>
      <w:hyperlink r:id="rId24" w:anchor="B42" w:history="1">
        <w:r w:rsidRPr="00871048">
          <w:rPr>
            <w:b/>
            <w:bCs/>
            <w:i/>
            <w:color w:val="99360F"/>
            <w:sz w:val="22"/>
            <w:bdr w:val="none" w:sz="0" w:space="0" w:color="auto" w:frame="1"/>
          </w:rPr>
          <w:t>van der Horst 2004</w:t>
        </w:r>
      </w:hyperlink>
      <w:r w:rsidRPr="00871048">
        <w:rPr>
          <w:i/>
          <w:sz w:val="22"/>
        </w:rPr>
        <w:t> ).</w:t>
      </w:r>
    </w:p>
    <w:p w:rsidR="00871048" w:rsidRPr="00871048" w:rsidRDefault="00871048" w:rsidP="00871048">
      <w:pPr>
        <w:pStyle w:val="Footer"/>
        <w:rPr>
          <w:i/>
          <w:sz w:val="22"/>
        </w:rPr>
      </w:pPr>
      <w:r w:rsidRPr="00871048">
        <w:rPr>
          <w:i/>
          <w:sz w:val="22"/>
        </w:rPr>
        <w:t>U posljednjih nekoliko godina, Norveška je, kao i druge evropske zemlje, počela poduzimati „mjere za pooštravanje svog sistema azila kako bi bilo manje atraktivno tražiti azil</w:t>
      </w:r>
      <w:proofErr w:type="gramStart"/>
      <w:r w:rsidRPr="00871048">
        <w:rPr>
          <w:i/>
          <w:sz w:val="22"/>
        </w:rPr>
        <w:t>“ (</w:t>
      </w:r>
      <w:proofErr w:type="gramEnd"/>
      <w:r w:rsidRPr="00871048">
        <w:rPr>
          <w:i/>
          <w:sz w:val="22"/>
        </w:rPr>
        <w:t> </w:t>
      </w:r>
      <w:hyperlink r:id="rId25" w:anchor="B24" w:history="1">
        <w:r w:rsidRPr="00871048">
          <w:rPr>
            <w:b/>
            <w:bCs/>
            <w:i/>
            <w:color w:val="99360F"/>
            <w:sz w:val="22"/>
            <w:bdr w:val="none" w:sz="0" w:space="0" w:color="auto" w:frame="1"/>
          </w:rPr>
          <w:t>Justis-og beredskapsdepartementet 2015</w:t>
        </w:r>
      </w:hyperlink>
      <w:r w:rsidRPr="00871048">
        <w:rPr>
          <w:i/>
          <w:sz w:val="22"/>
        </w:rPr>
        <w:t> , moj prijevod </w:t>
      </w:r>
      <w:hyperlink r:id="rId26" w:anchor="n1" w:history="1">
        <w:r w:rsidRPr="00871048">
          <w:rPr>
            <w:i/>
            <w:color w:val="99360F"/>
            <w:sz w:val="22"/>
            <w:bdr w:val="none" w:sz="0" w:space="0" w:color="auto" w:frame="1"/>
          </w:rPr>
          <w:t>1</w:t>
        </w:r>
      </w:hyperlink>
      <w:r w:rsidRPr="00871048">
        <w:rPr>
          <w:i/>
          <w:sz w:val="22"/>
        </w:rPr>
        <w:t> ). </w:t>
      </w:r>
      <w:proofErr w:type="gramStart"/>
      <w:r w:rsidRPr="00871048">
        <w:rPr>
          <w:i/>
          <w:sz w:val="22"/>
        </w:rPr>
        <w:t xml:space="preserve">U svjetlu ovog azilnog </w:t>
      </w:r>
      <w:r w:rsidRPr="00871048">
        <w:rPr>
          <w:i/>
          <w:sz w:val="22"/>
        </w:rPr>
        <w:lastRenderedPageBreak/>
        <w:t>konteksta, ovaj članak istražuje i analizira svakodnevni život žena koje traže azil i žive u centrima za azil u Norveškoj.</w:t>
      </w:r>
      <w:proofErr w:type="gramEnd"/>
      <w:r w:rsidRPr="00871048">
        <w:rPr>
          <w:i/>
          <w:sz w:val="22"/>
        </w:rPr>
        <w:t> To čini odgovorima na sljedeća pitanja: </w:t>
      </w:r>
      <w:r w:rsidRPr="00871048">
        <w:rPr>
          <w:i/>
          <w:iCs/>
          <w:sz w:val="22"/>
          <w:bdr w:val="none" w:sz="0" w:space="0" w:color="auto" w:frame="1"/>
        </w:rPr>
        <w:t>Koje su specifične svakodnevne agenske taktike koje koriste za rješavanje izazova i što osnažuje ili sputava razvoj ovih taktika</w:t>
      </w:r>
      <w:proofErr w:type="gramStart"/>
      <w:r w:rsidRPr="00871048">
        <w:rPr>
          <w:i/>
          <w:iCs/>
          <w:sz w:val="22"/>
          <w:bdr w:val="none" w:sz="0" w:space="0" w:color="auto" w:frame="1"/>
        </w:rPr>
        <w:t>?</w:t>
      </w:r>
      <w:r w:rsidRPr="00871048">
        <w:rPr>
          <w:i/>
          <w:sz w:val="22"/>
        </w:rPr>
        <w:t>Članak</w:t>
      </w:r>
      <w:proofErr w:type="gramEnd"/>
      <w:r w:rsidRPr="00871048">
        <w:rPr>
          <w:i/>
          <w:sz w:val="22"/>
        </w:rPr>
        <w:t xml:space="preserve"> na ova pitanja odgovara crpeći etnografski rad na terenu i intervjue sa ženama koje traže azil (2017–2018). </w:t>
      </w:r>
      <w:proofErr w:type="gramStart"/>
      <w:r w:rsidRPr="00871048">
        <w:rPr>
          <w:i/>
          <w:sz w:val="22"/>
        </w:rPr>
        <w:t>Za ovaj članak koristim narative dviju žena za dublje proučavanje njihovih iskustava i praksi.</w:t>
      </w:r>
      <w:proofErr w:type="gramEnd"/>
      <w:r w:rsidRPr="00871048">
        <w:rPr>
          <w:i/>
          <w:sz w:val="22"/>
        </w:rPr>
        <w:t> Moja analiza sugerira da, iako se azilanti nalaze u situacijama ozbiljne represije, i dalje postoje iskrenost u obliku </w:t>
      </w:r>
      <w:r w:rsidRPr="00871048">
        <w:rPr>
          <w:i/>
          <w:iCs/>
          <w:sz w:val="22"/>
          <w:bdr w:val="none" w:sz="0" w:space="0" w:color="auto" w:frame="1"/>
        </w:rPr>
        <w:t>svakodnevne taktike</w:t>
      </w:r>
      <w:r w:rsidRPr="00871048">
        <w:rPr>
          <w:i/>
          <w:sz w:val="22"/>
        </w:rPr>
        <w:t> </w:t>
      </w:r>
      <w:proofErr w:type="gramStart"/>
      <w:r w:rsidRPr="00871048">
        <w:rPr>
          <w:i/>
          <w:sz w:val="22"/>
        </w:rPr>
        <w:t>( </w:t>
      </w:r>
      <w:proofErr w:type="gramEnd"/>
      <w:r w:rsidRPr="00871048">
        <w:rPr>
          <w:b/>
          <w:bCs/>
          <w:i/>
          <w:sz w:val="22"/>
          <w:bdr w:val="none" w:sz="0" w:space="0" w:color="auto" w:frame="1"/>
        </w:rPr>
        <w:fldChar w:fldCharType="begin"/>
      </w:r>
      <w:r w:rsidRPr="00871048">
        <w:rPr>
          <w:b/>
          <w:bCs/>
          <w:i/>
          <w:sz w:val="22"/>
          <w:bdr w:val="none" w:sz="0" w:space="0" w:color="auto" w:frame="1"/>
        </w:rPr>
        <w:instrText xml:space="preserve"> HYPERLINK "https://journal-njmr.org/articles/10.33134/njmr.251/" \l "B8" </w:instrText>
      </w:r>
      <w:r w:rsidRPr="00871048">
        <w:rPr>
          <w:b/>
          <w:bCs/>
          <w:i/>
          <w:sz w:val="22"/>
          <w:bdr w:val="none" w:sz="0" w:space="0" w:color="auto" w:frame="1"/>
        </w:rPr>
        <w:fldChar w:fldCharType="separate"/>
      </w:r>
      <w:r w:rsidRPr="00871048">
        <w:rPr>
          <w:b/>
          <w:bCs/>
          <w:i/>
          <w:color w:val="99360F"/>
          <w:sz w:val="22"/>
          <w:bdr w:val="none" w:sz="0" w:space="0" w:color="auto" w:frame="1"/>
        </w:rPr>
        <w:t>de Certeau [1984] 2011.</w:t>
      </w:r>
      <w:r w:rsidRPr="00871048">
        <w:rPr>
          <w:b/>
          <w:bCs/>
          <w:i/>
          <w:sz w:val="22"/>
          <w:bdr w:val="none" w:sz="0" w:space="0" w:color="auto" w:frame="1"/>
        </w:rPr>
        <w:fldChar w:fldCharType="end"/>
      </w:r>
      <w:r w:rsidRPr="00871048">
        <w:rPr>
          <w:i/>
          <w:sz w:val="22"/>
        </w:rPr>
        <w:t>) kojima traže opstanak, a možda i otpor. </w:t>
      </w:r>
      <w:proofErr w:type="gramStart"/>
      <w:r w:rsidRPr="00871048">
        <w:rPr>
          <w:i/>
          <w:sz w:val="22"/>
        </w:rPr>
        <w:t>Međutim, ove kreativne akcije u velikoj mjeri diktira polje moći u kojoj se nalaze.</w:t>
      </w:r>
      <w:proofErr w:type="gramEnd"/>
      <w:r w:rsidRPr="00871048">
        <w:rPr>
          <w:i/>
          <w:sz w:val="22"/>
        </w:rPr>
        <w:t xml:space="preserve"> Nadalje, tvrdim da su elementi koji oblikuju vrste taktika </w:t>
      </w:r>
      <w:proofErr w:type="gramStart"/>
      <w:r w:rsidRPr="00871048">
        <w:rPr>
          <w:i/>
          <w:sz w:val="22"/>
        </w:rPr>
        <w:t>na</w:t>
      </w:r>
      <w:proofErr w:type="gramEnd"/>
      <w:r w:rsidRPr="00871048">
        <w:rPr>
          <w:i/>
          <w:sz w:val="22"/>
        </w:rPr>
        <w:t xml:space="preserve"> kojima se ove žene oslanjaju povezani s njihovom individualnom pozadinom i okolnostima. </w:t>
      </w:r>
      <w:proofErr w:type="gramStart"/>
      <w:r w:rsidRPr="00871048">
        <w:rPr>
          <w:i/>
          <w:sz w:val="22"/>
        </w:rPr>
        <w:t>Konkretno, najuticajniji su porodične prilike, obrazovni nivo, struktura centra za azil i mogućnosti premošćivanja i povezivanja, kao i njihova vjerska pozadina i religioznost.</w:t>
      </w:r>
      <w:proofErr w:type="gramEnd"/>
    </w:p>
    <w:p w:rsidR="00871048" w:rsidRPr="00871048" w:rsidRDefault="00871048" w:rsidP="00871048">
      <w:pPr>
        <w:pStyle w:val="Footer"/>
        <w:rPr>
          <w:i/>
          <w:sz w:val="22"/>
          <w:lang w:val="sr-Latn-RS"/>
        </w:rPr>
      </w:pPr>
    </w:p>
    <w:p w:rsidR="00871048" w:rsidRPr="00871048" w:rsidRDefault="00871048" w:rsidP="00871048">
      <w:pPr>
        <w:pStyle w:val="Footer"/>
        <w:rPr>
          <w:i/>
          <w:sz w:val="22"/>
          <w:lang w:val="sr-Latn-RS"/>
        </w:rPr>
      </w:pPr>
      <w:proofErr w:type="gramStart"/>
      <w:r w:rsidRPr="00871048">
        <w:rPr>
          <w:i/>
          <w:sz w:val="22"/>
          <w:shd w:val="clear" w:color="auto" w:fill="FFFFFF"/>
        </w:rPr>
        <w:t>Traženje azila karakteriziraju duga čekanja i velika neizvjesnost, često kategorizirana kao vršenje vlasti.</w:t>
      </w:r>
      <w:proofErr w:type="gramEnd"/>
      <w:r w:rsidRPr="00871048">
        <w:rPr>
          <w:i/>
          <w:sz w:val="22"/>
          <w:shd w:val="clear" w:color="auto" w:fill="FFFFFF"/>
        </w:rPr>
        <w:t xml:space="preserve"> Nedavno je većina evropskih zemalja učinila svoje sisteme azila strožim i </w:t>
      </w:r>
      <w:proofErr w:type="gramStart"/>
      <w:r w:rsidRPr="00871048">
        <w:rPr>
          <w:i/>
          <w:sz w:val="22"/>
          <w:shd w:val="clear" w:color="auto" w:fill="FFFFFF"/>
        </w:rPr>
        <w:t>na</w:t>
      </w:r>
      <w:proofErr w:type="gramEnd"/>
      <w:r w:rsidRPr="00871048">
        <w:rPr>
          <w:i/>
          <w:sz w:val="22"/>
          <w:shd w:val="clear" w:color="auto" w:fill="FFFFFF"/>
        </w:rPr>
        <w:t xml:space="preserve"> taj način manje atraktivnim za potencijalne tražioce azila. </w:t>
      </w:r>
      <w:proofErr w:type="gramStart"/>
      <w:r w:rsidRPr="00871048">
        <w:rPr>
          <w:i/>
          <w:sz w:val="22"/>
          <w:shd w:val="clear" w:color="auto" w:fill="FFFFFF"/>
        </w:rPr>
        <w:t>S ovim kontekstom kao polazištem, ovaj članak istražuje svakodnevni život žena koje traže azil i žive u centrima za azil u Norveškoj.</w:t>
      </w:r>
      <w:proofErr w:type="gramEnd"/>
      <w:r w:rsidRPr="00871048">
        <w:rPr>
          <w:i/>
          <w:sz w:val="22"/>
          <w:shd w:val="clear" w:color="auto" w:fill="FFFFFF"/>
        </w:rPr>
        <w:t> </w:t>
      </w:r>
      <w:proofErr w:type="gramStart"/>
      <w:r w:rsidRPr="00871048">
        <w:rPr>
          <w:i/>
          <w:sz w:val="22"/>
          <w:shd w:val="clear" w:color="auto" w:fill="FFFFFF"/>
        </w:rPr>
        <w:t>Ispituje agenske taktike koje koriste za suočavanje s izazovima i elementima koji osnažuju i sputavaju razvoj ove taktike.</w:t>
      </w:r>
      <w:proofErr w:type="gramEnd"/>
      <w:r w:rsidRPr="00871048">
        <w:rPr>
          <w:i/>
          <w:sz w:val="22"/>
          <w:shd w:val="clear" w:color="auto" w:fill="FFFFFF"/>
        </w:rPr>
        <w:t xml:space="preserve"> Oslanja se </w:t>
      </w:r>
      <w:proofErr w:type="gramStart"/>
      <w:r w:rsidRPr="00871048">
        <w:rPr>
          <w:i/>
          <w:sz w:val="22"/>
          <w:shd w:val="clear" w:color="auto" w:fill="FFFFFF"/>
        </w:rPr>
        <w:t>na</w:t>
      </w:r>
      <w:proofErr w:type="gramEnd"/>
      <w:r w:rsidRPr="00871048">
        <w:rPr>
          <w:i/>
          <w:sz w:val="22"/>
          <w:shd w:val="clear" w:color="auto" w:fill="FFFFFF"/>
        </w:rPr>
        <w:t xml:space="preserve"> etnografski rad na terenu i intervjue sa ženama koje traže azil i koristi narative dviju žena za dublje proučavanje njihovih iskustava i praksi.</w:t>
      </w:r>
    </w:p>
    <w:p w:rsidR="003E5A30" w:rsidRDefault="003E5A30" w:rsidP="003E5A30">
      <w:pPr>
        <w:pStyle w:val="Heading2"/>
        <w:rPr>
          <w:rFonts w:ascii="Century" w:hAnsi="Century" w:cs="Century"/>
          <w:lang w:val="sr-Latn-RS"/>
        </w:rPr>
      </w:pPr>
      <w:bookmarkStart w:id="23" w:name="_Toc76470706"/>
      <w:r>
        <w:rPr>
          <w:rFonts w:ascii="Century" w:hAnsi="Century" w:cs="Century"/>
          <w:lang w:val="sr-Latn-RS"/>
        </w:rPr>
        <w:t>Švedska</w:t>
      </w:r>
      <w:bookmarkEnd w:id="23"/>
    </w:p>
    <w:p w:rsidR="00871048" w:rsidRPr="00871048" w:rsidRDefault="00871048" w:rsidP="00871048">
      <w:pPr>
        <w:pStyle w:val="Footer"/>
        <w:rPr>
          <w:rFonts w:cstheme="minorHAnsi"/>
          <w:i/>
          <w:sz w:val="22"/>
          <w:szCs w:val="22"/>
          <w:lang w:val="sr-Latn-RS"/>
        </w:rPr>
      </w:pPr>
      <w:proofErr w:type="gramStart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>Tokom najvećeg priliva migranata u Evropu 2015.</w:t>
      </w:r>
      <w:proofErr w:type="gramEnd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 xml:space="preserve"> </w:t>
      </w:r>
      <w:proofErr w:type="gramStart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>godine</w:t>
      </w:r>
      <w:proofErr w:type="gramEnd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>, Švedska je primila više izbjeglica i azilanata po glavi stanovnika nego bilo koja druga zemlja, za što je nagrađena u CDI. Švedska takođe ima najbolje politike integracije prema </w:t>
      </w:r>
      <w:hyperlink r:id="rId27" w:history="1">
        <w:r w:rsidRPr="00871048">
          <w:rPr>
            <w:rStyle w:val="Hyperlink"/>
            <w:rFonts w:cstheme="minorHAnsi"/>
            <w:i/>
            <w:color w:val="006B77"/>
            <w:spacing w:val="3"/>
            <w:sz w:val="22"/>
            <w:szCs w:val="22"/>
            <w:u w:val="none"/>
            <w:bdr w:val="none" w:sz="0" w:space="0" w:color="auto" w:frame="1"/>
            <w:shd w:val="clear" w:color="auto" w:fill="FCFCFB"/>
          </w:rPr>
          <w:t>Indeksu politika integracije migracija</w:t>
        </w:r>
      </w:hyperlink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 xml:space="preserve"> (MIPEX), indeksu među zemljama koji uspoređuje politike </w:t>
      </w:r>
      <w:proofErr w:type="gramStart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>sa</w:t>
      </w:r>
      <w:proofErr w:type="gramEnd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 xml:space="preserve"> najvišim standardima. Švedska se posebno </w:t>
      </w:r>
      <w:proofErr w:type="gramStart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>dobro</w:t>
      </w:r>
      <w:proofErr w:type="gramEnd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 xml:space="preserve"> ponaša na mobilnosti tržišta rada, gdje okvir bodovanja uključuje kriterije kao što su pristup tržištu rada i opća državna podrška i stručno osposobljavanje, što odražava napore vladine politike. Međutim, uspješna integracija ne zaustavlja se </w:t>
      </w:r>
      <w:proofErr w:type="gramStart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>na</w:t>
      </w:r>
      <w:proofErr w:type="gramEnd"/>
      <w:r w:rsidRPr="00871048">
        <w:rPr>
          <w:rFonts w:cstheme="minorHAnsi"/>
          <w:i/>
          <w:sz w:val="22"/>
          <w:szCs w:val="22"/>
          <w:bdr w:val="none" w:sz="0" w:space="0" w:color="auto" w:frame="1"/>
          <w:shd w:val="clear" w:color="auto" w:fill="FCFCFB"/>
        </w:rPr>
        <w:t xml:space="preserve"> političkim naporima; ishodi su zasebna sfera i tamošnji pokazatelji pokazuju manje ružičastu sliku.</w:t>
      </w:r>
    </w:p>
    <w:p w:rsidR="003E5A30" w:rsidRDefault="003E5A30" w:rsidP="003E5A30">
      <w:pPr>
        <w:pStyle w:val="Heading2"/>
        <w:rPr>
          <w:rFonts w:ascii="Century" w:hAnsi="Century" w:cs="Century"/>
          <w:lang w:val="sr-Latn-RS"/>
        </w:rPr>
      </w:pPr>
      <w:bookmarkStart w:id="24" w:name="_Toc76470707"/>
      <w:r>
        <w:rPr>
          <w:rFonts w:ascii="Century" w:hAnsi="Century" w:cs="Century"/>
          <w:lang w:val="sr-Latn-RS"/>
        </w:rPr>
        <w:t>Nemačka</w:t>
      </w:r>
      <w:bookmarkEnd w:id="24"/>
    </w:p>
    <w:p w:rsidR="00871048" w:rsidRPr="00871048" w:rsidRDefault="00871048" w:rsidP="00871048">
      <w:pPr>
        <w:pStyle w:val="Footer"/>
        <w:rPr>
          <w:i/>
          <w:sz w:val="22"/>
        </w:rPr>
      </w:pPr>
      <w:proofErr w:type="gramStart"/>
      <w:r w:rsidRPr="00871048">
        <w:rPr>
          <w:i/>
          <w:sz w:val="22"/>
        </w:rPr>
        <w:t>Njemačka se pridružila Međunarodnoj organizaciji za migracije 1954.</w:t>
      </w:r>
      <w:proofErr w:type="gramEnd"/>
      <w:r w:rsidRPr="00871048">
        <w:rPr>
          <w:i/>
          <w:sz w:val="22"/>
        </w:rPr>
        <w:t xml:space="preserve"> </w:t>
      </w:r>
      <w:proofErr w:type="gramStart"/>
      <w:r w:rsidRPr="00871048">
        <w:rPr>
          <w:i/>
          <w:sz w:val="22"/>
        </w:rPr>
        <w:t>godine</w:t>
      </w:r>
      <w:proofErr w:type="gramEnd"/>
      <w:r w:rsidRPr="00871048">
        <w:rPr>
          <w:i/>
          <w:sz w:val="22"/>
        </w:rPr>
        <w:t>.</w:t>
      </w:r>
      <w:r w:rsidR="006D02E8">
        <w:rPr>
          <w:i/>
          <w:sz w:val="22"/>
        </w:rPr>
        <w:t xml:space="preserve"> </w:t>
      </w:r>
      <w:r w:rsidRPr="00871048">
        <w:rPr>
          <w:i/>
          <w:sz w:val="22"/>
        </w:rPr>
        <w:t xml:space="preserve">Danas, </w:t>
      </w:r>
      <w:proofErr w:type="gramStart"/>
      <w:r w:rsidRPr="00871048">
        <w:rPr>
          <w:i/>
          <w:sz w:val="22"/>
        </w:rPr>
        <w:t>sa</w:t>
      </w:r>
      <w:proofErr w:type="gramEnd"/>
      <w:r w:rsidRPr="00871048">
        <w:rPr>
          <w:i/>
          <w:sz w:val="22"/>
        </w:rPr>
        <w:t xml:space="preserve"> osam ureda u zemlji, aktivnosti IOM-a u Njemačkoj uključuju projekte u oblastima integracije, preseljenja i humanitarnog prijema, spajanja porodice i potpomognutog dobrovoljnog povratka i reintegracije. </w:t>
      </w:r>
      <w:proofErr w:type="gramStart"/>
      <w:r w:rsidRPr="00871048">
        <w:rPr>
          <w:i/>
          <w:sz w:val="22"/>
        </w:rPr>
        <w:t>IOM usko surađuje s njemačkom vladom i partnerima iz civilnog društva, istraživanja, politike i privatnog sektora.</w:t>
      </w:r>
      <w:proofErr w:type="gramEnd"/>
    </w:p>
    <w:p w:rsidR="00871048" w:rsidRPr="00871048" w:rsidRDefault="00871048" w:rsidP="00871048">
      <w:pPr>
        <w:pStyle w:val="Footer"/>
        <w:rPr>
          <w:i/>
          <w:sz w:val="22"/>
        </w:rPr>
      </w:pPr>
      <w:proofErr w:type="gramStart"/>
      <w:r w:rsidRPr="00871048">
        <w:rPr>
          <w:i/>
          <w:sz w:val="22"/>
        </w:rPr>
        <w:lastRenderedPageBreak/>
        <w:t>Berlinski ured ima funkciju mobilizacije resursa i ured je za vezu s njemačkom vladom za međunarodnu suradnju i projekte IOM-a u područjima humanitarne pomoći, prevencije kriza, stabilizacije, postkonfliktne izgradnje mira, razvoja, podizanja svijesti i migracijske politike.</w:t>
      </w:r>
      <w:proofErr w:type="gramEnd"/>
    </w:p>
    <w:p w:rsidR="00871048" w:rsidRPr="00871048" w:rsidRDefault="00871048" w:rsidP="00871048">
      <w:pPr>
        <w:rPr>
          <w:lang w:val="sr-Latn-RS"/>
        </w:rPr>
      </w:pPr>
    </w:p>
    <w:p w:rsidR="004A487E" w:rsidRDefault="004A487E">
      <w:pPr>
        <w:rPr>
          <w:rFonts w:ascii="Century" w:hAnsi="Century" w:cs="Century"/>
          <w:bCs/>
          <w:iCs/>
          <w:sz w:val="24"/>
          <w:szCs w:val="24"/>
          <w:lang w:val="sr-Latn-RS"/>
        </w:rPr>
      </w:pPr>
    </w:p>
    <w:p w:rsidR="004A487E" w:rsidRDefault="00394263">
      <w:pPr>
        <w:pStyle w:val="Heading2"/>
        <w:rPr>
          <w:lang w:val="sr-Latn-RS"/>
        </w:rPr>
      </w:pPr>
      <w:bookmarkStart w:id="25" w:name="_Toc76470708"/>
      <w:r>
        <w:rPr>
          <w:lang w:val="sr-Latn-RS"/>
        </w:rPr>
        <w:t>Albanija</w:t>
      </w:r>
      <w:bookmarkEnd w:id="25"/>
    </w:p>
    <w:p w:rsidR="00881019" w:rsidRPr="008D62D9" w:rsidRDefault="00881019" w:rsidP="00881019">
      <w:pPr>
        <w:rPr>
          <w:rStyle w:val="Emphasis"/>
          <w:lang w:val="sr-Latn-RS"/>
        </w:rPr>
      </w:pPr>
      <w:proofErr w:type="gramStart"/>
      <w:r w:rsidRPr="008D62D9">
        <w:rPr>
          <w:rStyle w:val="Emphasis"/>
        </w:rPr>
        <w:t>Iako anksioznost zbog nastavka neželjenih kretanja 'ilegalnih' migracija iz i kroz Albaniju i dalje traje, Komisija EU i mnoštvo drugih međunarodnih aktera (uključujući međuvladine organizacije poput Međunarodne organizacije za migracije [IOM]) pokušavaju ojačati lokalne državne institucije da efikasno regulisati migracije.</w:t>
      </w:r>
      <w:proofErr w:type="gramEnd"/>
      <w:r w:rsidRPr="008D62D9">
        <w:rPr>
          <w:rStyle w:val="Emphasis"/>
        </w:rPr>
        <w:t> Tokom posljednjih nekoliko godina Albanija je postala „poligon</w:t>
      </w:r>
      <w:proofErr w:type="gramStart"/>
      <w:r w:rsidRPr="008D62D9">
        <w:rPr>
          <w:rStyle w:val="Emphasis"/>
        </w:rPr>
        <w:t>“ za</w:t>
      </w:r>
      <w:proofErr w:type="gramEnd"/>
      <w:r w:rsidRPr="008D62D9">
        <w:rPr>
          <w:rStyle w:val="Emphasis"/>
        </w:rPr>
        <w:t xml:space="preserve"> brojne aktivnosti usmjerene na migracije. </w:t>
      </w:r>
      <w:proofErr w:type="gramStart"/>
      <w:r w:rsidRPr="008D62D9">
        <w:rPr>
          <w:rStyle w:val="Emphasis"/>
        </w:rPr>
        <w:t>Od</w:t>
      </w:r>
      <w:proofErr w:type="gramEnd"/>
      <w:r w:rsidRPr="008D62D9">
        <w:rPr>
          <w:rStyle w:val="Emphasis"/>
        </w:rPr>
        <w:t xml:space="preserve"> kraja 2004. </w:t>
      </w:r>
      <w:proofErr w:type="gramStart"/>
      <w:r w:rsidRPr="008D62D9">
        <w:rPr>
          <w:rStyle w:val="Emphasis"/>
        </w:rPr>
        <w:t>zemlja</w:t>
      </w:r>
      <w:proofErr w:type="gramEnd"/>
      <w:r w:rsidRPr="008D62D9">
        <w:rPr>
          <w:rStyle w:val="Emphasis"/>
        </w:rPr>
        <w:t xml:space="preserve"> provodi „Nacionalnu strategiju“ posebno dizajniranu za upravljanje migracijama na holističkiji način. </w:t>
      </w:r>
    </w:p>
    <w:p w:rsidR="004A487E" w:rsidRPr="00394263" w:rsidRDefault="00394263">
      <w:pPr>
        <w:rPr>
          <w:rStyle w:val="Emphasis"/>
        </w:rPr>
      </w:pPr>
      <w:r w:rsidRPr="00394263">
        <w:rPr>
          <w:rStyle w:val="Emphasis"/>
        </w:rPr>
        <w:t xml:space="preserve">Međunarodna organizacija za migracije (IOM) je </w:t>
      </w:r>
      <w:proofErr w:type="gramStart"/>
      <w:r w:rsidRPr="00394263">
        <w:rPr>
          <w:rStyle w:val="Emphasis"/>
        </w:rPr>
        <w:t>od</w:t>
      </w:r>
      <w:proofErr w:type="gramEnd"/>
      <w:r w:rsidRPr="00394263">
        <w:rPr>
          <w:rStyle w:val="Emphasis"/>
        </w:rPr>
        <w:t xml:space="preserve"> 18. </w:t>
      </w:r>
      <w:proofErr w:type="gramStart"/>
      <w:r w:rsidRPr="00394263">
        <w:rPr>
          <w:rStyle w:val="Emphasis"/>
        </w:rPr>
        <w:t>do</w:t>
      </w:r>
      <w:proofErr w:type="gramEnd"/>
      <w:r w:rsidRPr="00394263">
        <w:rPr>
          <w:rStyle w:val="Emphasis"/>
        </w:rPr>
        <w:t xml:space="preserve"> 20. </w:t>
      </w:r>
      <w:proofErr w:type="gramStart"/>
      <w:r w:rsidRPr="00394263">
        <w:rPr>
          <w:rStyle w:val="Emphasis"/>
        </w:rPr>
        <w:t>juna</w:t>
      </w:r>
      <w:proofErr w:type="gramEnd"/>
      <w:r w:rsidRPr="00394263">
        <w:rPr>
          <w:rStyle w:val="Emphasis"/>
        </w:rPr>
        <w:t xml:space="preserve"> 2018. </w:t>
      </w:r>
      <w:proofErr w:type="gramStart"/>
      <w:r w:rsidRPr="00394263">
        <w:rPr>
          <w:rStyle w:val="Emphasis"/>
        </w:rPr>
        <w:t>organizovala</w:t>
      </w:r>
      <w:proofErr w:type="gramEnd"/>
      <w:r w:rsidRPr="00394263">
        <w:rPr>
          <w:rStyle w:val="Emphasis"/>
        </w:rPr>
        <w:t xml:space="preserve"> studijsku posetu Centra za zaštitu žrtava trgovine ljudima institucijama i organizacijama u Albaniji koje se bave zaštitom žrtava trgovine ljudima. Poseta je organizovana u okviru regionalnog projekta „Jačanje kapaciteta i mehanizama za identifikaciju i zaštitu ranjivih migranata na Zapadnom Balkanu</w:t>
      </w:r>
      <w:proofErr w:type="gramStart"/>
      <w:r w:rsidRPr="00394263">
        <w:rPr>
          <w:rStyle w:val="Emphasis"/>
        </w:rPr>
        <w:t>“ koji</w:t>
      </w:r>
      <w:proofErr w:type="gramEnd"/>
      <w:r w:rsidRPr="00394263">
        <w:rPr>
          <w:rStyle w:val="Emphasis"/>
        </w:rPr>
        <w:t xml:space="preserve"> finansira Biro za stanovništvo, izbeglice i migracije (PRM) Stejt departmenta.</w:t>
      </w:r>
    </w:p>
    <w:p w:rsidR="004A487E" w:rsidRDefault="00394263">
      <w:pPr>
        <w:pStyle w:val="Heading2"/>
        <w:rPr>
          <w:lang w:val="sr-Latn-RS"/>
        </w:rPr>
      </w:pPr>
      <w:bookmarkStart w:id="26" w:name="_Toc76470709"/>
      <w:r>
        <w:rPr>
          <w:lang w:val="sr-Latn-RS"/>
        </w:rPr>
        <w:t>Tunis</w:t>
      </w:r>
      <w:bookmarkEnd w:id="26"/>
    </w:p>
    <w:p w:rsidR="008D62D9" w:rsidRPr="008D62D9" w:rsidRDefault="008D62D9" w:rsidP="008D62D9">
      <w:pPr>
        <w:shd w:val="clear" w:color="auto" w:fill="FFFFFF"/>
        <w:spacing w:after="150" w:line="360" w:lineRule="atLeast"/>
        <w:jc w:val="both"/>
        <w:rPr>
          <w:rStyle w:val="Emphasis"/>
        </w:rPr>
      </w:pPr>
      <w:r w:rsidRPr="008D62D9">
        <w:rPr>
          <w:rStyle w:val="Emphasis"/>
        </w:rPr>
        <w:t xml:space="preserve">Tuniska nacionalna strategija za migracije uključuje sva kretanja u migracijskom profilu Tunižana i odnosi se </w:t>
      </w:r>
      <w:proofErr w:type="gramStart"/>
      <w:r w:rsidRPr="008D62D9">
        <w:rPr>
          <w:rStyle w:val="Emphasis"/>
        </w:rPr>
        <w:t>na</w:t>
      </w:r>
      <w:proofErr w:type="gramEnd"/>
      <w:r w:rsidRPr="008D62D9">
        <w:rPr>
          <w:rStyle w:val="Emphasis"/>
        </w:rPr>
        <w:t xml:space="preserve"> vrijednosti ljudskih prava koje su usađene u ustavu druge republike i u bilateralnim i multilateralnim agregatima povezanim s migracijama. </w:t>
      </w:r>
      <w:proofErr w:type="gramStart"/>
      <w:r w:rsidRPr="008D62D9">
        <w:rPr>
          <w:rStyle w:val="Emphasis"/>
        </w:rPr>
        <w:t>Strateški dokument daje posebnu pažnju Tunižanima koji žive u inostranstvu, kako bi zaštitili njihova prava i aktivno ih uključili u političke i ekonomske tranzicije zemlje.</w:t>
      </w:r>
      <w:proofErr w:type="gramEnd"/>
    </w:p>
    <w:p w:rsidR="008D62D9" w:rsidRPr="008D62D9" w:rsidRDefault="008D62D9" w:rsidP="008D62D9">
      <w:pPr>
        <w:shd w:val="clear" w:color="auto" w:fill="FFFFFF"/>
        <w:spacing w:after="150" w:line="360" w:lineRule="atLeast"/>
        <w:jc w:val="both"/>
        <w:rPr>
          <w:rStyle w:val="Emphasis"/>
        </w:rPr>
      </w:pPr>
      <w:r w:rsidRPr="008D62D9">
        <w:rPr>
          <w:rStyle w:val="Emphasis"/>
        </w:rPr>
        <w:t>Nacionalna strategija za migracije određena je sljedećim glavnim temama: </w:t>
      </w:r>
    </w:p>
    <w:p w:rsidR="008D62D9" w:rsidRPr="008D62D9" w:rsidRDefault="008D62D9" w:rsidP="008D62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Emphasis"/>
        </w:rPr>
      </w:pPr>
      <w:r w:rsidRPr="008D62D9">
        <w:rPr>
          <w:rStyle w:val="Emphasis"/>
        </w:rPr>
        <w:t>Zaštita prava migranata;</w:t>
      </w:r>
    </w:p>
    <w:p w:rsidR="008D62D9" w:rsidRPr="008D62D9" w:rsidRDefault="008D62D9" w:rsidP="008D62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Emphasis"/>
        </w:rPr>
      </w:pPr>
      <w:r w:rsidRPr="008D62D9">
        <w:rPr>
          <w:rStyle w:val="Emphasis"/>
        </w:rPr>
        <w:t>Uključivanje migracija u razvoj;</w:t>
      </w:r>
    </w:p>
    <w:p w:rsidR="008D62D9" w:rsidRPr="008D62D9" w:rsidRDefault="008D62D9" w:rsidP="008D62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Emphasis"/>
        </w:rPr>
      </w:pPr>
      <w:r w:rsidRPr="008D62D9">
        <w:rPr>
          <w:rStyle w:val="Emphasis"/>
        </w:rPr>
        <w:t>Bilateralna i multilateralna partnerstva i podrška međunarodnih organizacija, EU i UN agencija;</w:t>
      </w:r>
    </w:p>
    <w:p w:rsidR="008D62D9" w:rsidRPr="008D62D9" w:rsidRDefault="008D62D9" w:rsidP="008D62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Emphasis"/>
        </w:rPr>
      </w:pPr>
      <w:r w:rsidRPr="008D62D9">
        <w:rPr>
          <w:rStyle w:val="Emphasis"/>
        </w:rPr>
        <w:t>Promovisanje raznolikosti putem međuministarskog odbora pri Ministarstvu kulture.</w:t>
      </w:r>
    </w:p>
    <w:p w:rsidR="004A487E" w:rsidRDefault="004A487E">
      <w:pPr>
        <w:rPr>
          <w:rFonts w:ascii="Century" w:hAnsi="Century" w:cs="Century"/>
          <w:b/>
          <w:iCs/>
          <w:sz w:val="24"/>
          <w:szCs w:val="24"/>
          <w:lang w:val="sr-Latn-RS"/>
        </w:rPr>
      </w:pPr>
    </w:p>
    <w:p w:rsidR="004A487E" w:rsidRDefault="00394263">
      <w:pPr>
        <w:pStyle w:val="Heading2"/>
        <w:rPr>
          <w:lang w:val="sr-Latn-RS"/>
        </w:rPr>
      </w:pPr>
      <w:bookmarkStart w:id="27" w:name="_Toc76470710"/>
      <w:r>
        <w:rPr>
          <w:lang w:val="sr-Latn-RS"/>
        </w:rPr>
        <w:t>Jemen</w:t>
      </w:r>
      <w:bookmarkEnd w:id="27"/>
    </w:p>
    <w:p w:rsidR="008D62D9" w:rsidRPr="008D62D9" w:rsidRDefault="008D62D9" w:rsidP="008D62D9">
      <w:pPr>
        <w:spacing w:before="343" w:after="343" w:line="240" w:lineRule="auto"/>
        <w:rPr>
          <w:rStyle w:val="Emphasis"/>
        </w:rPr>
      </w:pPr>
      <w:r w:rsidRPr="008D62D9">
        <w:rPr>
          <w:rStyle w:val="Emphasis"/>
        </w:rPr>
        <w:lastRenderedPageBreak/>
        <w:t xml:space="preserve">Jemen se u svojoj sedmoj godini sukoba i dalje suočava </w:t>
      </w:r>
      <w:proofErr w:type="gramStart"/>
      <w:r w:rsidRPr="008D62D9">
        <w:rPr>
          <w:rStyle w:val="Emphasis"/>
        </w:rPr>
        <w:t>sa</w:t>
      </w:r>
      <w:proofErr w:type="gramEnd"/>
      <w:r w:rsidRPr="008D62D9">
        <w:rPr>
          <w:rStyle w:val="Emphasis"/>
        </w:rPr>
        <w:t xml:space="preserve"> najgorom svjetskom humanitarnom krizom. </w:t>
      </w:r>
      <w:proofErr w:type="gramStart"/>
      <w:r w:rsidRPr="008D62D9">
        <w:rPr>
          <w:rStyle w:val="Emphasis"/>
        </w:rPr>
        <w:t>Potrebe su i dalje visoke, vođene rastućim sukobom, bolestima, ekonomijom u padu i raspadom javnih institucija i usluga.</w:t>
      </w:r>
      <w:proofErr w:type="gramEnd"/>
      <w:r w:rsidRPr="008D62D9">
        <w:rPr>
          <w:rStyle w:val="Emphasis"/>
        </w:rPr>
        <w:t xml:space="preserve"> Predviđa se da </w:t>
      </w:r>
      <w:proofErr w:type="gramStart"/>
      <w:r w:rsidRPr="008D62D9">
        <w:rPr>
          <w:rStyle w:val="Emphasis"/>
        </w:rPr>
        <w:t>će</w:t>
      </w:r>
      <w:proofErr w:type="gramEnd"/>
      <w:r w:rsidRPr="008D62D9">
        <w:rPr>
          <w:rStyle w:val="Emphasis"/>
        </w:rPr>
        <w:t xml:space="preserve"> milioni doživjeti alarmantne razine akutne pothranjenosti i nesigurnosti u hrani 2021. </w:t>
      </w:r>
      <w:proofErr w:type="gramStart"/>
      <w:r w:rsidRPr="008D62D9">
        <w:rPr>
          <w:rStyle w:val="Emphasis"/>
        </w:rPr>
        <w:t>godine</w:t>
      </w:r>
      <w:proofErr w:type="gramEnd"/>
      <w:r w:rsidRPr="008D62D9">
        <w:rPr>
          <w:rStyle w:val="Emphasis"/>
        </w:rPr>
        <w:t>, s procjenom da će 80 posto stanovništva i dalje trebati humanitarnu pomoć. </w:t>
      </w:r>
      <w:proofErr w:type="gramStart"/>
      <w:r w:rsidRPr="008D62D9">
        <w:rPr>
          <w:rStyle w:val="Emphasis"/>
        </w:rPr>
        <w:t>Preko 170 000 ljudi raseljeno je samo u 2020.</w:t>
      </w:r>
      <w:proofErr w:type="gramEnd"/>
      <w:r w:rsidRPr="008D62D9">
        <w:rPr>
          <w:rStyle w:val="Emphasis"/>
        </w:rPr>
        <w:t xml:space="preserve"> </w:t>
      </w:r>
      <w:proofErr w:type="gramStart"/>
      <w:r w:rsidRPr="008D62D9">
        <w:rPr>
          <w:rStyle w:val="Emphasis"/>
        </w:rPr>
        <w:t>godini</w:t>
      </w:r>
      <w:proofErr w:type="gramEnd"/>
      <w:r w:rsidRPr="008D62D9">
        <w:rPr>
          <w:rStyle w:val="Emphasis"/>
        </w:rPr>
        <w:t xml:space="preserve">, otvaranjem preko desetak novih linija fronta i eskalacijom neprijateljstava u gubernijama poput Ma'riba. Bez mirnog rješavanja sukoba, očekuje se da </w:t>
      </w:r>
      <w:proofErr w:type="gramStart"/>
      <w:r w:rsidRPr="008D62D9">
        <w:rPr>
          <w:rStyle w:val="Emphasis"/>
        </w:rPr>
        <w:t>će</w:t>
      </w:r>
      <w:proofErr w:type="gramEnd"/>
      <w:r w:rsidRPr="008D62D9">
        <w:rPr>
          <w:rStyle w:val="Emphasis"/>
        </w:rPr>
        <w:t xml:space="preserve"> se ozbiljnost potreba i patnja pogoršati u cijeloj zemlji. U isto vrijeme, uprkos trenutnoj krizi, </w:t>
      </w:r>
      <w:hyperlink r:id="rId28" w:history="1">
        <w:r w:rsidRPr="008D62D9">
          <w:rPr>
            <w:rStyle w:val="Emphasis"/>
          </w:rPr>
          <w:t>migranti</w:t>
        </w:r>
      </w:hyperlink>
      <w:r w:rsidRPr="008D62D9">
        <w:rPr>
          <w:rStyle w:val="Emphasis"/>
        </w:rPr>
        <w:t xml:space="preserve"> i dalje neredovno stižu u Jemen, a većina se nada da </w:t>
      </w:r>
      <w:proofErr w:type="gramStart"/>
      <w:r w:rsidRPr="008D62D9">
        <w:rPr>
          <w:rStyle w:val="Emphasis"/>
        </w:rPr>
        <w:t>će</w:t>
      </w:r>
      <w:proofErr w:type="gramEnd"/>
      <w:r w:rsidRPr="008D62D9">
        <w:rPr>
          <w:rStyle w:val="Emphasis"/>
        </w:rPr>
        <w:t xml:space="preserve"> posao naći u Kraljevini Saudijska Arabija.</w:t>
      </w:r>
    </w:p>
    <w:p w:rsidR="008D62D9" w:rsidRPr="008D62D9" w:rsidRDefault="008D62D9" w:rsidP="008D62D9">
      <w:pPr>
        <w:spacing w:before="343" w:after="343" w:line="240" w:lineRule="auto"/>
        <w:rPr>
          <w:rStyle w:val="Emphasis"/>
        </w:rPr>
      </w:pPr>
      <w:r w:rsidRPr="008D62D9">
        <w:rPr>
          <w:rStyle w:val="Emphasis"/>
        </w:rPr>
        <w:t> </w:t>
      </w:r>
      <w:proofErr w:type="gramStart"/>
      <w:r w:rsidRPr="008D62D9">
        <w:rPr>
          <w:rStyle w:val="Emphasis"/>
        </w:rPr>
        <w:t>Međunarodna organizacija za migracije (IOM) ima urede u Sani, Adenu, Ma'ribu i nedavno u Taizu, gdje Organizacija proširuje aktivnosti duž zapadne obale.</w:t>
      </w:r>
      <w:proofErr w:type="gramEnd"/>
      <w:r w:rsidRPr="008D62D9">
        <w:rPr>
          <w:rStyle w:val="Emphasis"/>
        </w:rPr>
        <w:t> </w:t>
      </w:r>
      <w:proofErr w:type="gramStart"/>
      <w:r w:rsidRPr="008D62D9">
        <w:rPr>
          <w:rStyle w:val="Emphasis"/>
        </w:rPr>
        <w:t>IOM podržava ranjive grupe širom Jemena, uključujući raseljene ljude, zajednice pogođene sukobima i migrante.</w:t>
      </w:r>
      <w:proofErr w:type="gramEnd"/>
      <w:r w:rsidRPr="008D62D9">
        <w:rPr>
          <w:rStyle w:val="Emphasis"/>
        </w:rPr>
        <w:t> </w:t>
      </w:r>
      <w:proofErr w:type="gramStart"/>
      <w:r w:rsidRPr="008D62D9">
        <w:rPr>
          <w:rStyle w:val="Emphasis"/>
        </w:rPr>
        <w:t>Organizacija izravno provodi multisektorski humanitarni odgovor, naime zdravlje, vodu, sanitarne i higijenske potrebe (WASH), sklonište, neprehrambene proizvode (NFI) i novčanu pomoć, koordinaciju kampova i upravljanje kampovima (CCCM), zaštitu i raseljavanje praćenje (DTM).</w:t>
      </w:r>
      <w:proofErr w:type="gramEnd"/>
      <w:r w:rsidRPr="008D62D9">
        <w:rPr>
          <w:rStyle w:val="Emphasis"/>
        </w:rPr>
        <w:t> Prioritet IOM-a u Jemenu je maksimiziranje učinka njegovog programiranja u korist ranjivih ljudi kojima služi, istovremeno osiguravajući odgovoran odgovor. </w:t>
      </w:r>
    </w:p>
    <w:p w:rsidR="004A487E" w:rsidRDefault="004A487E">
      <w:pPr>
        <w:rPr>
          <w:rFonts w:ascii="Century" w:hAnsi="Century" w:cs="Century"/>
          <w:bCs/>
          <w:iCs/>
          <w:sz w:val="24"/>
          <w:szCs w:val="24"/>
          <w:lang w:val="sr-Latn-RS"/>
        </w:rPr>
      </w:pPr>
    </w:p>
    <w:p w:rsidR="004A487E" w:rsidRDefault="004A487E">
      <w:pPr>
        <w:rPr>
          <w:rFonts w:ascii="Century" w:hAnsi="Century" w:cs="Century"/>
          <w:bCs/>
          <w:iCs/>
          <w:sz w:val="24"/>
          <w:szCs w:val="24"/>
          <w:lang w:val="sr-Latn-RS"/>
        </w:rPr>
      </w:pPr>
    </w:p>
    <w:p w:rsidR="004A487E" w:rsidRDefault="00394263">
      <w:pPr>
        <w:pStyle w:val="Heading2"/>
        <w:rPr>
          <w:lang w:val="sr-Latn-RS"/>
        </w:rPr>
      </w:pPr>
      <w:bookmarkStart w:id="28" w:name="_Toc76470711"/>
      <w:r>
        <w:rPr>
          <w:lang w:val="sr-Latn-RS"/>
        </w:rPr>
        <w:t>Tajland</w:t>
      </w:r>
      <w:bookmarkEnd w:id="28"/>
    </w:p>
    <w:p w:rsidR="008D62D9" w:rsidRPr="008D62D9" w:rsidRDefault="008D62D9" w:rsidP="008D62D9">
      <w:pPr>
        <w:shd w:val="clear" w:color="auto" w:fill="FFFFFF"/>
        <w:spacing w:before="343" w:after="343" w:line="240" w:lineRule="auto"/>
        <w:rPr>
          <w:rStyle w:val="Emphasis"/>
        </w:rPr>
      </w:pPr>
      <w:r w:rsidRPr="008D62D9">
        <w:rPr>
          <w:rStyle w:val="Emphasis"/>
        </w:rPr>
        <w:t xml:space="preserve">Tajland je izgradio svoj kapacitet za upravljanje migracijama i u dobroj je poziciji da maksimizira blagodati migracije ako se učini više </w:t>
      </w:r>
      <w:proofErr w:type="gramStart"/>
      <w:r w:rsidRPr="008D62D9">
        <w:rPr>
          <w:rStyle w:val="Emphasis"/>
        </w:rPr>
        <w:t>na</w:t>
      </w:r>
      <w:proofErr w:type="gramEnd"/>
      <w:r w:rsidRPr="008D62D9">
        <w:rPr>
          <w:rStyle w:val="Emphasis"/>
        </w:rPr>
        <w:t xml:space="preserve"> osiguranju dobrobiti i zaštite migranata, navodi se u novom izvještaju koji su Ujedinjene nacije objavile na Tajlandu. </w:t>
      </w:r>
    </w:p>
    <w:p w:rsidR="008D62D9" w:rsidRPr="008D62D9" w:rsidRDefault="008D62D9" w:rsidP="008D62D9">
      <w:pPr>
        <w:shd w:val="clear" w:color="auto" w:fill="FFFFFF"/>
        <w:spacing w:before="343" w:after="343" w:line="240" w:lineRule="auto"/>
        <w:rPr>
          <w:rStyle w:val="Emphasis"/>
        </w:rPr>
      </w:pPr>
      <w:proofErr w:type="gramStart"/>
      <w:r w:rsidRPr="008D62D9">
        <w:rPr>
          <w:rStyle w:val="Emphasis"/>
        </w:rPr>
        <w:t>Tajlandski izvještaj o migraciji za 2019.</w:t>
      </w:r>
      <w:proofErr w:type="gramEnd"/>
      <w:r w:rsidRPr="008D62D9">
        <w:rPr>
          <w:rStyle w:val="Emphasis"/>
        </w:rPr>
        <w:t xml:space="preserve"> </w:t>
      </w:r>
      <w:proofErr w:type="gramStart"/>
      <w:r w:rsidRPr="008D62D9">
        <w:rPr>
          <w:rStyle w:val="Emphasis"/>
        </w:rPr>
        <w:t>koji</w:t>
      </w:r>
      <w:proofErr w:type="gramEnd"/>
      <w:r w:rsidRPr="008D62D9">
        <w:rPr>
          <w:rStyle w:val="Emphasis"/>
        </w:rPr>
        <w:t xml:space="preserve"> se redovno objavljuje od 2005. </w:t>
      </w:r>
      <w:proofErr w:type="gramStart"/>
      <w:r w:rsidRPr="008D62D9">
        <w:rPr>
          <w:rStyle w:val="Emphasis"/>
        </w:rPr>
        <w:t>godine</w:t>
      </w:r>
      <w:proofErr w:type="gramEnd"/>
      <w:r w:rsidRPr="008D62D9">
        <w:rPr>
          <w:rStyle w:val="Emphasis"/>
        </w:rPr>
        <w:t xml:space="preserve"> posljednji je u nizu koje je izradila Tajlandska radna grupa za migracije UN-a, kojom predsjedava IOM i okuplja 16 agencija UN-a. </w:t>
      </w:r>
    </w:p>
    <w:p w:rsidR="008D62D9" w:rsidRPr="008D62D9" w:rsidRDefault="008D62D9" w:rsidP="008D62D9">
      <w:pPr>
        <w:shd w:val="clear" w:color="auto" w:fill="FFFFFF"/>
        <w:spacing w:before="343" w:after="343" w:line="240" w:lineRule="auto"/>
        <w:rPr>
          <w:rStyle w:val="Emphasis"/>
        </w:rPr>
      </w:pPr>
      <w:r w:rsidRPr="008D62D9">
        <w:rPr>
          <w:rStyle w:val="Emphasis"/>
        </w:rPr>
        <w:t xml:space="preserve">Izvještaj sadrži 11 poglavlja koja se odnose </w:t>
      </w:r>
      <w:proofErr w:type="gramStart"/>
      <w:r w:rsidRPr="008D62D9">
        <w:rPr>
          <w:rStyle w:val="Emphasis"/>
        </w:rPr>
        <w:t>na</w:t>
      </w:r>
      <w:proofErr w:type="gramEnd"/>
      <w:r w:rsidRPr="008D62D9">
        <w:rPr>
          <w:rStyle w:val="Emphasis"/>
        </w:rPr>
        <w:t xml:space="preserve"> radne uslove, pristup uslugama, doznake, trgovinu ljudima i eksploataciju. Poglavlja su napisali saradnici iz različitih agencija UN-</w:t>
      </w:r>
      <w:proofErr w:type="gramStart"/>
      <w:r w:rsidRPr="008D62D9">
        <w:rPr>
          <w:rStyle w:val="Emphasis"/>
        </w:rPr>
        <w:t>a</w:t>
      </w:r>
      <w:proofErr w:type="gramEnd"/>
      <w:r w:rsidRPr="008D62D9">
        <w:rPr>
          <w:rStyle w:val="Emphasis"/>
        </w:rPr>
        <w:t xml:space="preserve"> i pružaju najnovije informacije o migracijskim trendovima i obrascima, kao i neovisnu analizu pitanja vezanih za migracije i razvoja politike.  </w:t>
      </w:r>
    </w:p>
    <w:p w:rsidR="008D62D9" w:rsidRPr="008D62D9" w:rsidRDefault="008D62D9" w:rsidP="008D62D9">
      <w:pPr>
        <w:shd w:val="clear" w:color="auto" w:fill="FFFFFF"/>
        <w:spacing w:before="343" w:after="343" w:line="240" w:lineRule="auto"/>
        <w:rPr>
          <w:rStyle w:val="Emphasis"/>
        </w:rPr>
      </w:pPr>
      <w:r w:rsidRPr="008D62D9">
        <w:rPr>
          <w:rStyle w:val="Emphasis"/>
        </w:rPr>
        <w:t xml:space="preserve">Migracija </w:t>
      </w:r>
      <w:proofErr w:type="gramStart"/>
      <w:r w:rsidRPr="008D62D9">
        <w:rPr>
          <w:rStyle w:val="Emphasis"/>
        </w:rPr>
        <w:t>na</w:t>
      </w:r>
      <w:proofErr w:type="gramEnd"/>
      <w:r w:rsidRPr="008D62D9">
        <w:rPr>
          <w:rStyle w:val="Emphasis"/>
        </w:rPr>
        <w:t xml:space="preserve"> Tajland intenzivirala se od prethodnog izvještaja 2014. Na osnovu podataka iz niza izvora, izvještaj procjenjuje da Tajland sada prima približno 4</w:t>
      </w:r>
      <w:proofErr w:type="gramStart"/>
      <w:r w:rsidRPr="008D62D9">
        <w:rPr>
          <w:rStyle w:val="Emphasis"/>
        </w:rPr>
        <w:t>,9</w:t>
      </w:r>
      <w:proofErr w:type="gramEnd"/>
      <w:r w:rsidRPr="008D62D9">
        <w:rPr>
          <w:rStyle w:val="Emphasis"/>
        </w:rPr>
        <w:t xml:space="preserve"> miliona stanovnika koji nisu Tajland, što je znatno povećanje sa 3,7 miliona u 2014. </w:t>
      </w:r>
      <w:proofErr w:type="gramStart"/>
      <w:r w:rsidRPr="008D62D9">
        <w:rPr>
          <w:rStyle w:val="Emphasis"/>
        </w:rPr>
        <w:t>godini</w:t>
      </w:r>
      <w:proofErr w:type="gramEnd"/>
      <w:r w:rsidRPr="008D62D9">
        <w:rPr>
          <w:rStyle w:val="Emphasis"/>
        </w:rPr>
        <w:t>  </w:t>
      </w:r>
    </w:p>
    <w:p w:rsidR="008D62D9" w:rsidRPr="008D62D9" w:rsidRDefault="008D62D9" w:rsidP="008D62D9">
      <w:pPr>
        <w:shd w:val="clear" w:color="auto" w:fill="FFFFFF"/>
        <w:spacing w:before="343" w:after="343" w:line="240" w:lineRule="auto"/>
        <w:rPr>
          <w:rStyle w:val="Emphasis"/>
        </w:rPr>
      </w:pPr>
      <w:r w:rsidRPr="008D62D9">
        <w:rPr>
          <w:rStyle w:val="Emphasis"/>
        </w:rPr>
        <w:t>Većina ih dolazi iz susjedne Kambodže, Laoske Narodne Demokratske Republike, Mijanmara i Vijetnama, što čini oko 3</w:t>
      </w:r>
      <w:proofErr w:type="gramStart"/>
      <w:r w:rsidRPr="008D62D9">
        <w:rPr>
          <w:rStyle w:val="Emphasis"/>
        </w:rPr>
        <w:t>,9</w:t>
      </w:r>
      <w:proofErr w:type="gramEnd"/>
      <w:r w:rsidRPr="008D62D9">
        <w:rPr>
          <w:rStyle w:val="Emphasis"/>
        </w:rPr>
        <w:t xml:space="preserve"> miliona dokumentovanih i nedokumentiranih radnika migranata. </w:t>
      </w:r>
      <w:proofErr w:type="gramStart"/>
      <w:r w:rsidRPr="008D62D9">
        <w:rPr>
          <w:rStyle w:val="Emphasis"/>
        </w:rPr>
        <w:t>Ostale velike grupe uključuju oko 480 000 osoba bez državljanstva, 110 000 kvalifikovanih stručnjaka i 100 000 izbjeglica i tražitelja azila.</w:t>
      </w:r>
      <w:proofErr w:type="gramEnd"/>
      <w:r w:rsidRPr="008D62D9">
        <w:rPr>
          <w:rStyle w:val="Emphasis"/>
        </w:rPr>
        <w:t> </w:t>
      </w:r>
    </w:p>
    <w:p w:rsidR="008D62D9" w:rsidRPr="008D62D9" w:rsidRDefault="008D62D9" w:rsidP="008D62D9">
      <w:pPr>
        <w:shd w:val="clear" w:color="auto" w:fill="FFFFFF"/>
        <w:spacing w:before="343" w:after="343" w:line="240" w:lineRule="auto"/>
        <w:rPr>
          <w:rStyle w:val="Emphasis"/>
        </w:rPr>
      </w:pPr>
      <w:r w:rsidRPr="008D62D9">
        <w:rPr>
          <w:rStyle w:val="Emphasis"/>
        </w:rPr>
        <w:lastRenderedPageBreak/>
        <w:t xml:space="preserve">Tajland ima značajnu korist </w:t>
      </w:r>
      <w:proofErr w:type="gramStart"/>
      <w:r w:rsidRPr="008D62D9">
        <w:rPr>
          <w:rStyle w:val="Emphasis"/>
        </w:rPr>
        <w:t>od</w:t>
      </w:r>
      <w:proofErr w:type="gramEnd"/>
      <w:r w:rsidRPr="008D62D9">
        <w:rPr>
          <w:rStyle w:val="Emphasis"/>
        </w:rPr>
        <w:t xml:space="preserve"> njihovog prisustva. </w:t>
      </w:r>
      <w:proofErr w:type="gramStart"/>
      <w:r w:rsidRPr="008D62D9">
        <w:rPr>
          <w:rStyle w:val="Emphasis"/>
        </w:rPr>
        <w:t>Radnici migranti pomažu u popunjavanju nedostatka radne snage, doprinose ekonomskom rastu i postaju sve važniji kako tajlandsko društvo stari.</w:t>
      </w:r>
      <w:proofErr w:type="gramEnd"/>
      <w:r w:rsidRPr="008D62D9">
        <w:rPr>
          <w:rStyle w:val="Emphasis"/>
        </w:rPr>
        <w:t> Smatra se da oni čine više od 10 posto ukupne radne snage, a koji doprinose između 4</w:t>
      </w:r>
      <w:proofErr w:type="gramStart"/>
      <w:r w:rsidRPr="008D62D9">
        <w:rPr>
          <w:rStyle w:val="Emphasis"/>
        </w:rPr>
        <w:t>,3</w:t>
      </w:r>
      <w:proofErr w:type="gramEnd"/>
      <w:r w:rsidRPr="008D62D9">
        <w:rPr>
          <w:rStyle w:val="Emphasis"/>
        </w:rPr>
        <w:t xml:space="preserve"> i 6,6 posto bruto domaćeg proizvoda Tajlanda. </w:t>
      </w:r>
    </w:p>
    <w:p w:rsidR="008D62D9" w:rsidRPr="008D62D9" w:rsidRDefault="008D62D9" w:rsidP="008D62D9">
      <w:pPr>
        <w:shd w:val="clear" w:color="auto" w:fill="FFFFFF"/>
        <w:spacing w:before="343" w:after="343" w:line="240" w:lineRule="auto"/>
        <w:rPr>
          <w:rStyle w:val="Emphasis"/>
        </w:rPr>
      </w:pPr>
      <w:r w:rsidRPr="008D62D9">
        <w:rPr>
          <w:rStyle w:val="Emphasis"/>
        </w:rPr>
        <w:t xml:space="preserve">Za migrante i članove njihovih porodica zapošljavanje </w:t>
      </w:r>
      <w:proofErr w:type="gramStart"/>
      <w:r w:rsidRPr="008D62D9">
        <w:rPr>
          <w:rStyle w:val="Emphasis"/>
        </w:rPr>
        <w:t>na</w:t>
      </w:r>
      <w:proofErr w:type="gramEnd"/>
      <w:r w:rsidRPr="008D62D9">
        <w:rPr>
          <w:rStyle w:val="Emphasis"/>
        </w:rPr>
        <w:t xml:space="preserve"> Tajlandu podržava povećani životni standard i smanjenje siromaštva u njihovim matičnim zemljama. Do 2</w:t>
      </w:r>
      <w:proofErr w:type="gramStart"/>
      <w:r w:rsidRPr="008D62D9">
        <w:rPr>
          <w:rStyle w:val="Emphasis"/>
        </w:rPr>
        <w:t>,8</w:t>
      </w:r>
      <w:proofErr w:type="gramEnd"/>
      <w:r w:rsidRPr="008D62D9">
        <w:rPr>
          <w:rStyle w:val="Emphasis"/>
        </w:rPr>
        <w:t xml:space="preserve"> milijardi USD doznaka godišnje se porodicama formalnim kanalima pošalje u zemlje u četiri glavne zemlje porijekla. Brojka se popela </w:t>
      </w:r>
      <w:proofErr w:type="gramStart"/>
      <w:r w:rsidRPr="008D62D9">
        <w:rPr>
          <w:rStyle w:val="Emphasis"/>
        </w:rPr>
        <w:t>na</w:t>
      </w:r>
      <w:proofErr w:type="gramEnd"/>
      <w:r w:rsidRPr="008D62D9">
        <w:rPr>
          <w:rStyle w:val="Emphasis"/>
        </w:rPr>
        <w:t xml:space="preserve"> čak 10 milijardi USD ako se uzmu u obzir i neformalni tokovi doznaka.  </w:t>
      </w:r>
    </w:p>
    <w:p w:rsidR="008D62D9" w:rsidRPr="008D62D9" w:rsidRDefault="008D62D9" w:rsidP="008D62D9">
      <w:pPr>
        <w:shd w:val="clear" w:color="auto" w:fill="FFFFFF"/>
        <w:spacing w:before="343" w:after="343" w:line="240" w:lineRule="auto"/>
        <w:rPr>
          <w:rStyle w:val="Emphasis"/>
        </w:rPr>
      </w:pPr>
      <w:proofErr w:type="gramStart"/>
      <w:r w:rsidRPr="008D62D9">
        <w:rPr>
          <w:rStyle w:val="Emphasis"/>
        </w:rPr>
        <w:t>Izvještaj napominje da je kraljevska tajlandska vlada poduzela važne korake u borbi protiv trgovine ljudima i eksploatatorskih uslova rada za migrante, uključujući reforme zakona i regulatornih tijela koja se koriste za upravljanje ribarstvom, izmjenu Kraljevskog pravilnika o upravljanju stranim Zapošljavanje radnika, uspostavljanje centara za pomoć radnicima migrantima i ratifikacija Protokola iz 2014.</w:t>
      </w:r>
      <w:proofErr w:type="gramEnd"/>
      <w:r w:rsidRPr="008D62D9">
        <w:rPr>
          <w:rStyle w:val="Emphasis"/>
        </w:rPr>
        <w:t xml:space="preserve"> </w:t>
      </w:r>
      <w:proofErr w:type="gramStart"/>
      <w:r w:rsidRPr="008D62D9">
        <w:rPr>
          <w:rStyle w:val="Emphasis"/>
        </w:rPr>
        <w:t>godine</w:t>
      </w:r>
      <w:proofErr w:type="gramEnd"/>
      <w:r w:rsidRPr="008D62D9">
        <w:rPr>
          <w:rStyle w:val="Emphasis"/>
        </w:rPr>
        <w:t xml:space="preserve"> uz Konvenciju o prisilnom radu iz 1930. </w:t>
      </w:r>
      <w:proofErr w:type="gramStart"/>
      <w:r w:rsidRPr="008D62D9">
        <w:rPr>
          <w:rStyle w:val="Emphasis"/>
        </w:rPr>
        <w:t>godine</w:t>
      </w:r>
      <w:proofErr w:type="gramEnd"/>
      <w:r w:rsidRPr="008D62D9">
        <w:rPr>
          <w:rStyle w:val="Emphasis"/>
        </w:rPr>
        <w:t xml:space="preserve"> (br. 29). </w:t>
      </w:r>
    </w:p>
    <w:p w:rsidR="008D62D9" w:rsidRPr="008D62D9" w:rsidRDefault="008D62D9" w:rsidP="008D62D9">
      <w:pPr>
        <w:shd w:val="clear" w:color="auto" w:fill="FFFFFF"/>
        <w:spacing w:before="343" w:after="343" w:line="240" w:lineRule="auto"/>
        <w:rPr>
          <w:rStyle w:val="Emphasis"/>
        </w:rPr>
      </w:pPr>
      <w:r w:rsidRPr="008D62D9">
        <w:rPr>
          <w:rStyle w:val="Emphasis"/>
        </w:rPr>
        <w:t xml:space="preserve">Ipak, mnogi se migranti i dalje suočavaju s poteškoćama i ostaju ranjivi </w:t>
      </w:r>
      <w:proofErr w:type="gramStart"/>
      <w:r w:rsidRPr="008D62D9">
        <w:rPr>
          <w:rStyle w:val="Emphasis"/>
        </w:rPr>
        <w:t>na</w:t>
      </w:r>
      <w:proofErr w:type="gramEnd"/>
      <w:r w:rsidRPr="008D62D9">
        <w:rPr>
          <w:rStyle w:val="Emphasis"/>
        </w:rPr>
        <w:t xml:space="preserve"> zlostavljanje. „Iako se situacija za migrante </w:t>
      </w:r>
      <w:proofErr w:type="gramStart"/>
      <w:r w:rsidRPr="008D62D9">
        <w:rPr>
          <w:rStyle w:val="Emphasis"/>
        </w:rPr>
        <w:t>na</w:t>
      </w:r>
      <w:proofErr w:type="gramEnd"/>
      <w:r w:rsidRPr="008D62D9">
        <w:rPr>
          <w:rStyle w:val="Emphasis"/>
        </w:rPr>
        <w:t xml:space="preserve"> Tajlandu na neki način popravila od posljednjeg izvještaja 2014. </w:t>
      </w:r>
      <w:proofErr w:type="gramStart"/>
      <w:r w:rsidRPr="008D62D9">
        <w:rPr>
          <w:rStyle w:val="Emphasis"/>
        </w:rPr>
        <w:t>godine</w:t>
      </w:r>
      <w:proofErr w:type="gramEnd"/>
      <w:r w:rsidRPr="008D62D9">
        <w:rPr>
          <w:rStyle w:val="Emphasis"/>
        </w:rPr>
        <w:t xml:space="preserve">, mnogi izazovi ostaju isti. Politički odgovori rizikuju da migranti ostanu ranjivi i nesigurni u svoj pravni status </w:t>
      </w:r>
      <w:proofErr w:type="gramStart"/>
      <w:r w:rsidRPr="008D62D9">
        <w:rPr>
          <w:rStyle w:val="Emphasis"/>
        </w:rPr>
        <w:t>na</w:t>
      </w:r>
      <w:proofErr w:type="gramEnd"/>
      <w:r w:rsidRPr="008D62D9">
        <w:rPr>
          <w:rStyle w:val="Emphasis"/>
        </w:rPr>
        <w:t xml:space="preserve"> Tajlandu, "rekao je urednik izvještaja Benjamin Harkins. </w:t>
      </w:r>
    </w:p>
    <w:p w:rsidR="008D62D9" w:rsidRPr="008D62D9" w:rsidRDefault="008D62D9" w:rsidP="008D62D9">
      <w:pPr>
        <w:shd w:val="clear" w:color="auto" w:fill="FFFFFF"/>
        <w:spacing w:before="343" w:after="343" w:line="240" w:lineRule="auto"/>
        <w:rPr>
          <w:rStyle w:val="Emphasis"/>
        </w:rPr>
      </w:pPr>
      <w:r w:rsidRPr="008D62D9">
        <w:rPr>
          <w:rStyle w:val="Emphasis"/>
        </w:rPr>
        <w:t xml:space="preserve">Tajland je donio progresivnu politiku koja migrantima garantuje pristup mnogim osnovnim uslugama bez obzira </w:t>
      </w:r>
      <w:proofErr w:type="gramStart"/>
      <w:r w:rsidRPr="008D62D9">
        <w:rPr>
          <w:rStyle w:val="Emphasis"/>
        </w:rPr>
        <w:t>na</w:t>
      </w:r>
      <w:proofErr w:type="gramEnd"/>
      <w:r w:rsidRPr="008D62D9">
        <w:rPr>
          <w:rStyle w:val="Emphasis"/>
        </w:rPr>
        <w:t xml:space="preserve"> pravni status, uključujući obrazovanje i zdravstvenu zaštitu. </w:t>
      </w:r>
      <w:proofErr w:type="gramStart"/>
      <w:r w:rsidRPr="008D62D9">
        <w:rPr>
          <w:rStyle w:val="Emphasis"/>
        </w:rPr>
        <w:t>Ali barijere i dalje koče njihovo korištenje ovih usluga u praksi.</w:t>
      </w:r>
      <w:proofErr w:type="gramEnd"/>
      <w:r w:rsidRPr="008D62D9">
        <w:rPr>
          <w:rStyle w:val="Emphasis"/>
        </w:rPr>
        <w:t> Samo 51 posto svih migranata koji ispunjavaju uvjete trenutno je upisano u programe zdravstvenog osiguranja, dok do 200 000 djece migranata ostaje van škole, napominje se u izvještaju.  </w:t>
      </w:r>
    </w:p>
    <w:p w:rsidR="008D62D9" w:rsidRPr="008D62D9" w:rsidRDefault="008D62D9" w:rsidP="008D62D9">
      <w:pPr>
        <w:shd w:val="clear" w:color="auto" w:fill="FFFFFF"/>
        <w:spacing w:before="343" w:after="343" w:line="240" w:lineRule="auto"/>
        <w:rPr>
          <w:rStyle w:val="Emphasis"/>
        </w:rPr>
      </w:pPr>
      <w:proofErr w:type="gramStart"/>
      <w:r w:rsidRPr="008D62D9">
        <w:rPr>
          <w:rStyle w:val="Emphasis"/>
        </w:rPr>
        <w:t>Svako poglavlje izvještaja daje preporuke za promjene politike i programa radi poboljšanja upravljanja migracijama.</w:t>
      </w:r>
      <w:proofErr w:type="gramEnd"/>
      <w:r w:rsidRPr="008D62D9">
        <w:rPr>
          <w:rStyle w:val="Emphasis"/>
        </w:rPr>
        <w:t> </w:t>
      </w:r>
      <w:proofErr w:type="gramStart"/>
      <w:r w:rsidRPr="008D62D9">
        <w:rPr>
          <w:rStyle w:val="Emphasis"/>
        </w:rPr>
        <w:t>„U skladu s mnogim ciljevima Globalnog dogovora o migracijama za 2018.</w:t>
      </w:r>
      <w:proofErr w:type="gramEnd"/>
      <w:r w:rsidRPr="008D62D9">
        <w:rPr>
          <w:rStyle w:val="Emphasis"/>
        </w:rPr>
        <w:t xml:space="preserve"> </w:t>
      </w:r>
      <w:proofErr w:type="gramStart"/>
      <w:r w:rsidRPr="008D62D9">
        <w:rPr>
          <w:rStyle w:val="Emphasis"/>
        </w:rPr>
        <w:t>godinu</w:t>
      </w:r>
      <w:proofErr w:type="gramEnd"/>
      <w:r w:rsidRPr="008D62D9">
        <w:rPr>
          <w:rStyle w:val="Emphasis"/>
        </w:rPr>
        <w:t>, koji je nedavno usvojila i odobrila vlada Tajlanda, izvještaj pruža ključne preporuke za sve dionike kako bi se osiguralo da migracija ostane dobro upravljana, sigurna, uredna i redovita“, rekla je šefica misije IOM Tajlanda Dana Graber Ladek.  </w:t>
      </w:r>
    </w:p>
    <w:p w:rsidR="008D62D9" w:rsidRPr="008D62D9" w:rsidRDefault="008D62D9" w:rsidP="008D62D9">
      <w:pPr>
        <w:shd w:val="clear" w:color="auto" w:fill="FFFFFF"/>
        <w:spacing w:before="343" w:after="343" w:line="240" w:lineRule="auto"/>
        <w:rPr>
          <w:rStyle w:val="Emphasis"/>
        </w:rPr>
      </w:pPr>
      <w:r w:rsidRPr="008D62D9">
        <w:rPr>
          <w:rStyle w:val="Emphasis"/>
        </w:rPr>
        <w:t xml:space="preserve">Stalna koordinatorica UN-a </w:t>
      </w:r>
      <w:proofErr w:type="gramStart"/>
      <w:r w:rsidRPr="008D62D9">
        <w:rPr>
          <w:rStyle w:val="Emphasis"/>
        </w:rPr>
        <w:t>na</w:t>
      </w:r>
      <w:proofErr w:type="gramEnd"/>
      <w:r w:rsidRPr="008D62D9">
        <w:rPr>
          <w:rStyle w:val="Emphasis"/>
        </w:rPr>
        <w:t xml:space="preserve"> Tajlandu Deirdre Boyd istakla je važan naglasak na partnerstvu u izvještaju, pri čemu su ulogu trebali imati vlada, privatni sektor, civilno društvo, sindikati, međunarodne organizacije i mediji. "Ujedinjene nacije posvećene su podršci Tajlandu u njegovim naporima da uspostave dugoročni, koherentni i upravljački okvir zasnovan </w:t>
      </w:r>
      <w:proofErr w:type="gramStart"/>
      <w:r w:rsidRPr="008D62D9">
        <w:rPr>
          <w:rStyle w:val="Emphasis"/>
        </w:rPr>
        <w:t>na</w:t>
      </w:r>
      <w:proofErr w:type="gramEnd"/>
      <w:r w:rsidRPr="008D62D9">
        <w:rPr>
          <w:rStyle w:val="Emphasis"/>
        </w:rPr>
        <w:t xml:space="preserve"> pravima koji maksimizira koristi od migracije i za migrante i za društvo u cjelini", izjavila je.    </w:t>
      </w:r>
    </w:p>
    <w:p w:rsidR="008D62D9" w:rsidRPr="008D62D9" w:rsidRDefault="008D62D9" w:rsidP="008D62D9">
      <w:pPr>
        <w:shd w:val="clear" w:color="auto" w:fill="FFFFFF"/>
        <w:spacing w:before="343" w:after="343" w:line="240" w:lineRule="auto"/>
        <w:rPr>
          <w:rStyle w:val="Emphasis"/>
        </w:rPr>
      </w:pPr>
      <w:r w:rsidRPr="008D62D9">
        <w:rPr>
          <w:rStyle w:val="Emphasis"/>
        </w:rPr>
        <w:t xml:space="preserve">Izvještaj o migraciji </w:t>
      </w:r>
      <w:proofErr w:type="gramStart"/>
      <w:r w:rsidRPr="008D62D9">
        <w:rPr>
          <w:rStyle w:val="Emphasis"/>
        </w:rPr>
        <w:t>na</w:t>
      </w:r>
      <w:proofErr w:type="gramEnd"/>
      <w:r w:rsidRPr="008D62D9">
        <w:rPr>
          <w:rStyle w:val="Emphasis"/>
        </w:rPr>
        <w:t xml:space="preserve"> Tajlandu 2019. </w:t>
      </w:r>
      <w:proofErr w:type="gramStart"/>
      <w:r w:rsidRPr="008D62D9">
        <w:rPr>
          <w:rStyle w:val="Emphasis"/>
        </w:rPr>
        <w:t>publikacija</w:t>
      </w:r>
      <w:proofErr w:type="gramEnd"/>
      <w:r w:rsidRPr="008D62D9">
        <w:rPr>
          <w:rStyle w:val="Emphasis"/>
        </w:rPr>
        <w:t xml:space="preserve"> je koju su zajednički proizveli članovi UN-ove radne grupe za migracije u Tajlandu. Tu se ubrajaju: FAO, IOM, ILO, OHCHR, UN-ACT, UNAIDS, UNCDF, UNDP, UNESCO, UNFPA, UNHCR, UNICEF, UNODC, UN Women, </w:t>
      </w:r>
      <w:proofErr w:type="gramStart"/>
      <w:r w:rsidRPr="008D62D9">
        <w:rPr>
          <w:rStyle w:val="Emphasis"/>
        </w:rPr>
        <w:t>banka</w:t>
      </w:r>
      <w:proofErr w:type="gramEnd"/>
      <w:r w:rsidRPr="008D62D9">
        <w:rPr>
          <w:rStyle w:val="Emphasis"/>
        </w:rPr>
        <w:t xml:space="preserve"> za zaštitu i WHO. </w:t>
      </w:r>
    </w:p>
    <w:p w:rsidR="004A487E" w:rsidRDefault="004A487E">
      <w:pPr>
        <w:rPr>
          <w:rFonts w:ascii="Century" w:hAnsi="Century" w:cs="Century"/>
          <w:b/>
          <w:iCs/>
          <w:sz w:val="24"/>
          <w:szCs w:val="24"/>
          <w:lang w:val="sr-Latn-RS"/>
        </w:rPr>
      </w:pPr>
    </w:p>
    <w:p w:rsidR="004A487E" w:rsidRDefault="00394263">
      <w:pPr>
        <w:pStyle w:val="Heading2"/>
        <w:rPr>
          <w:lang w:val="sr-Latn-RS"/>
        </w:rPr>
      </w:pPr>
      <w:bookmarkStart w:id="29" w:name="_Toc76470712"/>
      <w:r>
        <w:rPr>
          <w:lang w:val="sr-Latn-RS"/>
        </w:rPr>
        <w:t>Crna Gora</w:t>
      </w:r>
      <w:bookmarkEnd w:id="29"/>
    </w:p>
    <w:p w:rsidR="008D62D9" w:rsidRPr="008D62D9" w:rsidRDefault="008D62D9" w:rsidP="008D62D9">
      <w:pPr>
        <w:shd w:val="clear" w:color="auto" w:fill="FFFFFF"/>
        <w:spacing w:before="343" w:after="343" w:line="240" w:lineRule="auto"/>
        <w:rPr>
          <w:rStyle w:val="Emphasis"/>
        </w:rPr>
      </w:pPr>
      <w:proofErr w:type="gramStart"/>
      <w:r w:rsidRPr="008D62D9">
        <w:rPr>
          <w:rStyle w:val="Emphasis"/>
        </w:rPr>
        <w:t>Integracija u Evropsku uniju (EU) predstavlja prioritet za Vladu Crne Gore.</w:t>
      </w:r>
      <w:proofErr w:type="gramEnd"/>
      <w:r w:rsidRPr="008D62D9">
        <w:rPr>
          <w:rStyle w:val="Emphasis"/>
        </w:rPr>
        <w:t> </w:t>
      </w:r>
      <w:proofErr w:type="gramStart"/>
      <w:r w:rsidRPr="008D62D9">
        <w:rPr>
          <w:rStyle w:val="Emphasis"/>
        </w:rPr>
        <w:t>EU je Crnoj Gori dodijelila zvanični status zemlje kandidata 2010.</w:t>
      </w:r>
      <w:proofErr w:type="gramEnd"/>
      <w:r w:rsidRPr="008D62D9">
        <w:rPr>
          <w:rStyle w:val="Emphasis"/>
        </w:rPr>
        <w:t xml:space="preserve"> </w:t>
      </w:r>
      <w:proofErr w:type="gramStart"/>
      <w:r w:rsidRPr="008D62D9">
        <w:rPr>
          <w:rStyle w:val="Emphasis"/>
        </w:rPr>
        <w:t>Pored toga, izmijenjen je i vizni režim EU, omogućavajući crnogorskim građanima bezvizni pristup za svih 25 država članica Šengena unutar Unije, kao i tri države izvan Evropske unije.</w:t>
      </w:r>
      <w:proofErr w:type="gramEnd"/>
    </w:p>
    <w:p w:rsidR="008D62D9" w:rsidRPr="008D62D9" w:rsidRDefault="008D62D9" w:rsidP="008D62D9">
      <w:pPr>
        <w:shd w:val="clear" w:color="auto" w:fill="FFFFFF"/>
        <w:spacing w:before="343" w:after="343" w:line="240" w:lineRule="auto"/>
        <w:rPr>
          <w:rStyle w:val="Emphasis"/>
        </w:rPr>
      </w:pPr>
      <w:proofErr w:type="gramStart"/>
      <w:r w:rsidRPr="008D62D9">
        <w:rPr>
          <w:rStyle w:val="Emphasis"/>
        </w:rPr>
        <w:t>Vlasti razvijaju sveobuhvatan sistem za upravljanje migracijama, a Vlada Crne Gore usvojila je niz zakona, kao i strateške dokumente i odgovarajuće akcione planove.</w:t>
      </w:r>
      <w:proofErr w:type="gramEnd"/>
      <w:r w:rsidRPr="008D62D9">
        <w:rPr>
          <w:rStyle w:val="Emphasis"/>
        </w:rPr>
        <w:t> </w:t>
      </w:r>
      <w:proofErr w:type="gramStart"/>
      <w:r w:rsidRPr="008D62D9">
        <w:rPr>
          <w:rStyle w:val="Emphasis"/>
        </w:rPr>
        <w:t>Oni uključuju strategije za upravljanje migracijama i osiguravanje da ona doprinosi razvoju zemlje adresiranjem ponovljenih migracionih tokova, poboljšanjem zakonskog okvira za migraciju i stvaranjem odgovarajuće institucionalne strukture.</w:t>
      </w:r>
      <w:proofErr w:type="gramEnd"/>
    </w:p>
    <w:p w:rsidR="004A487E" w:rsidRDefault="004A487E">
      <w:pPr>
        <w:rPr>
          <w:rFonts w:ascii="Century" w:hAnsi="Century" w:cs="Century"/>
          <w:bCs/>
          <w:iCs/>
          <w:sz w:val="24"/>
          <w:szCs w:val="24"/>
          <w:lang w:val="sr-Latn-RS"/>
        </w:rPr>
      </w:pPr>
    </w:p>
    <w:p w:rsidR="00394263" w:rsidRDefault="00394263" w:rsidP="00394263">
      <w:pPr>
        <w:pStyle w:val="Heading2"/>
        <w:rPr>
          <w:lang w:val="sr-Latn-RS"/>
        </w:rPr>
      </w:pPr>
      <w:bookmarkStart w:id="30" w:name="_Toc76470713"/>
      <w:r>
        <w:rPr>
          <w:lang w:val="sr-Latn-RS"/>
        </w:rPr>
        <w:t>Bosna i Hercegovina</w:t>
      </w:r>
      <w:bookmarkEnd w:id="30"/>
    </w:p>
    <w:p w:rsidR="003E5A30" w:rsidRPr="003E5A30" w:rsidRDefault="003E5A30" w:rsidP="003E5A30">
      <w:pPr>
        <w:pStyle w:val="Footer"/>
        <w:rPr>
          <w:rStyle w:val="Emphasis"/>
          <w:sz w:val="22"/>
        </w:rPr>
      </w:pPr>
      <w:proofErr w:type="gramStart"/>
      <w:r w:rsidRPr="003E5A30">
        <w:rPr>
          <w:rStyle w:val="Emphasis"/>
          <w:sz w:val="22"/>
        </w:rPr>
        <w:t>Provedba Strategije u oblasti migracija i azila u Bosni i Hercegovini (BiH) je u toku i odvija se prema planu.</w:t>
      </w:r>
      <w:proofErr w:type="gramEnd"/>
      <w:r w:rsidRPr="003E5A30">
        <w:rPr>
          <w:rStyle w:val="Emphasis"/>
          <w:sz w:val="22"/>
        </w:rPr>
        <w:t xml:space="preserve"> IOM, Švicarska agencija za razvoj i saradnju (SDC) i Ministarstvo sigurnosti BiH, između ostalog, izvršavaju projekat za provedbu određenih dijelova Strategije i daljnju izgradnju kapaciteta Ministarstva sigurnosti za upravljanje migracijskim </w:t>
      </w:r>
      <w:proofErr w:type="gramStart"/>
      <w:r w:rsidRPr="003E5A30">
        <w:rPr>
          <w:rStyle w:val="Emphasis"/>
          <w:sz w:val="22"/>
        </w:rPr>
        <w:t>pitanjima .</w:t>
      </w:r>
      <w:proofErr w:type="gramEnd"/>
    </w:p>
    <w:p w:rsidR="003E5A30" w:rsidRPr="003E5A30" w:rsidRDefault="003E5A30" w:rsidP="003E5A30">
      <w:pPr>
        <w:pStyle w:val="Footer"/>
        <w:rPr>
          <w:rStyle w:val="Emphasis"/>
          <w:sz w:val="22"/>
        </w:rPr>
      </w:pPr>
      <w:r w:rsidRPr="003E5A30">
        <w:rPr>
          <w:rStyle w:val="Emphasis"/>
          <w:sz w:val="22"/>
        </w:rPr>
        <w:t xml:space="preserve">Bosna i Hercegovina dijeli migracijske nadležnosti između velikog broja agencija i iako kapaciteti postoje, postoji potreba za jačanjem i unapređenjem postojećih struktura kako bi se osiguralo da Ministarstvo sigurnosti može brzo i efikasno uspostaviti vezu </w:t>
      </w:r>
      <w:proofErr w:type="gramStart"/>
      <w:r w:rsidRPr="003E5A30">
        <w:rPr>
          <w:rStyle w:val="Emphasis"/>
          <w:sz w:val="22"/>
        </w:rPr>
        <w:t>sa</w:t>
      </w:r>
      <w:proofErr w:type="gramEnd"/>
      <w:r w:rsidRPr="003E5A30">
        <w:rPr>
          <w:rStyle w:val="Emphasis"/>
          <w:sz w:val="22"/>
        </w:rPr>
        <w:t xml:space="preserve"> EU i ostalim relevantnim dionicima.</w:t>
      </w:r>
    </w:p>
    <w:p w:rsidR="003E5A30" w:rsidRPr="003E5A30" w:rsidRDefault="003E5A30" w:rsidP="003E5A30">
      <w:pPr>
        <w:pStyle w:val="Footer"/>
        <w:rPr>
          <w:rStyle w:val="Emphasis"/>
          <w:sz w:val="22"/>
        </w:rPr>
      </w:pPr>
      <w:proofErr w:type="gramStart"/>
      <w:r w:rsidRPr="003E5A30">
        <w:rPr>
          <w:rStyle w:val="Emphasis"/>
          <w:sz w:val="22"/>
        </w:rPr>
        <w:t>Stoga postoji potreba za jačanjem mehanizama za prikupljanje, dijeljenje i analizu podataka i za povećanjem dijeljenja informacija.</w:t>
      </w:r>
      <w:proofErr w:type="gramEnd"/>
      <w:r w:rsidRPr="003E5A30">
        <w:rPr>
          <w:rStyle w:val="Emphasis"/>
          <w:sz w:val="22"/>
        </w:rPr>
        <w:t> Jačanje strukture koja će služiti kao referentna tačka EU-u i drugim relevantnim kolegama za postizanje bilo kakvih informacija koje se odnose na migracije u BiH, kao i pregled opće situacije u zemlji, ne samo da će poboljšati komunikaciju i efikasnost , ali i koherentnost upravljanja migracijama, osiguravajući da svi državni i nedržavni akteri u BiH mogu slijediti dosljedan dnevni red.</w:t>
      </w:r>
    </w:p>
    <w:p w:rsidR="003E5A30" w:rsidRPr="003E5A30" w:rsidRDefault="003E5A30" w:rsidP="003E5A30">
      <w:pPr>
        <w:rPr>
          <w:lang w:val="sr-Latn-RS"/>
        </w:rPr>
      </w:pPr>
    </w:p>
    <w:p w:rsidR="00394263" w:rsidRDefault="00394263" w:rsidP="00394263">
      <w:pPr>
        <w:pStyle w:val="Heading2"/>
        <w:rPr>
          <w:lang w:val="sr-Latn-RS"/>
        </w:rPr>
      </w:pPr>
      <w:bookmarkStart w:id="31" w:name="_Toc76470714"/>
      <w:r>
        <w:rPr>
          <w:lang w:val="sr-Latn-RS"/>
        </w:rPr>
        <w:t>Kosovo</w:t>
      </w:r>
      <w:bookmarkEnd w:id="31"/>
    </w:p>
    <w:p w:rsidR="003E5A30" w:rsidRPr="003E5A30" w:rsidRDefault="003E5A30" w:rsidP="003E5A30">
      <w:pPr>
        <w:rPr>
          <w:rStyle w:val="Emphasis"/>
          <w:lang w:val="sr-Latn-RS"/>
        </w:rPr>
      </w:pPr>
      <w:r w:rsidRPr="003E5A30">
        <w:rPr>
          <w:rStyle w:val="Emphasis"/>
        </w:rPr>
        <w:t xml:space="preserve">Strategija za Migraciju 2013-2018 adresira posvećenost Vlade Republike Kosovo za sprečavanje ilegalne migracije i jačanje regularne migracije, unapredivši i olakšavajuči legalnu migraciju I istovremeno da pretvori migraciju u pozitivan faktor ekonomskog razvoja i istovremeno je izrazio spremnost da se uključi u dijalog međunarodne saradnje i regionalne sa ciljem identifikovanja zajedničkih prioriteta i adrsiranju zajedničkih izazova u cilju jačanja </w:t>
      </w:r>
      <w:r w:rsidRPr="003E5A30">
        <w:rPr>
          <w:rStyle w:val="Emphasis"/>
        </w:rPr>
        <w:lastRenderedPageBreak/>
        <w:t xml:space="preserve">bilateralnog i regionalne menadžiranja migracijama. Preko Strategije i Plana Delovanja za Migraciju 2013-2018 cilja se upravljanje migracijama I ojačanje međuinstitucionalne, regionalne i medunarodne saradnje u glavnom cilju sprečavanja i borbu protiv trgovine </w:t>
      </w:r>
      <w:proofErr w:type="gramStart"/>
      <w:r w:rsidRPr="003E5A30">
        <w:rPr>
          <w:rStyle w:val="Emphasis"/>
        </w:rPr>
        <w:t>sa</w:t>
      </w:r>
      <w:proofErr w:type="gramEnd"/>
      <w:r w:rsidRPr="003E5A30">
        <w:rPr>
          <w:rStyle w:val="Emphasis"/>
        </w:rPr>
        <w:t xml:space="preserve"> migrantima. </w:t>
      </w:r>
      <w:proofErr w:type="gramStart"/>
      <w:r w:rsidRPr="003E5A30">
        <w:rPr>
          <w:rStyle w:val="Emphasis"/>
        </w:rPr>
        <w:t>Takođe strategija cilja, uključivanje u ovoj viziji i relevantne međunarodne organizacije i civilno društvo.</w:t>
      </w:r>
      <w:proofErr w:type="gramEnd"/>
      <w:r w:rsidRPr="003E5A30">
        <w:rPr>
          <w:rStyle w:val="Emphasis"/>
        </w:rPr>
        <w:t xml:space="preserve"> Ovaj strateški dokument je podeljen </w:t>
      </w:r>
      <w:proofErr w:type="gramStart"/>
      <w:r w:rsidRPr="003E5A30">
        <w:rPr>
          <w:rStyle w:val="Emphasis"/>
        </w:rPr>
        <w:t>na</w:t>
      </w:r>
      <w:proofErr w:type="gramEnd"/>
      <w:r w:rsidRPr="003E5A30">
        <w:rPr>
          <w:rStyle w:val="Emphasis"/>
        </w:rPr>
        <w:t xml:space="preserve"> dva dela: Strategije za Migracije i Plan Delovanja, koji sadrži ciljeve i aktivnosti koje se planiraju da se ispune u petogodišnjem periodu od 2013 do 2018. </w:t>
      </w:r>
      <w:proofErr w:type="gramStart"/>
      <w:r w:rsidRPr="003E5A30">
        <w:rPr>
          <w:rStyle w:val="Emphasis"/>
        </w:rPr>
        <w:t>Strateški i specifični ciljevi i aktivnosti su detaljno predstavljene u Planu Delovanja, koji uključuje i odgovorne institucije, budžet i konkretne indikatore i merljive.</w:t>
      </w:r>
      <w:proofErr w:type="gramEnd"/>
      <w:r w:rsidRPr="003E5A30">
        <w:rPr>
          <w:rStyle w:val="Emphasis"/>
        </w:rPr>
        <w:t xml:space="preserve"> Realizacija misije ove strategije </w:t>
      </w:r>
      <w:proofErr w:type="gramStart"/>
      <w:r w:rsidRPr="003E5A30">
        <w:rPr>
          <w:rStyle w:val="Emphasis"/>
        </w:rPr>
        <w:t>će</w:t>
      </w:r>
      <w:proofErr w:type="gramEnd"/>
      <w:r w:rsidRPr="003E5A30">
        <w:rPr>
          <w:rStyle w:val="Emphasis"/>
        </w:rPr>
        <w:t xml:space="preserve"> se ostvariti kroz realizaciju strateških ciljeva na sledeći način: -sprečavanje i suzbijanje neregularne migracije; -poboljšavanje menadžiranja legalne I kružne migracije; -transformacija i razvoj migracije u pozitivan ekonomski factor.</w:t>
      </w:r>
    </w:p>
    <w:p w:rsidR="00394263" w:rsidRDefault="00394263" w:rsidP="00394263">
      <w:pPr>
        <w:pStyle w:val="Heading2"/>
        <w:rPr>
          <w:lang w:val="sr-Latn-RS"/>
        </w:rPr>
      </w:pPr>
      <w:bookmarkStart w:id="32" w:name="_Toc76470715"/>
      <w:r>
        <w:rPr>
          <w:lang w:val="sr-Latn-RS"/>
        </w:rPr>
        <w:t>Peru</w:t>
      </w:r>
      <w:bookmarkEnd w:id="32"/>
    </w:p>
    <w:p w:rsidR="006D02E8" w:rsidRPr="006D02E8" w:rsidRDefault="006D02E8" w:rsidP="006D02E8">
      <w:pPr>
        <w:pStyle w:val="Footer"/>
        <w:rPr>
          <w:i/>
          <w:sz w:val="22"/>
        </w:rPr>
      </w:pPr>
      <w:r w:rsidRPr="006D02E8">
        <w:rPr>
          <w:i/>
          <w:sz w:val="22"/>
        </w:rPr>
        <w:t xml:space="preserve">Peru je država članica IOM-a Međunarodne organizacije za migracije (IOM) </w:t>
      </w:r>
      <w:proofErr w:type="gramStart"/>
      <w:r w:rsidRPr="006D02E8">
        <w:rPr>
          <w:i/>
          <w:sz w:val="22"/>
        </w:rPr>
        <w:t>od</w:t>
      </w:r>
      <w:proofErr w:type="gramEnd"/>
      <w:r w:rsidRPr="006D02E8">
        <w:rPr>
          <w:i/>
          <w:sz w:val="22"/>
        </w:rPr>
        <w:t xml:space="preserve"> 1966. </w:t>
      </w:r>
      <w:proofErr w:type="gramStart"/>
      <w:r w:rsidRPr="006D02E8">
        <w:rPr>
          <w:i/>
          <w:sz w:val="22"/>
        </w:rPr>
        <w:t>godine</w:t>
      </w:r>
      <w:proofErr w:type="gramEnd"/>
      <w:r w:rsidRPr="006D02E8">
        <w:rPr>
          <w:i/>
          <w:sz w:val="22"/>
        </w:rPr>
        <w:t>. Peruanska vlada formalno je prihvatila Ustav IOM-</w:t>
      </w:r>
      <w:proofErr w:type="gramStart"/>
      <w:r w:rsidRPr="006D02E8">
        <w:rPr>
          <w:i/>
          <w:sz w:val="22"/>
        </w:rPr>
        <w:t>a</w:t>
      </w:r>
      <w:proofErr w:type="gramEnd"/>
      <w:r w:rsidRPr="006D02E8">
        <w:rPr>
          <w:i/>
          <w:sz w:val="22"/>
        </w:rPr>
        <w:t xml:space="preserve"> Uredbom zakona br. 17559 od 1. </w:t>
      </w:r>
      <w:proofErr w:type="gramStart"/>
      <w:r w:rsidRPr="006D02E8">
        <w:rPr>
          <w:i/>
          <w:sz w:val="22"/>
        </w:rPr>
        <w:t>aprila</w:t>
      </w:r>
      <w:proofErr w:type="gramEnd"/>
      <w:r w:rsidRPr="006D02E8">
        <w:rPr>
          <w:i/>
          <w:sz w:val="22"/>
        </w:rPr>
        <w:t xml:space="preserve"> 1969.</w:t>
      </w:r>
    </w:p>
    <w:p w:rsidR="006D02E8" w:rsidRPr="006D02E8" w:rsidRDefault="006D02E8" w:rsidP="006D02E8">
      <w:pPr>
        <w:pStyle w:val="Footer"/>
        <w:rPr>
          <w:i/>
          <w:sz w:val="22"/>
        </w:rPr>
      </w:pPr>
      <w:proofErr w:type="gramStart"/>
      <w:r w:rsidRPr="006D02E8">
        <w:rPr>
          <w:i/>
          <w:sz w:val="22"/>
        </w:rPr>
        <w:t>Od</w:t>
      </w:r>
      <w:proofErr w:type="gramEnd"/>
      <w:r w:rsidRPr="006D02E8">
        <w:rPr>
          <w:i/>
          <w:sz w:val="22"/>
        </w:rPr>
        <w:t xml:space="preserve"> tada, IOM pruža tehničku pomoć i savjete peruanskoj vladi, drugim javnim entitetima i organizacijama civilnog društva o upravljanju migracijama, promociji ljudskih prava migranata, hitnom odgovoru na prirodne katastrofe, između ostalog.</w:t>
      </w:r>
    </w:p>
    <w:p w:rsidR="006D02E8" w:rsidRPr="006D02E8" w:rsidRDefault="006D02E8" w:rsidP="006D02E8">
      <w:pPr>
        <w:pStyle w:val="Footer"/>
        <w:rPr>
          <w:i/>
          <w:sz w:val="22"/>
        </w:rPr>
      </w:pPr>
      <w:r w:rsidRPr="006D02E8">
        <w:rPr>
          <w:b/>
          <w:bCs/>
          <w:i/>
          <w:sz w:val="22"/>
        </w:rPr>
        <w:t>Tematska područja</w:t>
      </w:r>
    </w:p>
    <w:p w:rsidR="006D02E8" w:rsidRPr="006D02E8" w:rsidRDefault="006D02E8" w:rsidP="006D02E8">
      <w:pPr>
        <w:pStyle w:val="Footer"/>
        <w:rPr>
          <w:i/>
          <w:sz w:val="22"/>
        </w:rPr>
      </w:pPr>
      <w:r w:rsidRPr="006D02E8">
        <w:rPr>
          <w:i/>
          <w:sz w:val="22"/>
        </w:rPr>
        <w:t>Migraciona politika, istraživanje i upravljanje granicama</w:t>
      </w:r>
    </w:p>
    <w:p w:rsidR="006D02E8" w:rsidRPr="006D02E8" w:rsidRDefault="006D02E8" w:rsidP="006D02E8">
      <w:pPr>
        <w:pStyle w:val="Footer"/>
        <w:rPr>
          <w:i/>
          <w:sz w:val="22"/>
        </w:rPr>
      </w:pPr>
      <w:r w:rsidRPr="006D02E8">
        <w:rPr>
          <w:i/>
          <w:sz w:val="22"/>
        </w:rPr>
        <w:t>Kontra - Trgovina</w:t>
      </w:r>
    </w:p>
    <w:p w:rsidR="006D02E8" w:rsidRPr="006D02E8" w:rsidRDefault="006D02E8" w:rsidP="006D02E8">
      <w:pPr>
        <w:pStyle w:val="Footer"/>
        <w:rPr>
          <w:i/>
          <w:sz w:val="22"/>
        </w:rPr>
      </w:pPr>
      <w:r w:rsidRPr="006D02E8">
        <w:rPr>
          <w:i/>
          <w:sz w:val="22"/>
        </w:rPr>
        <w:t>Radna migracija i humani razvoj</w:t>
      </w:r>
    </w:p>
    <w:p w:rsidR="006D02E8" w:rsidRPr="006D02E8" w:rsidRDefault="006D02E8" w:rsidP="006D02E8">
      <w:pPr>
        <w:pStyle w:val="Footer"/>
        <w:rPr>
          <w:i/>
          <w:sz w:val="22"/>
        </w:rPr>
      </w:pPr>
      <w:r w:rsidRPr="006D02E8">
        <w:rPr>
          <w:i/>
          <w:sz w:val="22"/>
        </w:rPr>
        <w:t>Vanredne situacije i ranjivo stanovništvo</w:t>
      </w:r>
    </w:p>
    <w:p w:rsidR="006D02E8" w:rsidRPr="006D02E8" w:rsidRDefault="006D02E8" w:rsidP="006D02E8">
      <w:pPr>
        <w:pStyle w:val="Footer"/>
        <w:rPr>
          <w:i/>
          <w:sz w:val="22"/>
        </w:rPr>
      </w:pPr>
      <w:r w:rsidRPr="006D02E8">
        <w:rPr>
          <w:i/>
          <w:sz w:val="22"/>
        </w:rPr>
        <w:t>Pomoć migrantima i operacije</w:t>
      </w:r>
    </w:p>
    <w:p w:rsidR="006D02E8" w:rsidRPr="006D02E8" w:rsidRDefault="006D02E8" w:rsidP="006D02E8">
      <w:pPr>
        <w:pStyle w:val="Footer"/>
        <w:rPr>
          <w:i/>
          <w:sz w:val="22"/>
        </w:rPr>
      </w:pPr>
      <w:r w:rsidRPr="006D02E8">
        <w:rPr>
          <w:i/>
          <w:sz w:val="22"/>
        </w:rPr>
        <w:t>Tehnička pomoć i nacionalni projekti razvoja</w:t>
      </w:r>
    </w:p>
    <w:p w:rsidR="003E5A30" w:rsidRPr="006D02E8" w:rsidRDefault="003E5A30" w:rsidP="006D02E8">
      <w:pPr>
        <w:pStyle w:val="Footer"/>
        <w:rPr>
          <w:i/>
          <w:sz w:val="22"/>
          <w:lang w:val="sr-Latn-RS"/>
        </w:rPr>
      </w:pPr>
    </w:p>
    <w:p w:rsidR="004A487E" w:rsidRDefault="004A487E">
      <w:pPr>
        <w:rPr>
          <w:rFonts w:ascii="Century" w:hAnsi="Century" w:cs="Century"/>
          <w:bCs/>
          <w:iCs/>
          <w:sz w:val="24"/>
          <w:szCs w:val="24"/>
          <w:lang w:val="sr-Latn-RS"/>
        </w:rPr>
      </w:pPr>
    </w:p>
    <w:p w:rsidR="004A487E" w:rsidRDefault="004A487E">
      <w:pPr>
        <w:rPr>
          <w:rFonts w:ascii="Century" w:hAnsi="Century" w:cs="Century"/>
          <w:bCs/>
          <w:sz w:val="24"/>
          <w:szCs w:val="24"/>
          <w:lang w:val="sr-Latn-RS"/>
        </w:rPr>
      </w:pPr>
    </w:p>
    <w:p w:rsidR="004A487E" w:rsidRDefault="004A487E">
      <w:pPr>
        <w:rPr>
          <w:rFonts w:ascii="Century" w:hAnsi="Century" w:cs="Century"/>
          <w:sz w:val="24"/>
          <w:szCs w:val="24"/>
          <w:lang w:val="sr-Latn-RS"/>
        </w:rPr>
      </w:pPr>
    </w:p>
    <w:p w:rsidR="004A487E" w:rsidRDefault="004A487E">
      <w:pPr>
        <w:rPr>
          <w:rFonts w:ascii="Century" w:hAnsi="Century" w:cs="Century"/>
          <w:sz w:val="24"/>
          <w:szCs w:val="24"/>
        </w:rPr>
      </w:pPr>
    </w:p>
    <w:p w:rsidR="004A487E" w:rsidRDefault="004A487E">
      <w:pPr>
        <w:rPr>
          <w:rFonts w:ascii="Century" w:hAnsi="Century" w:cs="Century"/>
          <w:sz w:val="24"/>
          <w:szCs w:val="24"/>
        </w:rPr>
      </w:pPr>
    </w:p>
    <w:p w:rsidR="004A487E" w:rsidRDefault="006640D5">
      <w:pPr>
        <w:pStyle w:val="Heading1"/>
        <w:jc w:val="center"/>
        <w:rPr>
          <w:rFonts w:ascii="Century" w:hAnsi="Century" w:cs="Century"/>
          <w:sz w:val="24"/>
          <w:szCs w:val="24"/>
          <w:lang w:val="sr-Latn-RS"/>
        </w:rPr>
      </w:pPr>
      <w:bookmarkStart w:id="33" w:name="_Toc6009"/>
      <w:bookmarkStart w:id="34" w:name="_Toc31098"/>
      <w:bookmarkStart w:id="35" w:name="_Toc13300"/>
      <w:bookmarkStart w:id="36" w:name="_Toc6461"/>
      <w:bookmarkStart w:id="37" w:name="_Toc24501"/>
      <w:bookmarkStart w:id="38" w:name="_Toc2710"/>
      <w:bookmarkStart w:id="39" w:name="_Toc76470716"/>
      <w:r>
        <w:rPr>
          <w:rFonts w:ascii="Century" w:hAnsi="Century" w:cs="Century"/>
          <w:lang w:val="sr-Latn-RS"/>
        </w:rPr>
        <w:lastRenderedPageBreak/>
        <w:t>Aktivnosti</w:t>
      </w:r>
      <w:bookmarkEnd w:id="33"/>
      <w:bookmarkEnd w:id="34"/>
      <w:bookmarkEnd w:id="35"/>
      <w:bookmarkEnd w:id="36"/>
      <w:bookmarkEnd w:id="37"/>
      <w:bookmarkEnd w:id="38"/>
      <w:bookmarkEnd w:id="39"/>
    </w:p>
    <w:p w:rsidR="006D02E8" w:rsidRDefault="006D02E8" w:rsidP="006D02E8">
      <w:pPr>
        <w:jc w:val="center"/>
        <w:rPr>
          <w:rFonts w:ascii="Century" w:hAnsi="Century" w:cs="Century"/>
          <w:sz w:val="21"/>
          <w:szCs w:val="21"/>
        </w:rPr>
      </w:pPr>
      <w:r>
        <w:rPr>
          <w:rFonts w:ascii="Century" w:hAnsi="Century" w:cs="Century"/>
          <w:sz w:val="28"/>
          <w:szCs w:val="28"/>
          <w:lang w:val="sr-Latn-RS"/>
        </w:rPr>
        <w:t xml:space="preserve">Ovaj dokument smo radile tako što smo organizovale sastanke u određeno vreme na fakultetu i preko </w:t>
      </w:r>
      <w:r>
        <w:rPr>
          <w:rFonts w:ascii="Century" w:hAnsi="Century" w:cs="Century"/>
          <w:sz w:val="28"/>
          <w:szCs w:val="28"/>
          <w:lang w:val="sr-Latn-BA"/>
        </w:rPr>
        <w:t>W</w:t>
      </w:r>
      <w:r>
        <w:rPr>
          <w:rFonts w:ascii="Century" w:hAnsi="Century" w:cs="Century"/>
          <w:sz w:val="28"/>
          <w:szCs w:val="28"/>
          <w:lang w:val="sr-Latn-RS"/>
        </w:rPr>
        <w:t>hatsApp grupe sa ostatkom tima.</w:t>
      </w:r>
      <w:r>
        <w:rPr>
          <w:rFonts w:ascii="Century" w:hAnsi="Century" w:cs="Century"/>
          <w:sz w:val="21"/>
          <w:szCs w:val="21"/>
        </w:rPr>
        <w:t xml:space="preserve"> </w:t>
      </w:r>
    </w:p>
    <w:p w:rsidR="004A487E" w:rsidRDefault="006D02E8" w:rsidP="006D02E8">
      <w:pPr>
        <w:jc w:val="center"/>
        <w:rPr>
          <w:rFonts w:ascii="Century" w:hAnsi="Century" w:cs="Century"/>
          <w:sz w:val="28"/>
          <w:szCs w:val="28"/>
          <w:lang w:val="sr-Latn-RS"/>
        </w:rPr>
      </w:pPr>
      <w:r>
        <w:rPr>
          <w:rFonts w:ascii="Century" w:hAnsi="Century" w:cs="Century"/>
          <w:noProof/>
          <w:sz w:val="28"/>
          <w:szCs w:val="28"/>
        </w:rPr>
        <w:drawing>
          <wp:inline distT="0" distB="0" distL="0" distR="0" wp14:anchorId="2890627D" wp14:editId="461F2D3A">
            <wp:extent cx="3763107" cy="318674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8e4d36-7158-45c5-b6f6-fd9265d0b463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001" cy="31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_GoBack"/>
      <w:bookmarkEnd w:id="40"/>
      <w:r>
        <w:rPr>
          <w:rFonts w:ascii="Century" w:hAnsi="Century" w:cs="Century"/>
          <w:noProof/>
          <w:sz w:val="28"/>
          <w:szCs w:val="28"/>
        </w:rPr>
        <w:drawing>
          <wp:inline distT="0" distB="0" distL="0" distR="0" wp14:anchorId="3516DF6A" wp14:editId="4985BB13">
            <wp:extent cx="3856892" cy="317958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d62a67-0bd3-4b02-a397-f3fc0a26fa04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90" cy="318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87E">
      <w:headerReference w:type="default" r:id="rId3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0D5" w:rsidRDefault="006640D5">
      <w:pPr>
        <w:spacing w:line="240" w:lineRule="auto"/>
      </w:pPr>
      <w:r>
        <w:separator/>
      </w:r>
    </w:p>
  </w:endnote>
  <w:endnote w:type="continuationSeparator" w:id="0">
    <w:p w:rsidR="006640D5" w:rsidRDefault="006640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87E" w:rsidRDefault="004A487E">
    <w:pPr>
      <w:pStyle w:val="Footer"/>
    </w:pPr>
  </w:p>
  <w:p w:rsidR="004A487E" w:rsidRDefault="006640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A487E" w:rsidRDefault="006640D5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D02E8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4A487E" w:rsidRDefault="006640D5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D02E8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0D5" w:rsidRDefault="006640D5">
      <w:pPr>
        <w:spacing w:after="0" w:line="240" w:lineRule="auto"/>
      </w:pPr>
      <w:r>
        <w:separator/>
      </w:r>
    </w:p>
  </w:footnote>
  <w:footnote w:type="continuationSeparator" w:id="0">
    <w:p w:rsidR="006640D5" w:rsidRDefault="00664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87E" w:rsidRDefault="006640D5">
    <w:pPr>
      <w:pStyle w:val="Header"/>
      <w:rPr>
        <w:sz w:val="28"/>
        <w:szCs w:val="28"/>
        <w:lang w:val="sr-Latn-RS"/>
      </w:rPr>
    </w:pPr>
    <w:r>
      <w:rPr>
        <w:lang w:val="sr-Latn-RS"/>
      </w:rPr>
      <w:t xml:space="preserve">                                                                          </w:t>
    </w:r>
    <w:r>
      <w:rPr>
        <w:sz w:val="28"/>
        <w:szCs w:val="28"/>
        <w:lang w:val="sr-Latn-RS"/>
      </w:rPr>
      <w:t xml:space="preserve"> EmpaApp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87E" w:rsidRDefault="006640D5">
    <w:pPr>
      <w:pStyle w:val="Header"/>
      <w:jc w:val="right"/>
      <w:rPr>
        <w:sz w:val="28"/>
        <w:szCs w:val="28"/>
        <w:lang w:val="sr-Latn-RS"/>
      </w:rPr>
    </w:pPr>
    <w:r>
      <w:rPr>
        <w:lang w:val="sr-Latn-RS"/>
      </w:rPr>
      <w:t xml:space="preserve">                                                                          </w:t>
    </w:r>
    <w:r>
      <w:rPr>
        <w:sz w:val="28"/>
        <w:szCs w:val="28"/>
        <w:lang w:val="sr-Latn-RS"/>
      </w:rPr>
      <w:t xml:space="preserve"> </w:t>
    </w:r>
    <w:r>
      <w:rPr>
        <w:sz w:val="28"/>
        <w:szCs w:val="28"/>
        <w:lang w:val="sr-Latn-RS"/>
      </w:rPr>
      <w:t>Mig</w:t>
    </w:r>
    <w:r>
      <w:rPr>
        <w:rFonts w:ascii="Century" w:hAnsi="Century" w:cs="Century"/>
        <w:sz w:val="28"/>
        <w:szCs w:val="28"/>
        <w:lang w:val="sr-Latn-RS"/>
      </w:rPr>
      <w:t>Ap</w:t>
    </w:r>
    <w:r>
      <w:rPr>
        <w:rFonts w:ascii="Century" w:hAnsi="Century" w:cs="Century"/>
        <w:sz w:val="28"/>
        <w:szCs w:val="28"/>
        <w:lang w:val="sr-Latn-RS"/>
      </w:rPr>
      <w:t>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87E" w:rsidRDefault="006640D5">
    <w:pPr>
      <w:pStyle w:val="Header"/>
      <w:jc w:val="right"/>
      <w:rPr>
        <w:sz w:val="28"/>
        <w:szCs w:val="28"/>
        <w:lang w:val="sr-Latn-RS"/>
      </w:rPr>
    </w:pPr>
    <w:r>
      <w:rPr>
        <w:sz w:val="28"/>
        <w:szCs w:val="28"/>
        <w:lang w:val="sr-Latn-RS"/>
      </w:rPr>
      <w:t>MigApp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A58FF"/>
    <w:multiLevelType w:val="multilevel"/>
    <w:tmpl w:val="0FA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194BCF"/>
    <w:multiLevelType w:val="multilevel"/>
    <w:tmpl w:val="F6D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A232D6"/>
    <w:multiLevelType w:val="multilevel"/>
    <w:tmpl w:val="1548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9714E"/>
    <w:rsid w:val="001B7E59"/>
    <w:rsid w:val="00394263"/>
    <w:rsid w:val="003E5A30"/>
    <w:rsid w:val="004A487E"/>
    <w:rsid w:val="006640D5"/>
    <w:rsid w:val="006D02E8"/>
    <w:rsid w:val="00871048"/>
    <w:rsid w:val="00881019"/>
    <w:rsid w:val="008D62D9"/>
    <w:rsid w:val="0BFD6A61"/>
    <w:rsid w:val="1A7F2E96"/>
    <w:rsid w:val="200363EA"/>
    <w:rsid w:val="2732252B"/>
    <w:rsid w:val="372C7FD7"/>
    <w:rsid w:val="47B9714E"/>
    <w:rsid w:val="71CF2475"/>
    <w:rsid w:val="736268F3"/>
    <w:rsid w:val="76B257C2"/>
    <w:rsid w:val="78EA36ED"/>
    <w:rsid w:val="7DD1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uiPriority w:val="99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350"/>
      </w:tabs>
      <w:spacing w:after="100"/>
      <w:ind w:left="220"/>
    </w:pPr>
    <w:rPr>
      <w:rFonts w:ascii="Times New Roman" w:eastAsia="Times New Roman" w:hAnsi="Times New Roman" w:cs="Times New Roman"/>
      <w:bCs/>
    </w:rPr>
  </w:style>
  <w:style w:type="paragraph" w:styleId="ListParagraph">
    <w:name w:val="List Paragraph"/>
    <w:basedOn w:val="Normal"/>
    <w:uiPriority w:val="34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EastAsia" w:hAnsiTheme="minorHAnsi" w:cstheme="minorBidi"/>
    </w:rPr>
  </w:style>
  <w:style w:type="paragraph" w:customStyle="1" w:styleId="WPSOffice1">
    <w:name w:val="WPSOffice手动目录 1"/>
  </w:style>
  <w:style w:type="paragraph" w:styleId="BalloonText">
    <w:name w:val="Balloon Text"/>
    <w:basedOn w:val="Normal"/>
    <w:link w:val="BalloonTextChar"/>
    <w:rsid w:val="00394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4263"/>
    <w:rPr>
      <w:rFonts w:ascii="Tahoma" w:eastAsiaTheme="minorHAnsi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94263"/>
    <w:rPr>
      <w:i/>
      <w:iCs/>
    </w:rPr>
  </w:style>
  <w:style w:type="character" w:styleId="Hyperlink">
    <w:name w:val="Hyperlink"/>
    <w:basedOn w:val="DefaultParagraphFont"/>
    <w:uiPriority w:val="99"/>
    <w:unhideWhenUsed/>
    <w:rsid w:val="008D62D9"/>
    <w:rPr>
      <w:color w:val="0000FF"/>
      <w:u w:val="single"/>
    </w:rPr>
  </w:style>
  <w:style w:type="character" w:customStyle="1" w:styleId="fieldset-legend">
    <w:name w:val="fieldset-legend"/>
    <w:basedOn w:val="DefaultParagraphFont"/>
    <w:rsid w:val="008D62D9"/>
  </w:style>
  <w:style w:type="character" w:customStyle="1" w:styleId="fieldset-legend-prefix">
    <w:name w:val="fieldset-legend-prefix"/>
    <w:basedOn w:val="DefaultParagraphFont"/>
    <w:rsid w:val="008D62D9"/>
  </w:style>
  <w:style w:type="character" w:styleId="Strong">
    <w:name w:val="Strong"/>
    <w:basedOn w:val="DefaultParagraphFont"/>
    <w:uiPriority w:val="22"/>
    <w:qFormat/>
    <w:rsid w:val="008D62D9"/>
    <w:rPr>
      <w:b/>
      <w:bCs/>
    </w:rPr>
  </w:style>
  <w:style w:type="paragraph" w:customStyle="1" w:styleId="rtejustify">
    <w:name w:val="rtejustify"/>
    <w:basedOn w:val="Normal"/>
    <w:rsid w:val="003E5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1048"/>
    <w:rPr>
      <w:rFonts w:eastAsia="Times New Roman"/>
      <w:b/>
      <w:bCs/>
      <w:sz w:val="36"/>
      <w:szCs w:val="36"/>
    </w:rPr>
  </w:style>
  <w:style w:type="character" w:customStyle="1" w:styleId="xref">
    <w:name w:val="xref"/>
    <w:basedOn w:val="DefaultParagraphFont"/>
    <w:rsid w:val="00871048"/>
  </w:style>
  <w:style w:type="paragraph" w:styleId="TOC1">
    <w:name w:val="toc 1"/>
    <w:basedOn w:val="Normal"/>
    <w:next w:val="Normal"/>
    <w:autoRedefine/>
    <w:uiPriority w:val="39"/>
    <w:rsid w:val="006D02E8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uiPriority w:val="99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350"/>
      </w:tabs>
      <w:spacing w:after="100"/>
      <w:ind w:left="220"/>
    </w:pPr>
    <w:rPr>
      <w:rFonts w:ascii="Times New Roman" w:eastAsia="Times New Roman" w:hAnsi="Times New Roman" w:cs="Times New Roman"/>
      <w:bCs/>
    </w:rPr>
  </w:style>
  <w:style w:type="paragraph" w:styleId="ListParagraph">
    <w:name w:val="List Paragraph"/>
    <w:basedOn w:val="Normal"/>
    <w:uiPriority w:val="34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EastAsia" w:hAnsiTheme="minorHAnsi" w:cstheme="minorBidi"/>
    </w:rPr>
  </w:style>
  <w:style w:type="paragraph" w:customStyle="1" w:styleId="WPSOffice1">
    <w:name w:val="WPSOffice手动目录 1"/>
  </w:style>
  <w:style w:type="paragraph" w:styleId="BalloonText">
    <w:name w:val="Balloon Text"/>
    <w:basedOn w:val="Normal"/>
    <w:link w:val="BalloonTextChar"/>
    <w:rsid w:val="00394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4263"/>
    <w:rPr>
      <w:rFonts w:ascii="Tahoma" w:eastAsiaTheme="minorHAnsi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94263"/>
    <w:rPr>
      <w:i/>
      <w:iCs/>
    </w:rPr>
  </w:style>
  <w:style w:type="character" w:styleId="Hyperlink">
    <w:name w:val="Hyperlink"/>
    <w:basedOn w:val="DefaultParagraphFont"/>
    <w:uiPriority w:val="99"/>
    <w:unhideWhenUsed/>
    <w:rsid w:val="008D62D9"/>
    <w:rPr>
      <w:color w:val="0000FF"/>
      <w:u w:val="single"/>
    </w:rPr>
  </w:style>
  <w:style w:type="character" w:customStyle="1" w:styleId="fieldset-legend">
    <w:name w:val="fieldset-legend"/>
    <w:basedOn w:val="DefaultParagraphFont"/>
    <w:rsid w:val="008D62D9"/>
  </w:style>
  <w:style w:type="character" w:customStyle="1" w:styleId="fieldset-legend-prefix">
    <w:name w:val="fieldset-legend-prefix"/>
    <w:basedOn w:val="DefaultParagraphFont"/>
    <w:rsid w:val="008D62D9"/>
  </w:style>
  <w:style w:type="character" w:styleId="Strong">
    <w:name w:val="Strong"/>
    <w:basedOn w:val="DefaultParagraphFont"/>
    <w:uiPriority w:val="22"/>
    <w:qFormat/>
    <w:rsid w:val="008D62D9"/>
    <w:rPr>
      <w:b/>
      <w:bCs/>
    </w:rPr>
  </w:style>
  <w:style w:type="paragraph" w:customStyle="1" w:styleId="rtejustify">
    <w:name w:val="rtejustify"/>
    <w:basedOn w:val="Normal"/>
    <w:rsid w:val="003E5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1048"/>
    <w:rPr>
      <w:rFonts w:eastAsia="Times New Roman"/>
      <w:b/>
      <w:bCs/>
      <w:sz w:val="36"/>
      <w:szCs w:val="36"/>
    </w:rPr>
  </w:style>
  <w:style w:type="character" w:customStyle="1" w:styleId="xref">
    <w:name w:val="xref"/>
    <w:basedOn w:val="DefaultParagraphFont"/>
    <w:rsid w:val="00871048"/>
  </w:style>
  <w:style w:type="paragraph" w:styleId="TOC1">
    <w:name w:val="toc 1"/>
    <w:basedOn w:val="Normal"/>
    <w:next w:val="Normal"/>
    <w:autoRedefine/>
    <w:uiPriority w:val="39"/>
    <w:rsid w:val="006D02E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80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gdev.org/cdi-methodology" TargetMode="External"/><Relationship Id="rId18" Type="http://schemas.openxmlformats.org/officeDocument/2006/relationships/hyperlink" Target="https://journal-njmr.org/articles/10.33134/njmr.251/" TargetMode="External"/><Relationship Id="rId26" Type="http://schemas.openxmlformats.org/officeDocument/2006/relationships/hyperlink" Target="https://journal-njmr.org/articles/10.33134/njmr.251/" TargetMode="External"/><Relationship Id="rId3" Type="http://schemas.openxmlformats.org/officeDocument/2006/relationships/styles" Target="styles.xml"/><Relationship Id="rId21" Type="http://schemas.openxmlformats.org/officeDocument/2006/relationships/hyperlink" Target="https://journal-njmr.org/articles/10.33134/njmr.251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cience.sciencemag.org/content/343/6178/1520.full" TargetMode="External"/><Relationship Id="rId17" Type="http://schemas.openxmlformats.org/officeDocument/2006/relationships/hyperlink" Target="https://journal-njmr.org/articles/10.33134/njmr.251/" TargetMode="External"/><Relationship Id="rId25" Type="http://schemas.openxmlformats.org/officeDocument/2006/relationships/hyperlink" Target="https://journal-njmr.org/articles/10.33134/njmr.251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ournal-njmr.org/articles/10.33134/njmr.251/" TargetMode="External"/><Relationship Id="rId20" Type="http://schemas.openxmlformats.org/officeDocument/2006/relationships/hyperlink" Target="https://journal-njmr.org/articles/10.33134/njmr.251/" TargetMode="External"/><Relationship Id="rId29" Type="http://schemas.openxmlformats.org/officeDocument/2006/relationships/image" Target="media/image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journal-njmr.org/articles/10.33134/njmr.251/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journal-njmr.org/articles/10.33134/njmr.251/" TargetMode="External"/><Relationship Id="rId23" Type="http://schemas.openxmlformats.org/officeDocument/2006/relationships/hyperlink" Target="https://journal-njmr.org/articles/10.33134/njmr.251/" TargetMode="External"/><Relationship Id="rId28" Type="http://schemas.openxmlformats.org/officeDocument/2006/relationships/hyperlink" Target="https://www.iom.int/sites/default/files/situation_reports/file/en_iom_yemen_migration_overview_q1.pdf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journal-njmr.org/articles/10.33134/njmr.251/" TargetMode="External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journal-njmr.org/articles/10.33134/njmr.251/" TargetMode="External"/><Relationship Id="rId22" Type="http://schemas.openxmlformats.org/officeDocument/2006/relationships/hyperlink" Target="https://journal-njmr.org/articles/10.33134/njmr.251/" TargetMode="External"/><Relationship Id="rId27" Type="http://schemas.openxmlformats.org/officeDocument/2006/relationships/hyperlink" Target="http://www.mipex.eu/methodology" TargetMode="External"/><Relationship Id="rId3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3491</Words>
  <Characters>19902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Computer</cp:lastModifiedBy>
  <cp:revision>2</cp:revision>
  <dcterms:created xsi:type="dcterms:W3CDTF">2021-07-06T11:34:00Z</dcterms:created>
  <dcterms:modified xsi:type="dcterms:W3CDTF">2021-07-06T11:34:00Z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