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4B44F" w14:textId="77777777" w:rsidR="0080524F" w:rsidRPr="00DB7B01" w:rsidRDefault="00000000">
      <w:pPr>
        <w:spacing w:before="1400"/>
        <w:jc w:val="center"/>
        <w:rPr>
          <w:color w:val="1F497D" w:themeColor="text2"/>
        </w:rPr>
      </w:pPr>
      <w:r w:rsidRPr="00DB7B01">
        <w:rPr>
          <w:b/>
          <w:color w:val="1F497D" w:themeColor="text2"/>
          <w:sz w:val="50"/>
        </w:rPr>
        <w:t>Biobank and Biospecimen Management System</w:t>
      </w:r>
    </w:p>
    <w:p w14:paraId="7D85E99A" w14:textId="2671D3FB" w:rsidR="0080524F" w:rsidRDefault="00000000">
      <w:pPr>
        <w:jc w:val="center"/>
      </w:pPr>
      <w:r>
        <w:rPr>
          <w:b/>
        </w:rPr>
        <w:t xml:space="preserve"> Written Report</w:t>
      </w:r>
      <w:r>
        <w:rPr>
          <w:b/>
        </w:rPr>
        <w:br/>
      </w:r>
      <w:r>
        <w:rPr>
          <w:b/>
        </w:rPr>
        <w:br/>
      </w:r>
      <w:r w:rsidRPr="00DB7B01">
        <w:rPr>
          <w:sz w:val="24"/>
          <w:szCs w:val="24"/>
        </w:rPr>
        <w:t xml:space="preserve">Student name: </w:t>
      </w:r>
      <w:r w:rsidR="00995AC8">
        <w:rPr>
          <w:sz w:val="24"/>
          <w:szCs w:val="24"/>
        </w:rPr>
        <w:t xml:space="preserve">Dalia salah </w:t>
      </w:r>
      <w:proofErr w:type="spellStart"/>
      <w:r w:rsidR="00995AC8">
        <w:rPr>
          <w:sz w:val="24"/>
          <w:szCs w:val="24"/>
        </w:rPr>
        <w:t>othman</w:t>
      </w:r>
      <w:proofErr w:type="spellEnd"/>
      <w:r w:rsidRPr="00DB7B01">
        <w:rPr>
          <w:sz w:val="24"/>
          <w:szCs w:val="24"/>
        </w:rPr>
        <w:br/>
      </w:r>
      <w:r w:rsidRPr="00DB7B01">
        <w:rPr>
          <w:sz w:val="24"/>
          <w:szCs w:val="24"/>
        </w:rPr>
        <w:br/>
        <w:t xml:space="preserve">Student ID: </w:t>
      </w:r>
      <w:r w:rsidR="00995AC8">
        <w:rPr>
          <w:sz w:val="24"/>
          <w:szCs w:val="24"/>
        </w:rPr>
        <w:t>221091944</w:t>
      </w:r>
      <w:r w:rsidRPr="00DB7B01">
        <w:rPr>
          <w:sz w:val="24"/>
          <w:szCs w:val="24"/>
        </w:rPr>
        <w:br/>
      </w:r>
      <w:r w:rsidRPr="00DB7B01">
        <w:rPr>
          <w:sz w:val="24"/>
          <w:szCs w:val="24"/>
        </w:rPr>
        <w:br/>
        <w:t>Selected topic: Biobank and Biospecimen Management System</w:t>
      </w:r>
      <w:r w:rsidRPr="00DB7B01">
        <w:rPr>
          <w:sz w:val="24"/>
          <w:szCs w:val="24"/>
        </w:rPr>
        <w:br/>
      </w:r>
      <w:r w:rsidRPr="00DB7B01">
        <w:rPr>
          <w:sz w:val="24"/>
          <w:szCs w:val="24"/>
        </w:rPr>
        <w:br/>
      </w:r>
    </w:p>
    <w:p w14:paraId="155FADE9" w14:textId="77777777" w:rsidR="0080524F" w:rsidRDefault="00000000">
      <w:r>
        <w:br w:type="page"/>
      </w:r>
    </w:p>
    <w:p w14:paraId="129F8BF4" w14:textId="77777777" w:rsidR="0080524F" w:rsidRPr="009145FA" w:rsidRDefault="00000000">
      <w:pPr>
        <w:pStyle w:val="Heading1"/>
        <w:rPr>
          <w:color w:val="1F497D" w:themeColor="text2"/>
        </w:rPr>
      </w:pPr>
      <w:r w:rsidRPr="009145FA">
        <w:rPr>
          <w:color w:val="1F497D" w:themeColor="text2"/>
        </w:rPr>
        <w:lastRenderedPageBreak/>
        <w:t>1. Problem Statement, Scope, Assumptions, and Business Rules</w:t>
      </w:r>
    </w:p>
    <w:p w14:paraId="0DC8CDFC"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Biobanks must manage biospecimens from donor consent through collection, aliquoting, storage, and research testing. The database must preserve donor privacy, prevent invalid references, record sample storage, and support researchers requesting aliquots. This project implements a MySQL database for a biobank and biospecimen management system using anonymized academic sample records.</w:t>
      </w:r>
    </w:p>
    <w:p w14:paraId="6B92F4D1" w14:textId="77777777" w:rsidR="0080524F" w:rsidRPr="009145FA" w:rsidRDefault="00000000">
      <w:pPr>
        <w:pStyle w:val="Heading2"/>
        <w:rPr>
          <w:color w:val="1F497D" w:themeColor="text2"/>
        </w:rPr>
      </w:pPr>
      <w:r w:rsidRPr="009145FA">
        <w:rPr>
          <w:color w:val="1F497D" w:themeColor="text2"/>
        </w:rPr>
        <w:t>Scope</w:t>
      </w:r>
    </w:p>
    <w:p w14:paraId="7FC6DF92"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The system stores donors, consent records, sample types, storage locations, biospecimens, aliquots, researchers, test requests, and request–aliquot assignments. It supports two analytical views, a trigger for aliquot depletion, and a stored procedure for donor history. No user interface is included; the base project is database-only.</w:t>
      </w:r>
    </w:p>
    <w:p w14:paraId="0B7BE8BE" w14:textId="77777777" w:rsidR="0080524F" w:rsidRPr="009145FA" w:rsidRDefault="00000000">
      <w:pPr>
        <w:pStyle w:val="Heading2"/>
        <w:rPr>
          <w:color w:val="1F497D" w:themeColor="text2"/>
        </w:rPr>
      </w:pPr>
      <w:r w:rsidRPr="009145FA">
        <w:rPr>
          <w:color w:val="1F497D" w:themeColor="text2"/>
        </w:rPr>
        <w:t>Assumptions and rules</w:t>
      </w:r>
    </w:p>
    <w:p w14:paraId="2B9C6883" w14:textId="77777777" w:rsidR="0080524F" w:rsidRPr="00F53EA4" w:rsidRDefault="00000000" w:rsidP="00F53EA4">
      <w:pPr>
        <w:pStyle w:val="ListParagraph"/>
        <w:numPr>
          <w:ilvl w:val="0"/>
          <w:numId w:val="10"/>
        </w:numPr>
        <w:rPr>
          <w:rFonts w:asciiTheme="majorBidi" w:hAnsiTheme="majorBidi" w:cstheme="majorBidi"/>
          <w:sz w:val="24"/>
          <w:szCs w:val="24"/>
        </w:rPr>
      </w:pPr>
      <w:r w:rsidRPr="00F53EA4">
        <w:rPr>
          <w:rFonts w:asciiTheme="majorBidi" w:hAnsiTheme="majorBidi" w:cstheme="majorBidi"/>
          <w:sz w:val="24"/>
          <w:szCs w:val="24"/>
        </w:rPr>
        <w:t>Each donor may have multiple consent records and biospecimens.</w:t>
      </w:r>
    </w:p>
    <w:p w14:paraId="2A6238DE" w14:textId="77777777" w:rsidR="0080524F" w:rsidRPr="00F53EA4" w:rsidRDefault="00000000" w:rsidP="00F53EA4">
      <w:pPr>
        <w:pStyle w:val="ListParagraph"/>
        <w:numPr>
          <w:ilvl w:val="0"/>
          <w:numId w:val="10"/>
        </w:numPr>
        <w:rPr>
          <w:rFonts w:asciiTheme="majorBidi" w:hAnsiTheme="majorBidi" w:cstheme="majorBidi"/>
          <w:sz w:val="24"/>
          <w:szCs w:val="24"/>
        </w:rPr>
      </w:pPr>
      <w:r w:rsidRPr="00F53EA4">
        <w:rPr>
          <w:rFonts w:asciiTheme="majorBidi" w:hAnsiTheme="majorBidi" w:cstheme="majorBidi"/>
          <w:sz w:val="24"/>
          <w:szCs w:val="24"/>
        </w:rPr>
        <w:t>Every biospecimen belongs to one donor and one sample type.</w:t>
      </w:r>
    </w:p>
    <w:p w14:paraId="152C56DF" w14:textId="77777777" w:rsidR="0080524F" w:rsidRPr="00F53EA4" w:rsidRDefault="00000000" w:rsidP="00F53EA4">
      <w:pPr>
        <w:pStyle w:val="ListParagraph"/>
        <w:numPr>
          <w:ilvl w:val="0"/>
          <w:numId w:val="10"/>
        </w:numPr>
        <w:rPr>
          <w:rFonts w:asciiTheme="majorBidi" w:hAnsiTheme="majorBidi" w:cstheme="majorBidi"/>
          <w:sz w:val="24"/>
          <w:szCs w:val="24"/>
        </w:rPr>
      </w:pPr>
      <w:r w:rsidRPr="00F53EA4">
        <w:rPr>
          <w:rFonts w:asciiTheme="majorBidi" w:hAnsiTheme="majorBidi" w:cstheme="majorBidi"/>
          <w:sz w:val="24"/>
          <w:szCs w:val="24"/>
        </w:rPr>
        <w:t>Every aliquot belongs to one biospecimen and one storage location.</w:t>
      </w:r>
    </w:p>
    <w:p w14:paraId="610D61A8" w14:textId="77777777" w:rsidR="0080524F" w:rsidRPr="00F53EA4" w:rsidRDefault="00000000" w:rsidP="00F53EA4">
      <w:pPr>
        <w:pStyle w:val="ListParagraph"/>
        <w:numPr>
          <w:ilvl w:val="0"/>
          <w:numId w:val="10"/>
        </w:numPr>
        <w:rPr>
          <w:rFonts w:asciiTheme="majorBidi" w:hAnsiTheme="majorBidi" w:cstheme="majorBidi"/>
          <w:sz w:val="24"/>
          <w:szCs w:val="24"/>
        </w:rPr>
      </w:pPr>
      <w:r w:rsidRPr="00F53EA4">
        <w:rPr>
          <w:rFonts w:asciiTheme="majorBidi" w:hAnsiTheme="majorBidi" w:cstheme="majorBidi"/>
          <w:sz w:val="24"/>
          <w:szCs w:val="24"/>
        </w:rPr>
        <w:t>A researcher may submit many test requests.</w:t>
      </w:r>
    </w:p>
    <w:p w14:paraId="59685028" w14:textId="77777777" w:rsidR="0080524F" w:rsidRPr="00F53EA4" w:rsidRDefault="00000000" w:rsidP="00F53EA4">
      <w:pPr>
        <w:pStyle w:val="ListParagraph"/>
        <w:numPr>
          <w:ilvl w:val="0"/>
          <w:numId w:val="10"/>
        </w:numPr>
        <w:rPr>
          <w:rFonts w:asciiTheme="majorBidi" w:hAnsiTheme="majorBidi" w:cstheme="majorBidi"/>
          <w:sz w:val="24"/>
          <w:szCs w:val="24"/>
        </w:rPr>
      </w:pPr>
      <w:r w:rsidRPr="00F53EA4">
        <w:rPr>
          <w:rFonts w:asciiTheme="majorBidi" w:hAnsiTheme="majorBidi" w:cstheme="majorBidi"/>
          <w:sz w:val="24"/>
          <w:szCs w:val="24"/>
        </w:rPr>
        <w:t xml:space="preserve">A test request may use many aliquots and an aliquot may be assigned to many requests; request_aliquots resolves this </w:t>
      </w:r>
      <w:proofErr w:type="gramStart"/>
      <w:r w:rsidRPr="00F53EA4">
        <w:rPr>
          <w:rFonts w:asciiTheme="majorBidi" w:hAnsiTheme="majorBidi" w:cstheme="majorBidi"/>
          <w:sz w:val="24"/>
          <w:szCs w:val="24"/>
        </w:rPr>
        <w:t>M:N</w:t>
      </w:r>
      <w:proofErr w:type="gramEnd"/>
      <w:r w:rsidRPr="00F53EA4">
        <w:rPr>
          <w:rFonts w:asciiTheme="majorBidi" w:hAnsiTheme="majorBidi" w:cstheme="majorBidi"/>
          <w:sz w:val="24"/>
          <w:szCs w:val="24"/>
        </w:rPr>
        <w:t xml:space="preserve"> relationship.</w:t>
      </w:r>
    </w:p>
    <w:p w14:paraId="11D7FE7A" w14:textId="77777777" w:rsidR="0080524F" w:rsidRPr="00F53EA4" w:rsidRDefault="00000000" w:rsidP="00F53EA4">
      <w:pPr>
        <w:pStyle w:val="ListParagraph"/>
        <w:numPr>
          <w:ilvl w:val="0"/>
          <w:numId w:val="10"/>
        </w:numPr>
        <w:rPr>
          <w:rFonts w:asciiTheme="majorBidi" w:hAnsiTheme="majorBidi" w:cstheme="majorBidi"/>
          <w:sz w:val="24"/>
          <w:szCs w:val="24"/>
        </w:rPr>
      </w:pPr>
      <w:r w:rsidRPr="00F53EA4">
        <w:rPr>
          <w:rFonts w:asciiTheme="majorBidi" w:hAnsiTheme="majorBidi" w:cstheme="majorBidi"/>
          <w:sz w:val="24"/>
          <w:szCs w:val="24"/>
        </w:rPr>
        <w:t>Donor and researcher emails and sample-type names are unique.</w:t>
      </w:r>
    </w:p>
    <w:p w14:paraId="264A5009" w14:textId="77777777" w:rsidR="0080524F" w:rsidRPr="00F53EA4" w:rsidRDefault="00000000" w:rsidP="00F53EA4">
      <w:pPr>
        <w:pStyle w:val="ListParagraph"/>
        <w:numPr>
          <w:ilvl w:val="0"/>
          <w:numId w:val="10"/>
        </w:numPr>
        <w:rPr>
          <w:rFonts w:asciiTheme="majorBidi" w:hAnsiTheme="majorBidi" w:cstheme="majorBidi"/>
          <w:sz w:val="24"/>
          <w:szCs w:val="24"/>
        </w:rPr>
      </w:pPr>
      <w:r w:rsidRPr="00F53EA4">
        <w:rPr>
          <w:rFonts w:asciiTheme="majorBidi" w:hAnsiTheme="majorBidi" w:cstheme="majorBidi"/>
          <w:sz w:val="24"/>
          <w:szCs w:val="24"/>
        </w:rPr>
        <w:t>When an aliquot volume becomes zero or negative during an update, it is normalized to zero and marked Used by the trigger.</w:t>
      </w:r>
    </w:p>
    <w:p w14:paraId="0BED2836" w14:textId="77777777" w:rsidR="0080524F" w:rsidRPr="00F53EA4" w:rsidRDefault="00000000" w:rsidP="00F53EA4">
      <w:pPr>
        <w:pStyle w:val="ListParagraph"/>
        <w:numPr>
          <w:ilvl w:val="0"/>
          <w:numId w:val="10"/>
        </w:numPr>
        <w:rPr>
          <w:rFonts w:asciiTheme="majorBidi" w:hAnsiTheme="majorBidi" w:cstheme="majorBidi"/>
          <w:sz w:val="24"/>
          <w:szCs w:val="24"/>
        </w:rPr>
      </w:pPr>
      <w:r w:rsidRPr="00F53EA4">
        <w:rPr>
          <w:rFonts w:asciiTheme="majorBidi" w:hAnsiTheme="majorBidi" w:cstheme="majorBidi"/>
          <w:sz w:val="24"/>
          <w:szCs w:val="24"/>
        </w:rPr>
        <w:t>Deleting a donor removes dependent consents and biospecimens; deleting a biospecimen removes dependent aliquots; request assignments are deleted with their request.</w:t>
      </w:r>
    </w:p>
    <w:p w14:paraId="242C6946" w14:textId="77777777" w:rsidR="0080524F" w:rsidRPr="009145FA" w:rsidRDefault="00000000">
      <w:pPr>
        <w:pStyle w:val="Heading1"/>
        <w:rPr>
          <w:color w:val="1F497D" w:themeColor="text2"/>
        </w:rPr>
      </w:pPr>
      <w:r w:rsidRPr="009145FA">
        <w:rPr>
          <w:color w:val="1F497D" w:themeColor="text2"/>
        </w:rPr>
        <w:t>2. Entities, Attributes, Identifiers, and Key Decisions</w:t>
      </w:r>
    </w:p>
    <w:tbl>
      <w:tblPr>
        <w:tblStyle w:val="TableGrid"/>
        <w:tblW w:w="0" w:type="auto"/>
        <w:jc w:val="center"/>
        <w:tblLook w:val="04A0" w:firstRow="1" w:lastRow="0" w:firstColumn="1" w:lastColumn="0" w:noHBand="0" w:noVBand="1"/>
      </w:tblPr>
      <w:tblGrid>
        <w:gridCol w:w="3408"/>
        <w:gridCol w:w="3408"/>
        <w:gridCol w:w="3408"/>
      </w:tblGrid>
      <w:tr w:rsidR="0080524F" w:rsidRPr="00F53EA4" w14:paraId="56EBD283" w14:textId="77777777" w:rsidTr="009145FA">
        <w:trPr>
          <w:jc w:val="center"/>
        </w:trPr>
        <w:tc>
          <w:tcPr>
            <w:tcW w:w="3408" w:type="dxa"/>
            <w:shd w:val="clear" w:color="auto" w:fill="1F497D" w:themeFill="text2"/>
            <w:vAlign w:val="center"/>
          </w:tcPr>
          <w:p w14:paraId="56CF6B1C" w14:textId="77777777" w:rsidR="0080524F" w:rsidRPr="00F53EA4" w:rsidRDefault="00000000">
            <w:pPr>
              <w:rPr>
                <w:rFonts w:asciiTheme="majorBidi" w:hAnsiTheme="majorBidi" w:cstheme="majorBidi"/>
                <w:sz w:val="24"/>
                <w:szCs w:val="24"/>
              </w:rPr>
            </w:pPr>
            <w:r w:rsidRPr="00F53EA4">
              <w:rPr>
                <w:rFonts w:asciiTheme="majorBidi" w:hAnsiTheme="majorBidi" w:cstheme="majorBidi"/>
                <w:b/>
                <w:color w:val="FFFFFF"/>
                <w:sz w:val="24"/>
                <w:szCs w:val="24"/>
              </w:rPr>
              <w:t>Entity</w:t>
            </w:r>
          </w:p>
        </w:tc>
        <w:tc>
          <w:tcPr>
            <w:tcW w:w="3408" w:type="dxa"/>
            <w:shd w:val="clear" w:color="auto" w:fill="1F497D" w:themeFill="text2"/>
            <w:vAlign w:val="center"/>
          </w:tcPr>
          <w:p w14:paraId="6E4CF25A" w14:textId="77777777" w:rsidR="0080524F" w:rsidRPr="00F53EA4" w:rsidRDefault="00000000">
            <w:pPr>
              <w:rPr>
                <w:rFonts w:asciiTheme="majorBidi" w:hAnsiTheme="majorBidi" w:cstheme="majorBidi"/>
                <w:sz w:val="24"/>
                <w:szCs w:val="24"/>
              </w:rPr>
            </w:pPr>
            <w:r w:rsidRPr="00F53EA4">
              <w:rPr>
                <w:rFonts w:asciiTheme="majorBidi" w:hAnsiTheme="majorBidi" w:cstheme="majorBidi"/>
                <w:b/>
                <w:color w:val="FFFFFF"/>
                <w:sz w:val="24"/>
                <w:szCs w:val="24"/>
              </w:rPr>
              <w:t>Key attributes</w:t>
            </w:r>
          </w:p>
        </w:tc>
        <w:tc>
          <w:tcPr>
            <w:tcW w:w="3408" w:type="dxa"/>
            <w:shd w:val="clear" w:color="auto" w:fill="1F497D" w:themeFill="text2"/>
            <w:vAlign w:val="center"/>
          </w:tcPr>
          <w:p w14:paraId="18FA5717" w14:textId="77777777" w:rsidR="0080524F" w:rsidRPr="00F53EA4" w:rsidRDefault="00000000">
            <w:pPr>
              <w:rPr>
                <w:rFonts w:asciiTheme="majorBidi" w:hAnsiTheme="majorBidi" w:cstheme="majorBidi"/>
                <w:sz w:val="24"/>
                <w:szCs w:val="24"/>
              </w:rPr>
            </w:pPr>
            <w:r w:rsidRPr="00F53EA4">
              <w:rPr>
                <w:rFonts w:asciiTheme="majorBidi" w:hAnsiTheme="majorBidi" w:cstheme="majorBidi"/>
                <w:b/>
                <w:color w:val="FFFFFF"/>
                <w:sz w:val="24"/>
                <w:szCs w:val="24"/>
              </w:rPr>
              <w:t>Key decision</w:t>
            </w:r>
          </w:p>
        </w:tc>
      </w:tr>
      <w:tr w:rsidR="0080524F" w:rsidRPr="00F53EA4" w14:paraId="0AC8FAAE" w14:textId="77777777">
        <w:trPr>
          <w:jc w:val="center"/>
        </w:trPr>
        <w:tc>
          <w:tcPr>
            <w:tcW w:w="3408" w:type="dxa"/>
            <w:vAlign w:val="center"/>
          </w:tcPr>
          <w:p w14:paraId="2FF7DE88"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donors</w:t>
            </w:r>
          </w:p>
        </w:tc>
        <w:tc>
          <w:tcPr>
            <w:tcW w:w="3408" w:type="dxa"/>
            <w:vAlign w:val="center"/>
          </w:tcPr>
          <w:p w14:paraId="5320D34F"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donor_id PK; first_name; last_name; gender; date_of_birth; blood_type; email UNIQUE; created_at</w:t>
            </w:r>
          </w:p>
        </w:tc>
        <w:tc>
          <w:tcPr>
            <w:tcW w:w="3408" w:type="dxa"/>
            <w:vAlign w:val="center"/>
          </w:tcPr>
          <w:p w14:paraId="2D57579D"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Email is required and unique; demographic fields use controlled ENUM values.</w:t>
            </w:r>
          </w:p>
        </w:tc>
      </w:tr>
      <w:tr w:rsidR="0080524F" w:rsidRPr="00F53EA4" w14:paraId="4DB39AAB" w14:textId="77777777">
        <w:trPr>
          <w:jc w:val="center"/>
        </w:trPr>
        <w:tc>
          <w:tcPr>
            <w:tcW w:w="3408" w:type="dxa"/>
            <w:vAlign w:val="center"/>
          </w:tcPr>
          <w:p w14:paraId="5B45941D"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consents</w:t>
            </w:r>
          </w:p>
        </w:tc>
        <w:tc>
          <w:tcPr>
            <w:tcW w:w="3408" w:type="dxa"/>
            <w:vAlign w:val="center"/>
          </w:tcPr>
          <w:p w14:paraId="17501180"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consent_id PK; donor_id FK; consent_type; status; signed_date</w:t>
            </w:r>
          </w:p>
        </w:tc>
        <w:tc>
          <w:tcPr>
            <w:tcW w:w="3408" w:type="dxa"/>
            <w:vAlign w:val="center"/>
          </w:tcPr>
          <w:p w14:paraId="75BC23BA"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Consent is separated from donor so consent history can be retained.</w:t>
            </w:r>
          </w:p>
        </w:tc>
      </w:tr>
      <w:tr w:rsidR="0080524F" w:rsidRPr="00F53EA4" w14:paraId="7959DF7A" w14:textId="77777777">
        <w:trPr>
          <w:jc w:val="center"/>
        </w:trPr>
        <w:tc>
          <w:tcPr>
            <w:tcW w:w="3408" w:type="dxa"/>
            <w:vAlign w:val="center"/>
          </w:tcPr>
          <w:p w14:paraId="7E4174F3"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sample_types</w:t>
            </w:r>
          </w:p>
        </w:tc>
        <w:tc>
          <w:tcPr>
            <w:tcW w:w="3408" w:type="dxa"/>
            <w:vAlign w:val="center"/>
          </w:tcPr>
          <w:p w14:paraId="30307E85"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sample_type_id PK; type_name UNIQUE; description; storage_temp_celsius</w:t>
            </w:r>
          </w:p>
        </w:tc>
        <w:tc>
          <w:tcPr>
            <w:tcW w:w="3408" w:type="dxa"/>
            <w:vAlign w:val="center"/>
          </w:tcPr>
          <w:p w14:paraId="4F72920D"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Lookup entity prevents repeated sample-type descriptions and temperatures.</w:t>
            </w:r>
          </w:p>
        </w:tc>
      </w:tr>
      <w:tr w:rsidR="0080524F" w:rsidRPr="00F53EA4" w14:paraId="750AF10F" w14:textId="77777777">
        <w:trPr>
          <w:jc w:val="center"/>
        </w:trPr>
        <w:tc>
          <w:tcPr>
            <w:tcW w:w="3408" w:type="dxa"/>
            <w:vAlign w:val="center"/>
          </w:tcPr>
          <w:p w14:paraId="07DF3499"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storage_locations</w:t>
            </w:r>
          </w:p>
        </w:tc>
        <w:tc>
          <w:tcPr>
            <w:tcW w:w="3408" w:type="dxa"/>
            <w:vAlign w:val="center"/>
          </w:tcPr>
          <w:p w14:paraId="18F18D01"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location_id PK; freezer_name; shelf_number; box_number; capacity</w:t>
            </w:r>
          </w:p>
        </w:tc>
        <w:tc>
          <w:tcPr>
            <w:tcW w:w="3408" w:type="dxa"/>
            <w:vAlign w:val="center"/>
          </w:tcPr>
          <w:p w14:paraId="05BB146B"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Represents physical storage coordinates and capacity.</w:t>
            </w:r>
          </w:p>
        </w:tc>
      </w:tr>
      <w:tr w:rsidR="0080524F" w:rsidRPr="00F53EA4" w14:paraId="3F749B04" w14:textId="77777777">
        <w:trPr>
          <w:jc w:val="center"/>
        </w:trPr>
        <w:tc>
          <w:tcPr>
            <w:tcW w:w="3408" w:type="dxa"/>
            <w:vAlign w:val="center"/>
          </w:tcPr>
          <w:p w14:paraId="3FCEC263"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biospecimens</w:t>
            </w:r>
          </w:p>
        </w:tc>
        <w:tc>
          <w:tcPr>
            <w:tcW w:w="3408" w:type="dxa"/>
            <w:vAlign w:val="center"/>
          </w:tcPr>
          <w:p w14:paraId="7A042634"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specimen_id PK; donor_id FK; sample_type_id FK; collection_date; initial_volume_ml; status</w:t>
            </w:r>
          </w:p>
        </w:tc>
        <w:tc>
          <w:tcPr>
            <w:tcW w:w="3408" w:type="dxa"/>
            <w:vAlign w:val="center"/>
          </w:tcPr>
          <w:p w14:paraId="0C3A9BB8"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Connects donor, sample type, collection event, and specimen lifecycle.</w:t>
            </w:r>
          </w:p>
        </w:tc>
      </w:tr>
      <w:tr w:rsidR="0080524F" w:rsidRPr="00F53EA4" w14:paraId="519904A2" w14:textId="77777777">
        <w:trPr>
          <w:jc w:val="center"/>
        </w:trPr>
        <w:tc>
          <w:tcPr>
            <w:tcW w:w="3408" w:type="dxa"/>
            <w:vAlign w:val="center"/>
          </w:tcPr>
          <w:p w14:paraId="776BB2A1"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aliquots</w:t>
            </w:r>
          </w:p>
        </w:tc>
        <w:tc>
          <w:tcPr>
            <w:tcW w:w="3408" w:type="dxa"/>
            <w:vAlign w:val="center"/>
          </w:tcPr>
          <w:p w14:paraId="79B0C3F2"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 xml:space="preserve">aliquot_id PK; specimen_id FK; </w:t>
            </w:r>
            <w:r w:rsidRPr="00F53EA4">
              <w:rPr>
                <w:rFonts w:asciiTheme="majorBidi" w:hAnsiTheme="majorBidi" w:cstheme="majorBidi"/>
                <w:sz w:val="24"/>
                <w:szCs w:val="24"/>
              </w:rPr>
              <w:lastRenderedPageBreak/>
              <w:t>location_id FK; volume_ul; concentration_ng_ul; status</w:t>
            </w:r>
          </w:p>
        </w:tc>
        <w:tc>
          <w:tcPr>
            <w:tcW w:w="3408" w:type="dxa"/>
            <w:vAlign w:val="center"/>
          </w:tcPr>
          <w:p w14:paraId="0D5A05B1"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lastRenderedPageBreak/>
              <w:t xml:space="preserve">Tracks portions of a specimen </w:t>
            </w:r>
            <w:r w:rsidRPr="00F53EA4">
              <w:rPr>
                <w:rFonts w:asciiTheme="majorBidi" w:hAnsiTheme="majorBidi" w:cstheme="majorBidi"/>
                <w:sz w:val="24"/>
                <w:szCs w:val="24"/>
              </w:rPr>
              <w:lastRenderedPageBreak/>
              <w:t>and their storage location.</w:t>
            </w:r>
          </w:p>
        </w:tc>
      </w:tr>
      <w:tr w:rsidR="0080524F" w:rsidRPr="00F53EA4" w14:paraId="167A0FDA" w14:textId="77777777">
        <w:trPr>
          <w:jc w:val="center"/>
        </w:trPr>
        <w:tc>
          <w:tcPr>
            <w:tcW w:w="3408" w:type="dxa"/>
            <w:vAlign w:val="center"/>
          </w:tcPr>
          <w:p w14:paraId="76539091"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lastRenderedPageBreak/>
              <w:t>researchers</w:t>
            </w:r>
          </w:p>
        </w:tc>
        <w:tc>
          <w:tcPr>
            <w:tcW w:w="3408" w:type="dxa"/>
            <w:vAlign w:val="center"/>
          </w:tcPr>
          <w:p w14:paraId="7EDE0315"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researcher_id PK; full_name; institution; email UNIQUE; phone</w:t>
            </w:r>
          </w:p>
        </w:tc>
        <w:tc>
          <w:tcPr>
            <w:tcW w:w="3408" w:type="dxa"/>
            <w:vAlign w:val="center"/>
          </w:tcPr>
          <w:p w14:paraId="262938F0"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Researcher email is unique and requests reference the researcher.</w:t>
            </w:r>
          </w:p>
        </w:tc>
      </w:tr>
      <w:tr w:rsidR="0080524F" w:rsidRPr="00F53EA4" w14:paraId="39D6F26E" w14:textId="77777777">
        <w:trPr>
          <w:jc w:val="center"/>
        </w:trPr>
        <w:tc>
          <w:tcPr>
            <w:tcW w:w="3408" w:type="dxa"/>
            <w:vAlign w:val="center"/>
          </w:tcPr>
          <w:p w14:paraId="63BEEEAB"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test_requests</w:t>
            </w:r>
          </w:p>
        </w:tc>
        <w:tc>
          <w:tcPr>
            <w:tcW w:w="3408" w:type="dxa"/>
            <w:vAlign w:val="center"/>
          </w:tcPr>
          <w:p w14:paraId="2ED6F31C"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request_id PK; researcher_id FK; request_date; status; purpose</w:t>
            </w:r>
          </w:p>
        </w:tc>
        <w:tc>
          <w:tcPr>
            <w:tcW w:w="3408" w:type="dxa"/>
            <w:vAlign w:val="center"/>
          </w:tcPr>
          <w:p w14:paraId="07393C9C"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Stores the research need and approval lifecycle.</w:t>
            </w:r>
          </w:p>
        </w:tc>
      </w:tr>
      <w:tr w:rsidR="0080524F" w:rsidRPr="00F53EA4" w14:paraId="45FDDDC2" w14:textId="77777777">
        <w:trPr>
          <w:jc w:val="center"/>
        </w:trPr>
        <w:tc>
          <w:tcPr>
            <w:tcW w:w="3408" w:type="dxa"/>
            <w:vAlign w:val="center"/>
          </w:tcPr>
          <w:p w14:paraId="061F43ED"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request_aliquots</w:t>
            </w:r>
          </w:p>
        </w:tc>
        <w:tc>
          <w:tcPr>
            <w:tcW w:w="3408" w:type="dxa"/>
            <w:vAlign w:val="center"/>
          </w:tcPr>
          <w:p w14:paraId="787D8607"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request_id + aliquot_id composite PK; assigned_date</w:t>
            </w:r>
          </w:p>
        </w:tc>
        <w:tc>
          <w:tcPr>
            <w:tcW w:w="3408" w:type="dxa"/>
            <w:vAlign w:val="center"/>
          </w:tcPr>
          <w:p w14:paraId="028BBDD2"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 xml:space="preserve">Associative table resolving the request–aliquot </w:t>
            </w:r>
            <w:proofErr w:type="gramStart"/>
            <w:r w:rsidRPr="00F53EA4">
              <w:rPr>
                <w:rFonts w:asciiTheme="majorBidi" w:hAnsiTheme="majorBidi" w:cstheme="majorBidi"/>
                <w:sz w:val="24"/>
                <w:szCs w:val="24"/>
              </w:rPr>
              <w:t>M:N</w:t>
            </w:r>
            <w:proofErr w:type="gramEnd"/>
            <w:r w:rsidRPr="00F53EA4">
              <w:rPr>
                <w:rFonts w:asciiTheme="majorBidi" w:hAnsiTheme="majorBidi" w:cstheme="majorBidi"/>
                <w:sz w:val="24"/>
                <w:szCs w:val="24"/>
              </w:rPr>
              <w:t xml:space="preserve"> relationship.</w:t>
            </w:r>
          </w:p>
        </w:tc>
      </w:tr>
    </w:tbl>
    <w:p w14:paraId="3731255C" w14:textId="77777777" w:rsidR="0080524F" w:rsidRDefault="0080524F"/>
    <w:p w14:paraId="737308A5" w14:textId="77777777" w:rsidR="0080524F" w:rsidRPr="009145FA" w:rsidRDefault="00000000">
      <w:pPr>
        <w:pStyle w:val="Heading1"/>
        <w:rPr>
          <w:color w:val="1F497D" w:themeColor="text2"/>
        </w:rPr>
      </w:pPr>
      <w:r w:rsidRPr="009145FA">
        <w:rPr>
          <w:color w:val="1F497D" w:themeColor="text2"/>
        </w:rPr>
        <w:t>3. ER Diagram, Cardinality Ratios, and Participation Constraints</w:t>
      </w:r>
    </w:p>
    <w:p w14:paraId="1F1F940F"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The supplied ERD is included below. It shows nine base tables, two views, the request_aliquots associative entity, and crow’s-foot relationship notation. The views shown are view_researcher_request_summary and view_available_aliquots_detail.</w:t>
      </w:r>
    </w:p>
    <w:p w14:paraId="197FCF81" w14:textId="77777777" w:rsidR="0080524F" w:rsidRDefault="00000000">
      <w:r>
        <w:rPr>
          <w:noProof/>
        </w:rPr>
        <w:lastRenderedPageBreak/>
        <w:drawing>
          <wp:inline distT="0" distB="0" distL="0" distR="0" wp14:anchorId="1CB7C101" wp14:editId="0D49F6C2">
            <wp:extent cx="6667500" cy="853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6"/>
                    <a:stretch>
                      <a:fillRect/>
                    </a:stretch>
                  </pic:blipFill>
                  <pic:spPr>
                    <a:xfrm>
                      <a:off x="0" y="0"/>
                      <a:ext cx="6684991" cy="8556789"/>
                    </a:xfrm>
                    <a:prstGeom prst="rect">
                      <a:avLst/>
                    </a:prstGeom>
                  </pic:spPr>
                </pic:pic>
              </a:graphicData>
            </a:graphic>
          </wp:inline>
        </w:drawing>
      </w:r>
    </w:p>
    <w:p w14:paraId="57484959" w14:textId="77777777" w:rsidR="0080524F" w:rsidRDefault="00000000">
      <w:pPr>
        <w:jc w:val="center"/>
      </w:pPr>
      <w:r>
        <w:rPr>
          <w:i/>
        </w:rPr>
        <w:t>Figure 1. Supplied BiobankDB ERD.</w:t>
      </w:r>
    </w:p>
    <w:tbl>
      <w:tblPr>
        <w:tblStyle w:val="TableGrid"/>
        <w:tblW w:w="0" w:type="auto"/>
        <w:jc w:val="center"/>
        <w:tblLook w:val="04A0" w:firstRow="1" w:lastRow="0" w:firstColumn="1" w:lastColumn="0" w:noHBand="0" w:noVBand="1"/>
      </w:tblPr>
      <w:tblGrid>
        <w:gridCol w:w="3408"/>
        <w:gridCol w:w="3408"/>
        <w:gridCol w:w="3408"/>
      </w:tblGrid>
      <w:tr w:rsidR="0080524F" w:rsidRPr="00F53EA4" w14:paraId="080A13BB" w14:textId="77777777" w:rsidTr="009145FA">
        <w:trPr>
          <w:jc w:val="center"/>
        </w:trPr>
        <w:tc>
          <w:tcPr>
            <w:tcW w:w="3408" w:type="dxa"/>
            <w:shd w:val="clear" w:color="auto" w:fill="1F497D" w:themeFill="text2"/>
            <w:vAlign w:val="center"/>
          </w:tcPr>
          <w:p w14:paraId="0B32D219" w14:textId="77777777" w:rsidR="0080524F" w:rsidRPr="00F53EA4" w:rsidRDefault="00000000">
            <w:pPr>
              <w:rPr>
                <w:rFonts w:asciiTheme="majorBidi" w:hAnsiTheme="majorBidi" w:cstheme="majorBidi"/>
                <w:sz w:val="24"/>
                <w:szCs w:val="24"/>
              </w:rPr>
            </w:pPr>
            <w:r w:rsidRPr="00F53EA4">
              <w:rPr>
                <w:rFonts w:asciiTheme="majorBidi" w:hAnsiTheme="majorBidi" w:cstheme="majorBidi"/>
                <w:b/>
                <w:color w:val="FFFFFF"/>
                <w:sz w:val="24"/>
                <w:szCs w:val="24"/>
              </w:rPr>
              <w:lastRenderedPageBreak/>
              <w:t>Relationship</w:t>
            </w:r>
          </w:p>
        </w:tc>
        <w:tc>
          <w:tcPr>
            <w:tcW w:w="3408" w:type="dxa"/>
            <w:shd w:val="clear" w:color="auto" w:fill="1F497D" w:themeFill="text2"/>
            <w:vAlign w:val="center"/>
          </w:tcPr>
          <w:p w14:paraId="37B2B8BD" w14:textId="77777777" w:rsidR="0080524F" w:rsidRPr="00F53EA4" w:rsidRDefault="00000000">
            <w:pPr>
              <w:rPr>
                <w:rFonts w:asciiTheme="majorBidi" w:hAnsiTheme="majorBidi" w:cstheme="majorBidi"/>
                <w:sz w:val="24"/>
                <w:szCs w:val="24"/>
              </w:rPr>
            </w:pPr>
            <w:r w:rsidRPr="00F53EA4">
              <w:rPr>
                <w:rFonts w:asciiTheme="majorBidi" w:hAnsiTheme="majorBidi" w:cstheme="majorBidi"/>
                <w:b/>
                <w:color w:val="FFFFFF"/>
                <w:sz w:val="24"/>
                <w:szCs w:val="24"/>
              </w:rPr>
              <w:t>Cardinality</w:t>
            </w:r>
          </w:p>
        </w:tc>
        <w:tc>
          <w:tcPr>
            <w:tcW w:w="3408" w:type="dxa"/>
            <w:shd w:val="clear" w:color="auto" w:fill="1F497D" w:themeFill="text2"/>
            <w:vAlign w:val="center"/>
          </w:tcPr>
          <w:p w14:paraId="5E65F237" w14:textId="77777777" w:rsidR="0080524F" w:rsidRPr="00F53EA4" w:rsidRDefault="00000000">
            <w:pPr>
              <w:rPr>
                <w:rFonts w:asciiTheme="majorBidi" w:hAnsiTheme="majorBidi" w:cstheme="majorBidi"/>
                <w:sz w:val="24"/>
                <w:szCs w:val="24"/>
              </w:rPr>
            </w:pPr>
            <w:r w:rsidRPr="00F53EA4">
              <w:rPr>
                <w:rFonts w:asciiTheme="majorBidi" w:hAnsiTheme="majorBidi" w:cstheme="majorBidi"/>
                <w:b/>
                <w:color w:val="FFFFFF"/>
                <w:sz w:val="24"/>
                <w:szCs w:val="24"/>
              </w:rPr>
              <w:t>Participation</w:t>
            </w:r>
          </w:p>
        </w:tc>
      </w:tr>
      <w:tr w:rsidR="0080524F" w:rsidRPr="00F53EA4" w14:paraId="3AA45A69" w14:textId="77777777">
        <w:trPr>
          <w:jc w:val="center"/>
        </w:trPr>
        <w:tc>
          <w:tcPr>
            <w:tcW w:w="3408" w:type="dxa"/>
            <w:vAlign w:val="center"/>
          </w:tcPr>
          <w:p w14:paraId="05A3A80E"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donors—consents</w:t>
            </w:r>
          </w:p>
        </w:tc>
        <w:tc>
          <w:tcPr>
            <w:tcW w:w="3408" w:type="dxa"/>
            <w:vAlign w:val="center"/>
          </w:tcPr>
          <w:p w14:paraId="7272E09F" w14:textId="77777777" w:rsidR="0080524F" w:rsidRPr="00F53EA4" w:rsidRDefault="00000000">
            <w:pPr>
              <w:rPr>
                <w:rFonts w:asciiTheme="majorBidi" w:hAnsiTheme="majorBidi" w:cstheme="majorBidi"/>
                <w:sz w:val="24"/>
                <w:szCs w:val="24"/>
              </w:rPr>
            </w:pPr>
            <w:proofErr w:type="gramStart"/>
            <w:r w:rsidRPr="00F53EA4">
              <w:rPr>
                <w:rFonts w:asciiTheme="majorBidi" w:hAnsiTheme="majorBidi" w:cstheme="majorBidi"/>
                <w:sz w:val="24"/>
                <w:szCs w:val="24"/>
              </w:rPr>
              <w:t>1:N</w:t>
            </w:r>
            <w:proofErr w:type="gramEnd"/>
          </w:p>
        </w:tc>
        <w:tc>
          <w:tcPr>
            <w:tcW w:w="3408" w:type="dxa"/>
            <w:vAlign w:val="center"/>
          </w:tcPr>
          <w:p w14:paraId="3C20352A"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Each consent must reference one donor because donor_id is NOT NULL; a donor may have zero or many consents.</w:t>
            </w:r>
          </w:p>
        </w:tc>
      </w:tr>
      <w:tr w:rsidR="0080524F" w:rsidRPr="00F53EA4" w14:paraId="433C7A8B" w14:textId="77777777">
        <w:trPr>
          <w:jc w:val="center"/>
        </w:trPr>
        <w:tc>
          <w:tcPr>
            <w:tcW w:w="3408" w:type="dxa"/>
            <w:vAlign w:val="center"/>
          </w:tcPr>
          <w:p w14:paraId="4E2D32EE"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donors—biospecimens</w:t>
            </w:r>
          </w:p>
        </w:tc>
        <w:tc>
          <w:tcPr>
            <w:tcW w:w="3408" w:type="dxa"/>
            <w:vAlign w:val="center"/>
          </w:tcPr>
          <w:p w14:paraId="3707A48F" w14:textId="77777777" w:rsidR="0080524F" w:rsidRPr="00F53EA4" w:rsidRDefault="00000000">
            <w:pPr>
              <w:rPr>
                <w:rFonts w:asciiTheme="majorBidi" w:hAnsiTheme="majorBidi" w:cstheme="majorBidi"/>
                <w:sz w:val="24"/>
                <w:szCs w:val="24"/>
              </w:rPr>
            </w:pPr>
            <w:proofErr w:type="gramStart"/>
            <w:r w:rsidRPr="00F53EA4">
              <w:rPr>
                <w:rFonts w:asciiTheme="majorBidi" w:hAnsiTheme="majorBidi" w:cstheme="majorBidi"/>
                <w:sz w:val="24"/>
                <w:szCs w:val="24"/>
              </w:rPr>
              <w:t>1:N</w:t>
            </w:r>
            <w:proofErr w:type="gramEnd"/>
          </w:p>
        </w:tc>
        <w:tc>
          <w:tcPr>
            <w:tcW w:w="3408" w:type="dxa"/>
            <w:vAlign w:val="center"/>
          </w:tcPr>
          <w:p w14:paraId="3B40E275"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Each biospecimen must reference one donor; a donor may have zero or many biospecimens.</w:t>
            </w:r>
          </w:p>
        </w:tc>
      </w:tr>
      <w:tr w:rsidR="0080524F" w:rsidRPr="00F53EA4" w14:paraId="32A920C4" w14:textId="77777777">
        <w:trPr>
          <w:jc w:val="center"/>
        </w:trPr>
        <w:tc>
          <w:tcPr>
            <w:tcW w:w="3408" w:type="dxa"/>
            <w:vAlign w:val="center"/>
          </w:tcPr>
          <w:p w14:paraId="023610C0"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sample_types—biospecimens</w:t>
            </w:r>
          </w:p>
        </w:tc>
        <w:tc>
          <w:tcPr>
            <w:tcW w:w="3408" w:type="dxa"/>
            <w:vAlign w:val="center"/>
          </w:tcPr>
          <w:p w14:paraId="6F2D3897" w14:textId="77777777" w:rsidR="0080524F" w:rsidRPr="00F53EA4" w:rsidRDefault="00000000">
            <w:pPr>
              <w:rPr>
                <w:rFonts w:asciiTheme="majorBidi" w:hAnsiTheme="majorBidi" w:cstheme="majorBidi"/>
                <w:sz w:val="24"/>
                <w:szCs w:val="24"/>
              </w:rPr>
            </w:pPr>
            <w:proofErr w:type="gramStart"/>
            <w:r w:rsidRPr="00F53EA4">
              <w:rPr>
                <w:rFonts w:asciiTheme="majorBidi" w:hAnsiTheme="majorBidi" w:cstheme="majorBidi"/>
                <w:sz w:val="24"/>
                <w:szCs w:val="24"/>
              </w:rPr>
              <w:t>1:N</w:t>
            </w:r>
            <w:proofErr w:type="gramEnd"/>
          </w:p>
        </w:tc>
        <w:tc>
          <w:tcPr>
            <w:tcW w:w="3408" w:type="dxa"/>
            <w:vAlign w:val="center"/>
          </w:tcPr>
          <w:p w14:paraId="34E0E475"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Each biospecimen must reference one sample type; a sample type may be used by zero or many biospecimens.</w:t>
            </w:r>
          </w:p>
        </w:tc>
      </w:tr>
      <w:tr w:rsidR="0080524F" w:rsidRPr="00F53EA4" w14:paraId="5364CA45" w14:textId="77777777">
        <w:trPr>
          <w:jc w:val="center"/>
        </w:trPr>
        <w:tc>
          <w:tcPr>
            <w:tcW w:w="3408" w:type="dxa"/>
            <w:vAlign w:val="center"/>
          </w:tcPr>
          <w:p w14:paraId="1D5AC4E4"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biospecimens—aliquots</w:t>
            </w:r>
          </w:p>
        </w:tc>
        <w:tc>
          <w:tcPr>
            <w:tcW w:w="3408" w:type="dxa"/>
            <w:vAlign w:val="center"/>
          </w:tcPr>
          <w:p w14:paraId="3E400F75" w14:textId="77777777" w:rsidR="0080524F" w:rsidRPr="00F53EA4" w:rsidRDefault="00000000">
            <w:pPr>
              <w:rPr>
                <w:rFonts w:asciiTheme="majorBidi" w:hAnsiTheme="majorBidi" w:cstheme="majorBidi"/>
                <w:sz w:val="24"/>
                <w:szCs w:val="24"/>
              </w:rPr>
            </w:pPr>
            <w:proofErr w:type="gramStart"/>
            <w:r w:rsidRPr="00F53EA4">
              <w:rPr>
                <w:rFonts w:asciiTheme="majorBidi" w:hAnsiTheme="majorBidi" w:cstheme="majorBidi"/>
                <w:sz w:val="24"/>
                <w:szCs w:val="24"/>
              </w:rPr>
              <w:t>1:N</w:t>
            </w:r>
            <w:proofErr w:type="gramEnd"/>
          </w:p>
        </w:tc>
        <w:tc>
          <w:tcPr>
            <w:tcW w:w="3408" w:type="dxa"/>
            <w:vAlign w:val="center"/>
          </w:tcPr>
          <w:p w14:paraId="3A9DD0EC"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Each aliquot must reference one specimen; a specimen may have zero or many aliquots.</w:t>
            </w:r>
          </w:p>
        </w:tc>
      </w:tr>
      <w:tr w:rsidR="0080524F" w:rsidRPr="00F53EA4" w14:paraId="3465ABFF" w14:textId="77777777">
        <w:trPr>
          <w:jc w:val="center"/>
        </w:trPr>
        <w:tc>
          <w:tcPr>
            <w:tcW w:w="3408" w:type="dxa"/>
            <w:vAlign w:val="center"/>
          </w:tcPr>
          <w:p w14:paraId="5CB09F6B"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storage_locations—aliquots</w:t>
            </w:r>
          </w:p>
        </w:tc>
        <w:tc>
          <w:tcPr>
            <w:tcW w:w="3408" w:type="dxa"/>
            <w:vAlign w:val="center"/>
          </w:tcPr>
          <w:p w14:paraId="7EE0AA5A" w14:textId="77777777" w:rsidR="0080524F" w:rsidRPr="00F53EA4" w:rsidRDefault="00000000">
            <w:pPr>
              <w:rPr>
                <w:rFonts w:asciiTheme="majorBidi" w:hAnsiTheme="majorBidi" w:cstheme="majorBidi"/>
                <w:sz w:val="24"/>
                <w:szCs w:val="24"/>
              </w:rPr>
            </w:pPr>
            <w:proofErr w:type="gramStart"/>
            <w:r w:rsidRPr="00F53EA4">
              <w:rPr>
                <w:rFonts w:asciiTheme="majorBidi" w:hAnsiTheme="majorBidi" w:cstheme="majorBidi"/>
                <w:sz w:val="24"/>
                <w:szCs w:val="24"/>
              </w:rPr>
              <w:t>1:N</w:t>
            </w:r>
            <w:proofErr w:type="gramEnd"/>
          </w:p>
        </w:tc>
        <w:tc>
          <w:tcPr>
            <w:tcW w:w="3408" w:type="dxa"/>
            <w:vAlign w:val="center"/>
          </w:tcPr>
          <w:p w14:paraId="0BF440C6"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Each aliquot must reference one location; a location may contain zero or many aliquots.</w:t>
            </w:r>
          </w:p>
        </w:tc>
      </w:tr>
      <w:tr w:rsidR="0080524F" w:rsidRPr="00F53EA4" w14:paraId="04FBA099" w14:textId="77777777">
        <w:trPr>
          <w:jc w:val="center"/>
        </w:trPr>
        <w:tc>
          <w:tcPr>
            <w:tcW w:w="3408" w:type="dxa"/>
            <w:vAlign w:val="center"/>
          </w:tcPr>
          <w:p w14:paraId="3B8414BA"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researchers—test_requests</w:t>
            </w:r>
          </w:p>
        </w:tc>
        <w:tc>
          <w:tcPr>
            <w:tcW w:w="3408" w:type="dxa"/>
            <w:vAlign w:val="center"/>
          </w:tcPr>
          <w:p w14:paraId="551BFB29" w14:textId="77777777" w:rsidR="0080524F" w:rsidRPr="00F53EA4" w:rsidRDefault="00000000">
            <w:pPr>
              <w:rPr>
                <w:rFonts w:asciiTheme="majorBidi" w:hAnsiTheme="majorBidi" w:cstheme="majorBidi"/>
                <w:sz w:val="24"/>
                <w:szCs w:val="24"/>
              </w:rPr>
            </w:pPr>
            <w:proofErr w:type="gramStart"/>
            <w:r w:rsidRPr="00F53EA4">
              <w:rPr>
                <w:rFonts w:asciiTheme="majorBidi" w:hAnsiTheme="majorBidi" w:cstheme="majorBidi"/>
                <w:sz w:val="24"/>
                <w:szCs w:val="24"/>
              </w:rPr>
              <w:t>1:N</w:t>
            </w:r>
            <w:proofErr w:type="gramEnd"/>
          </w:p>
        </w:tc>
        <w:tc>
          <w:tcPr>
            <w:tcW w:w="3408" w:type="dxa"/>
            <w:vAlign w:val="center"/>
          </w:tcPr>
          <w:p w14:paraId="2D7F3AB3"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Each request must reference one researcher; a researcher may submit zero or many requests.</w:t>
            </w:r>
          </w:p>
        </w:tc>
      </w:tr>
      <w:tr w:rsidR="0080524F" w:rsidRPr="00F53EA4" w14:paraId="209292DE" w14:textId="77777777">
        <w:trPr>
          <w:jc w:val="center"/>
        </w:trPr>
        <w:tc>
          <w:tcPr>
            <w:tcW w:w="3408" w:type="dxa"/>
            <w:vAlign w:val="center"/>
          </w:tcPr>
          <w:p w14:paraId="444CD091"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test_requests—request_aliquots</w:t>
            </w:r>
          </w:p>
        </w:tc>
        <w:tc>
          <w:tcPr>
            <w:tcW w:w="3408" w:type="dxa"/>
            <w:vAlign w:val="center"/>
          </w:tcPr>
          <w:p w14:paraId="51EA335A" w14:textId="77777777" w:rsidR="0080524F" w:rsidRPr="00F53EA4" w:rsidRDefault="00000000">
            <w:pPr>
              <w:rPr>
                <w:rFonts w:asciiTheme="majorBidi" w:hAnsiTheme="majorBidi" w:cstheme="majorBidi"/>
                <w:sz w:val="24"/>
                <w:szCs w:val="24"/>
              </w:rPr>
            </w:pPr>
            <w:proofErr w:type="gramStart"/>
            <w:r w:rsidRPr="00F53EA4">
              <w:rPr>
                <w:rFonts w:asciiTheme="majorBidi" w:hAnsiTheme="majorBidi" w:cstheme="majorBidi"/>
                <w:sz w:val="24"/>
                <w:szCs w:val="24"/>
              </w:rPr>
              <w:t>1:N</w:t>
            </w:r>
            <w:proofErr w:type="gramEnd"/>
          </w:p>
        </w:tc>
        <w:tc>
          <w:tcPr>
            <w:tcW w:w="3408" w:type="dxa"/>
            <w:vAlign w:val="center"/>
          </w:tcPr>
          <w:p w14:paraId="20C0D405"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Each assignment references one request; a request may have zero or many assigned aliquots.</w:t>
            </w:r>
          </w:p>
        </w:tc>
      </w:tr>
      <w:tr w:rsidR="0080524F" w:rsidRPr="00F53EA4" w14:paraId="43FC77B8" w14:textId="77777777">
        <w:trPr>
          <w:jc w:val="center"/>
        </w:trPr>
        <w:tc>
          <w:tcPr>
            <w:tcW w:w="3408" w:type="dxa"/>
            <w:vAlign w:val="center"/>
          </w:tcPr>
          <w:p w14:paraId="32191A54"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aliquots—request_aliquots</w:t>
            </w:r>
          </w:p>
        </w:tc>
        <w:tc>
          <w:tcPr>
            <w:tcW w:w="3408" w:type="dxa"/>
            <w:vAlign w:val="center"/>
          </w:tcPr>
          <w:p w14:paraId="0813CD87" w14:textId="77777777" w:rsidR="0080524F" w:rsidRPr="00F53EA4" w:rsidRDefault="00000000">
            <w:pPr>
              <w:rPr>
                <w:rFonts w:asciiTheme="majorBidi" w:hAnsiTheme="majorBidi" w:cstheme="majorBidi"/>
                <w:sz w:val="24"/>
                <w:szCs w:val="24"/>
              </w:rPr>
            </w:pPr>
            <w:proofErr w:type="gramStart"/>
            <w:r w:rsidRPr="00F53EA4">
              <w:rPr>
                <w:rFonts w:asciiTheme="majorBidi" w:hAnsiTheme="majorBidi" w:cstheme="majorBidi"/>
                <w:sz w:val="24"/>
                <w:szCs w:val="24"/>
              </w:rPr>
              <w:t>1:N</w:t>
            </w:r>
            <w:proofErr w:type="gramEnd"/>
          </w:p>
        </w:tc>
        <w:tc>
          <w:tcPr>
            <w:tcW w:w="3408" w:type="dxa"/>
            <w:vAlign w:val="center"/>
          </w:tcPr>
          <w:p w14:paraId="7AC072AE" w14:textId="77777777" w:rsidR="0080524F" w:rsidRPr="00F53EA4" w:rsidRDefault="00000000">
            <w:pPr>
              <w:rPr>
                <w:rFonts w:asciiTheme="majorBidi" w:hAnsiTheme="majorBidi" w:cstheme="majorBidi"/>
                <w:sz w:val="24"/>
                <w:szCs w:val="24"/>
              </w:rPr>
            </w:pPr>
            <w:r w:rsidRPr="00F53EA4">
              <w:rPr>
                <w:rFonts w:asciiTheme="majorBidi" w:hAnsiTheme="majorBidi" w:cstheme="majorBidi"/>
                <w:sz w:val="24"/>
                <w:szCs w:val="24"/>
              </w:rPr>
              <w:t xml:space="preserve">Each assignment references one aliquot; an aliquot may appear in zero or many request assignments. Together these implement </w:t>
            </w:r>
            <w:proofErr w:type="gramStart"/>
            <w:r w:rsidRPr="00F53EA4">
              <w:rPr>
                <w:rFonts w:asciiTheme="majorBidi" w:hAnsiTheme="majorBidi" w:cstheme="majorBidi"/>
                <w:sz w:val="24"/>
                <w:szCs w:val="24"/>
              </w:rPr>
              <w:t>M:N.</w:t>
            </w:r>
            <w:proofErr w:type="gramEnd"/>
          </w:p>
        </w:tc>
      </w:tr>
    </w:tbl>
    <w:p w14:paraId="4789A715" w14:textId="77777777" w:rsidR="0080524F" w:rsidRDefault="0080524F"/>
    <w:p w14:paraId="06DBB749" w14:textId="77777777" w:rsidR="0080524F" w:rsidRPr="009145FA" w:rsidRDefault="00000000">
      <w:pPr>
        <w:pStyle w:val="Heading1"/>
        <w:rPr>
          <w:color w:val="1F497D" w:themeColor="text2"/>
        </w:rPr>
      </w:pPr>
      <w:r w:rsidRPr="009145FA">
        <w:rPr>
          <w:color w:val="1F497D" w:themeColor="text2"/>
        </w:rPr>
        <w:t>4. Relational Schema and Constraints</w:t>
      </w:r>
    </w:p>
    <w:p w14:paraId="36131927"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The exact schema is defined in create_tables.sql. The design includes primary keys, foreign keys, UNIQUE constraints, ENUM domains, NOT NULL constraints, DEFAULT values, cascading actions, and performance indexes.</w:t>
      </w:r>
    </w:p>
    <w:tbl>
      <w:tblPr>
        <w:tblStyle w:val="TableGrid"/>
        <w:tblW w:w="0" w:type="auto"/>
        <w:jc w:val="center"/>
        <w:tblLook w:val="04A0" w:firstRow="1" w:lastRow="0" w:firstColumn="1" w:lastColumn="0" w:noHBand="0" w:noVBand="1"/>
      </w:tblPr>
      <w:tblGrid>
        <w:gridCol w:w="2534"/>
        <w:gridCol w:w="2529"/>
        <w:gridCol w:w="2534"/>
        <w:gridCol w:w="2843"/>
      </w:tblGrid>
      <w:tr w:rsidR="0080524F" w:rsidRPr="00EB35F6" w14:paraId="38FC8861" w14:textId="77777777" w:rsidTr="00F53EA4">
        <w:trPr>
          <w:jc w:val="center"/>
        </w:trPr>
        <w:tc>
          <w:tcPr>
            <w:tcW w:w="2556" w:type="dxa"/>
            <w:shd w:val="clear" w:color="auto" w:fill="1F497D" w:themeFill="text2"/>
            <w:vAlign w:val="center"/>
          </w:tcPr>
          <w:p w14:paraId="15B8B866" w14:textId="77777777" w:rsidR="0080524F" w:rsidRPr="00EB35F6" w:rsidRDefault="00000000">
            <w:pPr>
              <w:rPr>
                <w:rFonts w:asciiTheme="majorBidi" w:hAnsiTheme="majorBidi" w:cstheme="majorBidi"/>
                <w:sz w:val="24"/>
                <w:szCs w:val="24"/>
              </w:rPr>
            </w:pPr>
            <w:r w:rsidRPr="00EB35F6">
              <w:rPr>
                <w:rFonts w:asciiTheme="majorBidi" w:hAnsiTheme="majorBidi" w:cstheme="majorBidi"/>
                <w:b/>
                <w:color w:val="FFFFFF"/>
                <w:sz w:val="24"/>
                <w:szCs w:val="24"/>
              </w:rPr>
              <w:t>Table</w:t>
            </w:r>
          </w:p>
        </w:tc>
        <w:tc>
          <w:tcPr>
            <w:tcW w:w="2556" w:type="dxa"/>
            <w:shd w:val="clear" w:color="auto" w:fill="1F497D" w:themeFill="text2"/>
            <w:vAlign w:val="center"/>
          </w:tcPr>
          <w:p w14:paraId="6A86E29D" w14:textId="77777777" w:rsidR="0080524F" w:rsidRPr="00EB35F6" w:rsidRDefault="00000000">
            <w:pPr>
              <w:rPr>
                <w:rFonts w:asciiTheme="majorBidi" w:hAnsiTheme="majorBidi" w:cstheme="majorBidi"/>
                <w:sz w:val="24"/>
                <w:szCs w:val="24"/>
              </w:rPr>
            </w:pPr>
            <w:r w:rsidRPr="00EB35F6">
              <w:rPr>
                <w:rFonts w:asciiTheme="majorBidi" w:hAnsiTheme="majorBidi" w:cstheme="majorBidi"/>
                <w:b/>
                <w:color w:val="FFFFFF"/>
                <w:sz w:val="24"/>
                <w:szCs w:val="24"/>
              </w:rPr>
              <w:t>Primary key</w:t>
            </w:r>
          </w:p>
        </w:tc>
        <w:tc>
          <w:tcPr>
            <w:tcW w:w="2556" w:type="dxa"/>
            <w:shd w:val="clear" w:color="auto" w:fill="1F497D" w:themeFill="text2"/>
            <w:vAlign w:val="center"/>
          </w:tcPr>
          <w:p w14:paraId="53B09EC4" w14:textId="77777777" w:rsidR="0080524F" w:rsidRPr="00EB35F6" w:rsidRDefault="00000000">
            <w:pPr>
              <w:rPr>
                <w:rFonts w:asciiTheme="majorBidi" w:hAnsiTheme="majorBidi" w:cstheme="majorBidi"/>
                <w:sz w:val="24"/>
                <w:szCs w:val="24"/>
              </w:rPr>
            </w:pPr>
            <w:r w:rsidRPr="00EB35F6">
              <w:rPr>
                <w:rFonts w:asciiTheme="majorBidi" w:hAnsiTheme="majorBidi" w:cstheme="majorBidi"/>
                <w:b/>
                <w:color w:val="FFFFFF"/>
                <w:sz w:val="24"/>
                <w:szCs w:val="24"/>
              </w:rPr>
              <w:t>Foreign keys</w:t>
            </w:r>
          </w:p>
        </w:tc>
        <w:tc>
          <w:tcPr>
            <w:tcW w:w="2556" w:type="dxa"/>
            <w:shd w:val="clear" w:color="auto" w:fill="1F497D" w:themeFill="text2"/>
            <w:vAlign w:val="center"/>
          </w:tcPr>
          <w:p w14:paraId="39C7971A" w14:textId="77777777" w:rsidR="0080524F" w:rsidRPr="00EB35F6" w:rsidRDefault="00000000">
            <w:pPr>
              <w:rPr>
                <w:rFonts w:asciiTheme="majorBidi" w:hAnsiTheme="majorBidi" w:cstheme="majorBidi"/>
                <w:sz w:val="24"/>
                <w:szCs w:val="24"/>
              </w:rPr>
            </w:pPr>
            <w:r w:rsidRPr="00EB35F6">
              <w:rPr>
                <w:rFonts w:asciiTheme="majorBidi" w:hAnsiTheme="majorBidi" w:cstheme="majorBidi"/>
                <w:b/>
                <w:color w:val="FFFFFF"/>
                <w:sz w:val="24"/>
                <w:szCs w:val="24"/>
              </w:rPr>
              <w:t>Unique / other constraints</w:t>
            </w:r>
          </w:p>
        </w:tc>
      </w:tr>
      <w:tr w:rsidR="0080524F" w:rsidRPr="00EB35F6" w14:paraId="6FA9EFF2" w14:textId="77777777">
        <w:trPr>
          <w:jc w:val="center"/>
        </w:trPr>
        <w:tc>
          <w:tcPr>
            <w:tcW w:w="2556" w:type="dxa"/>
            <w:vAlign w:val="center"/>
          </w:tcPr>
          <w:p w14:paraId="4B08B31A"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donors</w:t>
            </w:r>
          </w:p>
        </w:tc>
        <w:tc>
          <w:tcPr>
            <w:tcW w:w="2556" w:type="dxa"/>
            <w:vAlign w:val="center"/>
          </w:tcPr>
          <w:p w14:paraId="27CBB953"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donor_id</w:t>
            </w:r>
          </w:p>
        </w:tc>
        <w:tc>
          <w:tcPr>
            <w:tcW w:w="2556" w:type="dxa"/>
            <w:vAlign w:val="center"/>
          </w:tcPr>
          <w:p w14:paraId="4D916690"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None</w:t>
            </w:r>
          </w:p>
        </w:tc>
        <w:tc>
          <w:tcPr>
            <w:tcW w:w="2556" w:type="dxa"/>
            <w:vAlign w:val="center"/>
          </w:tcPr>
          <w:p w14:paraId="5E18921B"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email UNIQUE NOT NULL; ENUM gender and blood_type; created_at DEFAULT CURRENT_TIMESTAMP</w:t>
            </w:r>
          </w:p>
        </w:tc>
      </w:tr>
      <w:tr w:rsidR="0080524F" w:rsidRPr="00EB35F6" w14:paraId="3AB265B7" w14:textId="77777777">
        <w:trPr>
          <w:jc w:val="center"/>
        </w:trPr>
        <w:tc>
          <w:tcPr>
            <w:tcW w:w="2556" w:type="dxa"/>
            <w:vAlign w:val="center"/>
          </w:tcPr>
          <w:p w14:paraId="65670475"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consents</w:t>
            </w:r>
          </w:p>
        </w:tc>
        <w:tc>
          <w:tcPr>
            <w:tcW w:w="2556" w:type="dxa"/>
            <w:vAlign w:val="center"/>
          </w:tcPr>
          <w:p w14:paraId="3C22EBEC"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consent_id</w:t>
            </w:r>
          </w:p>
        </w:tc>
        <w:tc>
          <w:tcPr>
            <w:tcW w:w="2556" w:type="dxa"/>
            <w:vAlign w:val="center"/>
          </w:tcPr>
          <w:p w14:paraId="22C19A66"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donor_id → donors CASCADE</w:t>
            </w:r>
          </w:p>
        </w:tc>
        <w:tc>
          <w:tcPr>
            <w:tcW w:w="2556" w:type="dxa"/>
            <w:vAlign w:val="center"/>
          </w:tcPr>
          <w:p w14:paraId="784CF07A"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status ENUM DEFAULT Active; required consent_type and signed_date</w:t>
            </w:r>
          </w:p>
        </w:tc>
      </w:tr>
      <w:tr w:rsidR="0080524F" w:rsidRPr="00EB35F6" w14:paraId="39E8578B" w14:textId="77777777">
        <w:trPr>
          <w:jc w:val="center"/>
        </w:trPr>
        <w:tc>
          <w:tcPr>
            <w:tcW w:w="2556" w:type="dxa"/>
            <w:vAlign w:val="center"/>
          </w:tcPr>
          <w:p w14:paraId="68F4FECF"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lastRenderedPageBreak/>
              <w:t>sample_types</w:t>
            </w:r>
          </w:p>
        </w:tc>
        <w:tc>
          <w:tcPr>
            <w:tcW w:w="2556" w:type="dxa"/>
            <w:vAlign w:val="center"/>
          </w:tcPr>
          <w:p w14:paraId="19E04988"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sample_type_id</w:t>
            </w:r>
          </w:p>
        </w:tc>
        <w:tc>
          <w:tcPr>
            <w:tcW w:w="2556" w:type="dxa"/>
            <w:vAlign w:val="center"/>
          </w:tcPr>
          <w:p w14:paraId="4C71A353"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None</w:t>
            </w:r>
          </w:p>
        </w:tc>
        <w:tc>
          <w:tcPr>
            <w:tcW w:w="2556" w:type="dxa"/>
            <w:vAlign w:val="center"/>
          </w:tcPr>
          <w:p w14:paraId="3E93747B"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type_name UNIQUE NOT NULL; storage temperature NOT NULL</w:t>
            </w:r>
          </w:p>
        </w:tc>
      </w:tr>
      <w:tr w:rsidR="0080524F" w:rsidRPr="00EB35F6" w14:paraId="4275A742" w14:textId="77777777">
        <w:trPr>
          <w:jc w:val="center"/>
        </w:trPr>
        <w:tc>
          <w:tcPr>
            <w:tcW w:w="2556" w:type="dxa"/>
            <w:vAlign w:val="center"/>
          </w:tcPr>
          <w:p w14:paraId="21734691"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storage_locations</w:t>
            </w:r>
          </w:p>
        </w:tc>
        <w:tc>
          <w:tcPr>
            <w:tcW w:w="2556" w:type="dxa"/>
            <w:vAlign w:val="center"/>
          </w:tcPr>
          <w:p w14:paraId="5E66DEB3"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location_id</w:t>
            </w:r>
          </w:p>
        </w:tc>
        <w:tc>
          <w:tcPr>
            <w:tcW w:w="2556" w:type="dxa"/>
            <w:vAlign w:val="center"/>
          </w:tcPr>
          <w:p w14:paraId="2B7A5172"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None</w:t>
            </w:r>
          </w:p>
        </w:tc>
        <w:tc>
          <w:tcPr>
            <w:tcW w:w="2556" w:type="dxa"/>
            <w:vAlign w:val="center"/>
          </w:tcPr>
          <w:p w14:paraId="0E9342C8"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freezer, shelf, box required; capacity DEFAULT 100</w:t>
            </w:r>
          </w:p>
        </w:tc>
      </w:tr>
      <w:tr w:rsidR="0080524F" w:rsidRPr="00EB35F6" w14:paraId="156485F4" w14:textId="77777777">
        <w:trPr>
          <w:jc w:val="center"/>
        </w:trPr>
        <w:tc>
          <w:tcPr>
            <w:tcW w:w="2556" w:type="dxa"/>
            <w:vAlign w:val="center"/>
          </w:tcPr>
          <w:p w14:paraId="369E5616"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biospecimens</w:t>
            </w:r>
          </w:p>
        </w:tc>
        <w:tc>
          <w:tcPr>
            <w:tcW w:w="2556" w:type="dxa"/>
            <w:vAlign w:val="center"/>
          </w:tcPr>
          <w:p w14:paraId="73594BED"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specimen_id</w:t>
            </w:r>
          </w:p>
        </w:tc>
        <w:tc>
          <w:tcPr>
            <w:tcW w:w="2556" w:type="dxa"/>
            <w:vAlign w:val="center"/>
          </w:tcPr>
          <w:p w14:paraId="43C2BD4E"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donor_id → donors CASCADE; sample_type_id → sample_types</w:t>
            </w:r>
          </w:p>
        </w:tc>
        <w:tc>
          <w:tcPr>
            <w:tcW w:w="2556" w:type="dxa"/>
            <w:vAlign w:val="center"/>
          </w:tcPr>
          <w:p w14:paraId="20E53D11"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collection and initial volume required; status ENUM DEFAULT Available</w:t>
            </w:r>
          </w:p>
        </w:tc>
      </w:tr>
      <w:tr w:rsidR="0080524F" w:rsidRPr="00EB35F6" w14:paraId="04DDAC08" w14:textId="77777777">
        <w:trPr>
          <w:jc w:val="center"/>
        </w:trPr>
        <w:tc>
          <w:tcPr>
            <w:tcW w:w="2556" w:type="dxa"/>
            <w:vAlign w:val="center"/>
          </w:tcPr>
          <w:p w14:paraId="4C738DC6"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aliquots</w:t>
            </w:r>
          </w:p>
        </w:tc>
        <w:tc>
          <w:tcPr>
            <w:tcW w:w="2556" w:type="dxa"/>
            <w:vAlign w:val="center"/>
          </w:tcPr>
          <w:p w14:paraId="0812BE3F"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aliquot_id</w:t>
            </w:r>
          </w:p>
        </w:tc>
        <w:tc>
          <w:tcPr>
            <w:tcW w:w="2556" w:type="dxa"/>
            <w:vAlign w:val="center"/>
          </w:tcPr>
          <w:p w14:paraId="52193E25"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specimen_id → biospecimens CASCADE; location_id → storage_locations</w:t>
            </w:r>
          </w:p>
        </w:tc>
        <w:tc>
          <w:tcPr>
            <w:tcW w:w="2556" w:type="dxa"/>
            <w:vAlign w:val="center"/>
          </w:tcPr>
          <w:p w14:paraId="2D71E151"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volume and status required/defaulted; index on status</w:t>
            </w:r>
          </w:p>
        </w:tc>
      </w:tr>
      <w:tr w:rsidR="0080524F" w:rsidRPr="00EB35F6" w14:paraId="55BDADCF" w14:textId="77777777">
        <w:trPr>
          <w:jc w:val="center"/>
        </w:trPr>
        <w:tc>
          <w:tcPr>
            <w:tcW w:w="2556" w:type="dxa"/>
            <w:vAlign w:val="center"/>
          </w:tcPr>
          <w:p w14:paraId="471D6CF2"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researchers</w:t>
            </w:r>
          </w:p>
        </w:tc>
        <w:tc>
          <w:tcPr>
            <w:tcW w:w="2556" w:type="dxa"/>
            <w:vAlign w:val="center"/>
          </w:tcPr>
          <w:p w14:paraId="4EE9690A"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researcher_id</w:t>
            </w:r>
          </w:p>
        </w:tc>
        <w:tc>
          <w:tcPr>
            <w:tcW w:w="2556" w:type="dxa"/>
            <w:vAlign w:val="center"/>
          </w:tcPr>
          <w:p w14:paraId="6B6F7866"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None</w:t>
            </w:r>
          </w:p>
        </w:tc>
        <w:tc>
          <w:tcPr>
            <w:tcW w:w="2556" w:type="dxa"/>
            <w:vAlign w:val="center"/>
          </w:tcPr>
          <w:p w14:paraId="2E6AE41B"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email UNIQUE NOT NULL; full_name and institution required</w:t>
            </w:r>
          </w:p>
        </w:tc>
      </w:tr>
      <w:tr w:rsidR="0080524F" w:rsidRPr="00EB35F6" w14:paraId="38133049" w14:textId="77777777">
        <w:trPr>
          <w:jc w:val="center"/>
        </w:trPr>
        <w:tc>
          <w:tcPr>
            <w:tcW w:w="2556" w:type="dxa"/>
            <w:vAlign w:val="center"/>
          </w:tcPr>
          <w:p w14:paraId="68C1BB68"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test_requests</w:t>
            </w:r>
          </w:p>
        </w:tc>
        <w:tc>
          <w:tcPr>
            <w:tcW w:w="2556" w:type="dxa"/>
            <w:vAlign w:val="center"/>
          </w:tcPr>
          <w:p w14:paraId="6B3F837C"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request_id</w:t>
            </w:r>
          </w:p>
        </w:tc>
        <w:tc>
          <w:tcPr>
            <w:tcW w:w="2556" w:type="dxa"/>
            <w:vAlign w:val="center"/>
          </w:tcPr>
          <w:p w14:paraId="7EA40BCD"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researcher_id → researchers</w:t>
            </w:r>
          </w:p>
        </w:tc>
        <w:tc>
          <w:tcPr>
            <w:tcW w:w="2556" w:type="dxa"/>
            <w:vAlign w:val="center"/>
          </w:tcPr>
          <w:p w14:paraId="7665BD11"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status ENUM DEFAULT Pending; purpose required</w:t>
            </w:r>
          </w:p>
        </w:tc>
      </w:tr>
      <w:tr w:rsidR="0080524F" w:rsidRPr="00EB35F6" w14:paraId="16BF8D69" w14:textId="77777777">
        <w:trPr>
          <w:jc w:val="center"/>
        </w:trPr>
        <w:tc>
          <w:tcPr>
            <w:tcW w:w="2556" w:type="dxa"/>
            <w:vAlign w:val="center"/>
          </w:tcPr>
          <w:p w14:paraId="533024C7"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request_aliquots</w:t>
            </w:r>
          </w:p>
        </w:tc>
        <w:tc>
          <w:tcPr>
            <w:tcW w:w="2556" w:type="dxa"/>
            <w:vAlign w:val="center"/>
          </w:tcPr>
          <w:p w14:paraId="78FFD256"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request_id + aliquot_id</w:t>
            </w:r>
          </w:p>
        </w:tc>
        <w:tc>
          <w:tcPr>
            <w:tcW w:w="2556" w:type="dxa"/>
            <w:vAlign w:val="center"/>
          </w:tcPr>
          <w:p w14:paraId="09352A9A"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request_id → test_requests CASCADE; aliquot_id → aliquots</w:t>
            </w:r>
          </w:p>
        </w:tc>
        <w:tc>
          <w:tcPr>
            <w:tcW w:w="2556" w:type="dxa"/>
            <w:vAlign w:val="center"/>
          </w:tcPr>
          <w:p w14:paraId="57B00513"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composite PK; assigned_date required</w:t>
            </w:r>
          </w:p>
        </w:tc>
      </w:tr>
    </w:tbl>
    <w:p w14:paraId="4DA0B103" w14:textId="77777777" w:rsidR="0080524F" w:rsidRDefault="0080524F"/>
    <w:p w14:paraId="28B39EF3" w14:textId="77777777" w:rsidR="0080524F" w:rsidRPr="00EB35F6" w:rsidRDefault="00000000">
      <w:pPr>
        <w:ind w:left="288"/>
        <w:rPr>
          <w:rFonts w:asciiTheme="majorBidi" w:hAnsiTheme="majorBidi" w:cstheme="majorBidi"/>
          <w:sz w:val="24"/>
          <w:szCs w:val="24"/>
        </w:rPr>
      </w:pPr>
      <w:r w:rsidRPr="00EB35F6">
        <w:rPr>
          <w:rFonts w:asciiTheme="majorBidi" w:hAnsiTheme="majorBidi" w:cstheme="majorBidi"/>
          <w:sz w:val="24"/>
          <w:szCs w:val="24"/>
        </w:rPr>
        <w:t>CREATE TABLE request_aliquots (</w:t>
      </w:r>
      <w:r w:rsidRPr="00EB35F6">
        <w:rPr>
          <w:rFonts w:asciiTheme="majorBidi" w:hAnsiTheme="majorBidi" w:cstheme="majorBidi"/>
          <w:sz w:val="24"/>
          <w:szCs w:val="24"/>
        </w:rPr>
        <w:br/>
        <w:t xml:space="preserve"> request_id INT NOT NULL, aliquot_id INT NOT NULL, assigned_date DATE NOT NULL,</w:t>
      </w:r>
      <w:r w:rsidRPr="00EB35F6">
        <w:rPr>
          <w:rFonts w:asciiTheme="majorBidi" w:hAnsiTheme="majorBidi" w:cstheme="majorBidi"/>
          <w:sz w:val="24"/>
          <w:szCs w:val="24"/>
        </w:rPr>
        <w:br/>
        <w:t xml:space="preserve"> PRIMARY KEY (request_id, aliquot_id),</w:t>
      </w:r>
      <w:r w:rsidRPr="00EB35F6">
        <w:rPr>
          <w:rFonts w:asciiTheme="majorBidi" w:hAnsiTheme="majorBidi" w:cstheme="majorBidi"/>
          <w:sz w:val="24"/>
          <w:szCs w:val="24"/>
        </w:rPr>
        <w:br/>
        <w:t xml:space="preserve"> FOREIGN KEY (request_id) REFERENCES test_requests(request_id) ON DELETE CASCADE,</w:t>
      </w:r>
      <w:r w:rsidRPr="00EB35F6">
        <w:rPr>
          <w:rFonts w:asciiTheme="majorBidi" w:hAnsiTheme="majorBidi" w:cstheme="majorBidi"/>
          <w:sz w:val="24"/>
          <w:szCs w:val="24"/>
        </w:rPr>
        <w:br/>
        <w:t xml:space="preserve"> FOREIGN KEY (aliquot_id) REFERENCES aliquots(aliquot_id)</w:t>
      </w:r>
      <w:r w:rsidRPr="00EB35F6">
        <w:rPr>
          <w:rFonts w:asciiTheme="majorBidi" w:hAnsiTheme="majorBidi" w:cstheme="majorBidi"/>
          <w:sz w:val="24"/>
          <w:szCs w:val="24"/>
        </w:rPr>
        <w:br/>
        <w:t>);</w:t>
      </w:r>
    </w:p>
    <w:p w14:paraId="0DE5A879"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Indexes are explicitly created on donors(email), biospecimens(collection_date), and aliquots(status). These support common lookup, date-filtering, and status-filtering operations.</w:t>
      </w:r>
    </w:p>
    <w:p w14:paraId="3E7CD56A" w14:textId="77777777" w:rsidR="0080524F" w:rsidRPr="009145FA" w:rsidRDefault="00000000">
      <w:pPr>
        <w:pStyle w:val="Heading1"/>
        <w:rPr>
          <w:color w:val="1F497D" w:themeColor="text2"/>
        </w:rPr>
      </w:pPr>
      <w:r w:rsidRPr="009145FA">
        <w:rPr>
          <w:color w:val="1F497D" w:themeColor="text2"/>
        </w:rPr>
        <w:t>5. Normalization to Third Normal Form</w:t>
      </w:r>
    </w:p>
    <w:tbl>
      <w:tblPr>
        <w:tblStyle w:val="TableGrid"/>
        <w:tblW w:w="0" w:type="auto"/>
        <w:jc w:val="center"/>
        <w:tblLook w:val="04A0" w:firstRow="1" w:lastRow="0" w:firstColumn="1" w:lastColumn="0" w:noHBand="0" w:noVBand="1"/>
      </w:tblPr>
      <w:tblGrid>
        <w:gridCol w:w="5112"/>
        <w:gridCol w:w="5112"/>
      </w:tblGrid>
      <w:tr w:rsidR="0080524F" w:rsidRPr="00EB35F6" w14:paraId="7133C112" w14:textId="77777777" w:rsidTr="00EB35F6">
        <w:trPr>
          <w:jc w:val="center"/>
        </w:trPr>
        <w:tc>
          <w:tcPr>
            <w:tcW w:w="5112" w:type="dxa"/>
            <w:shd w:val="clear" w:color="auto" w:fill="1F497D" w:themeFill="text2"/>
            <w:vAlign w:val="center"/>
          </w:tcPr>
          <w:p w14:paraId="56142AD5" w14:textId="77777777" w:rsidR="0080524F" w:rsidRPr="00EB35F6" w:rsidRDefault="00000000">
            <w:pPr>
              <w:rPr>
                <w:rFonts w:asciiTheme="majorBidi" w:hAnsiTheme="majorBidi" w:cstheme="majorBidi"/>
                <w:sz w:val="24"/>
                <w:szCs w:val="24"/>
              </w:rPr>
            </w:pPr>
            <w:r w:rsidRPr="00EB35F6">
              <w:rPr>
                <w:rFonts w:asciiTheme="majorBidi" w:hAnsiTheme="majorBidi" w:cstheme="majorBidi"/>
                <w:b/>
                <w:color w:val="FFFFFF"/>
                <w:sz w:val="24"/>
                <w:szCs w:val="24"/>
              </w:rPr>
              <w:t>Form</w:t>
            </w:r>
          </w:p>
        </w:tc>
        <w:tc>
          <w:tcPr>
            <w:tcW w:w="5112" w:type="dxa"/>
            <w:shd w:val="clear" w:color="auto" w:fill="1F497D" w:themeFill="text2"/>
            <w:vAlign w:val="center"/>
          </w:tcPr>
          <w:p w14:paraId="5EBC19B9" w14:textId="77777777" w:rsidR="0080524F" w:rsidRPr="00EB35F6" w:rsidRDefault="00000000">
            <w:pPr>
              <w:rPr>
                <w:rFonts w:asciiTheme="majorBidi" w:hAnsiTheme="majorBidi" w:cstheme="majorBidi"/>
                <w:sz w:val="24"/>
                <w:szCs w:val="24"/>
              </w:rPr>
            </w:pPr>
            <w:r w:rsidRPr="00EB35F6">
              <w:rPr>
                <w:rFonts w:asciiTheme="majorBidi" w:hAnsiTheme="majorBidi" w:cstheme="majorBidi"/>
                <w:b/>
                <w:color w:val="FFFFFF"/>
                <w:sz w:val="24"/>
                <w:szCs w:val="24"/>
              </w:rPr>
              <w:t>Application</w:t>
            </w:r>
          </w:p>
        </w:tc>
      </w:tr>
      <w:tr w:rsidR="0080524F" w:rsidRPr="00EB35F6" w14:paraId="46ED878F" w14:textId="77777777">
        <w:trPr>
          <w:jc w:val="center"/>
        </w:trPr>
        <w:tc>
          <w:tcPr>
            <w:tcW w:w="5112" w:type="dxa"/>
            <w:vAlign w:val="center"/>
          </w:tcPr>
          <w:p w14:paraId="6982BAD6"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1NF</w:t>
            </w:r>
          </w:p>
        </w:tc>
        <w:tc>
          <w:tcPr>
            <w:tcW w:w="5112" w:type="dxa"/>
            <w:vAlign w:val="center"/>
          </w:tcPr>
          <w:p w14:paraId="574681C7"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All fields are atomic. Repeated aliquots for a specimen are rows, not repeated columns; repeated request assignments are rows in request_aliquots.</w:t>
            </w:r>
          </w:p>
        </w:tc>
      </w:tr>
      <w:tr w:rsidR="0080524F" w:rsidRPr="00EB35F6" w14:paraId="25B6E502" w14:textId="77777777">
        <w:trPr>
          <w:jc w:val="center"/>
        </w:trPr>
        <w:tc>
          <w:tcPr>
            <w:tcW w:w="5112" w:type="dxa"/>
            <w:vAlign w:val="center"/>
          </w:tcPr>
          <w:p w14:paraId="217651BE"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2NF</w:t>
            </w:r>
          </w:p>
        </w:tc>
        <w:tc>
          <w:tcPr>
            <w:tcW w:w="5112" w:type="dxa"/>
            <w:vAlign w:val="center"/>
          </w:tcPr>
          <w:p w14:paraId="532AA2DD"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Single-key tables have no partial dependencies. In request_aliquots, assigned_date depends on the full composite key (request_id, aliquot_id).</w:t>
            </w:r>
          </w:p>
        </w:tc>
      </w:tr>
      <w:tr w:rsidR="0080524F" w:rsidRPr="00EB35F6" w14:paraId="56674965" w14:textId="77777777">
        <w:trPr>
          <w:jc w:val="center"/>
        </w:trPr>
        <w:tc>
          <w:tcPr>
            <w:tcW w:w="5112" w:type="dxa"/>
            <w:vAlign w:val="center"/>
          </w:tcPr>
          <w:p w14:paraId="747C46B4"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3NF</w:t>
            </w:r>
          </w:p>
        </w:tc>
        <w:tc>
          <w:tcPr>
            <w:tcW w:w="5112" w:type="dxa"/>
            <w:vAlign w:val="center"/>
          </w:tcPr>
          <w:p w14:paraId="5EB16472"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 xml:space="preserve">Donor, sample-type, storage, researcher, and request facts are separated. Non-key attributes depend on their own table key and not on another </w:t>
            </w:r>
            <w:r w:rsidRPr="00EB35F6">
              <w:rPr>
                <w:rFonts w:asciiTheme="majorBidi" w:hAnsiTheme="majorBidi" w:cstheme="majorBidi"/>
                <w:sz w:val="24"/>
                <w:szCs w:val="24"/>
              </w:rPr>
              <w:lastRenderedPageBreak/>
              <w:t>non-key attribute.</w:t>
            </w:r>
          </w:p>
        </w:tc>
      </w:tr>
    </w:tbl>
    <w:p w14:paraId="53779BAE" w14:textId="77777777" w:rsidR="0080524F" w:rsidRDefault="0080524F"/>
    <w:p w14:paraId="2E9C42F2"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The decomposition reduces anomalies: a storage temperature is changed in sample_types once, a donor email in donors once, and a storage coordinate in storage_locations once.</w:t>
      </w:r>
    </w:p>
    <w:p w14:paraId="3BC1047F" w14:textId="77777777" w:rsidR="0080524F" w:rsidRPr="009145FA" w:rsidRDefault="00000000">
      <w:pPr>
        <w:pStyle w:val="Heading1"/>
        <w:rPr>
          <w:color w:val="1F497D" w:themeColor="text2"/>
        </w:rPr>
      </w:pPr>
      <w:r w:rsidRPr="009145FA">
        <w:rPr>
          <w:color w:val="1F497D" w:themeColor="text2"/>
        </w:rPr>
        <w:t>6. Implementation Details and Selected SQL Code</w:t>
      </w:r>
    </w:p>
    <w:p w14:paraId="76D65A05"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The scripts target MySQL 8.0+ and run in order: create_tables.sql, load_data.sql, views.sql, triggers_procedures.sql, queries.sql, and testing.sql. The first script drops and recreates BiobankDB for clean repeatable testing.</w:t>
      </w:r>
    </w:p>
    <w:p w14:paraId="18486283" w14:textId="77777777" w:rsidR="0080524F" w:rsidRPr="00EB35F6" w:rsidRDefault="00000000" w:rsidP="00EB35F6">
      <w:pPr>
        <w:rPr>
          <w:rFonts w:asciiTheme="majorBidi" w:hAnsiTheme="majorBidi" w:cstheme="majorBidi"/>
          <w:sz w:val="24"/>
          <w:szCs w:val="24"/>
        </w:rPr>
      </w:pPr>
      <w:r w:rsidRPr="00EB35F6">
        <w:rPr>
          <w:rFonts w:asciiTheme="majorBidi" w:hAnsiTheme="majorBidi" w:cstheme="majorBidi"/>
          <w:sz w:val="24"/>
          <w:szCs w:val="24"/>
        </w:rPr>
        <w:t>CREATE INDEX idx_donor_email ON donors(email);</w:t>
      </w:r>
      <w:r w:rsidRPr="00EB35F6">
        <w:rPr>
          <w:rFonts w:asciiTheme="majorBidi" w:hAnsiTheme="majorBidi" w:cstheme="majorBidi"/>
          <w:sz w:val="24"/>
          <w:szCs w:val="24"/>
        </w:rPr>
        <w:br/>
        <w:t>CREATE INDEX idx_specimen_collection ON biospecimens(collection_date);</w:t>
      </w:r>
      <w:r w:rsidRPr="00EB35F6">
        <w:rPr>
          <w:rFonts w:asciiTheme="majorBidi" w:hAnsiTheme="majorBidi" w:cstheme="majorBidi"/>
          <w:sz w:val="24"/>
          <w:szCs w:val="24"/>
        </w:rPr>
        <w:br/>
        <w:t>CREATE INDEX idx_aliquot_status ON aliquots(status);</w:t>
      </w:r>
    </w:p>
    <w:p w14:paraId="2BF7F643" w14:textId="77777777" w:rsidR="0080524F" w:rsidRPr="00EB35F6" w:rsidRDefault="00000000" w:rsidP="00EB35F6">
      <w:pPr>
        <w:rPr>
          <w:rFonts w:asciiTheme="majorBidi" w:hAnsiTheme="majorBidi" w:cstheme="majorBidi"/>
          <w:sz w:val="24"/>
          <w:szCs w:val="24"/>
        </w:rPr>
      </w:pPr>
      <w:r w:rsidRPr="00EB35F6">
        <w:rPr>
          <w:rFonts w:asciiTheme="majorBidi" w:hAnsiTheme="majorBidi" w:cstheme="majorBidi"/>
          <w:sz w:val="24"/>
          <w:szCs w:val="24"/>
        </w:rPr>
        <w:t>CREATE TRIGGER trg_check_aliquot_volume</w:t>
      </w:r>
      <w:r w:rsidRPr="00EB35F6">
        <w:rPr>
          <w:rFonts w:asciiTheme="majorBidi" w:hAnsiTheme="majorBidi" w:cstheme="majorBidi"/>
          <w:sz w:val="24"/>
          <w:szCs w:val="24"/>
        </w:rPr>
        <w:br/>
        <w:t>BEFORE UPDATE ON aliquots</w:t>
      </w:r>
      <w:r w:rsidRPr="00EB35F6">
        <w:rPr>
          <w:rFonts w:asciiTheme="majorBidi" w:hAnsiTheme="majorBidi" w:cstheme="majorBidi"/>
          <w:sz w:val="24"/>
          <w:szCs w:val="24"/>
        </w:rPr>
        <w:br/>
        <w:t>FOR EACH ROW</w:t>
      </w:r>
      <w:r w:rsidRPr="00EB35F6">
        <w:rPr>
          <w:rFonts w:asciiTheme="majorBidi" w:hAnsiTheme="majorBidi" w:cstheme="majorBidi"/>
          <w:sz w:val="24"/>
          <w:szCs w:val="24"/>
        </w:rPr>
        <w:br/>
        <w:t>BEGIN</w:t>
      </w:r>
      <w:r w:rsidRPr="00EB35F6">
        <w:rPr>
          <w:rFonts w:asciiTheme="majorBidi" w:hAnsiTheme="majorBidi" w:cstheme="majorBidi"/>
          <w:sz w:val="24"/>
          <w:szCs w:val="24"/>
        </w:rPr>
        <w:br/>
        <w:t xml:space="preserve"> IF NEW.volume_ul &lt;= 0 THEN SET NEW.status = 'Used'; SET NEW.volume_ul = 0; END IF;</w:t>
      </w:r>
      <w:r w:rsidRPr="00EB35F6">
        <w:rPr>
          <w:rFonts w:asciiTheme="majorBidi" w:hAnsiTheme="majorBidi" w:cstheme="majorBidi"/>
          <w:sz w:val="24"/>
          <w:szCs w:val="24"/>
        </w:rPr>
        <w:br/>
        <w:t>END</w:t>
      </w:r>
    </w:p>
    <w:p w14:paraId="62AF246E" w14:textId="77777777" w:rsidR="0080524F" w:rsidRPr="00EB35F6" w:rsidRDefault="00000000" w:rsidP="00EB35F6">
      <w:pPr>
        <w:rPr>
          <w:rFonts w:asciiTheme="majorBidi" w:hAnsiTheme="majorBidi" w:cstheme="majorBidi"/>
          <w:sz w:val="24"/>
          <w:szCs w:val="24"/>
        </w:rPr>
      </w:pPr>
      <w:r w:rsidRPr="00EB35F6">
        <w:rPr>
          <w:rFonts w:asciiTheme="majorBidi" w:hAnsiTheme="majorBidi" w:cstheme="majorBidi"/>
          <w:sz w:val="24"/>
          <w:szCs w:val="24"/>
        </w:rPr>
        <w:t>CALL sp_GetDonorFullHistory(1);</w:t>
      </w:r>
    </w:p>
    <w:p w14:paraId="741583B9" w14:textId="77777777" w:rsidR="0080524F" w:rsidRPr="00EB35F6" w:rsidRDefault="00000000" w:rsidP="00EB35F6">
      <w:pPr>
        <w:rPr>
          <w:rFonts w:asciiTheme="majorBidi" w:hAnsiTheme="majorBidi" w:cstheme="majorBidi"/>
          <w:sz w:val="24"/>
          <w:szCs w:val="24"/>
        </w:rPr>
      </w:pPr>
      <w:r w:rsidRPr="00EB35F6">
        <w:rPr>
          <w:rFonts w:asciiTheme="majorBidi" w:hAnsiTheme="majorBidi" w:cstheme="majorBidi"/>
          <w:sz w:val="24"/>
          <w:szCs w:val="24"/>
        </w:rPr>
        <w:t>INSERT INTO storage_locations (freezer_name, shelf_number, box_number, capacity)</w:t>
      </w:r>
      <w:r w:rsidRPr="00EB35F6">
        <w:rPr>
          <w:rFonts w:asciiTheme="majorBidi" w:hAnsiTheme="majorBidi" w:cstheme="majorBidi"/>
          <w:sz w:val="24"/>
          <w:szCs w:val="24"/>
        </w:rPr>
        <w:br/>
        <w:t>VALUES ('Freezer Delta', 1, 401, 75);</w:t>
      </w:r>
    </w:p>
    <w:p w14:paraId="786B4265" w14:textId="77777777" w:rsidR="0080524F" w:rsidRPr="009145FA" w:rsidRDefault="00000000">
      <w:pPr>
        <w:pStyle w:val="Heading1"/>
        <w:rPr>
          <w:color w:val="1F497D" w:themeColor="text2"/>
        </w:rPr>
      </w:pPr>
      <w:r w:rsidRPr="009145FA">
        <w:rPr>
          <w:color w:val="1F497D" w:themeColor="text2"/>
        </w:rPr>
        <w:t>7. Sample Data and Screenshots of Successful Execution</w:t>
      </w:r>
    </w:p>
    <w:p w14:paraId="45DF1600" w14:textId="77777777" w:rsidR="0080524F" w:rsidRDefault="00000000">
      <w:pPr>
        <w:rPr>
          <w:rFonts w:asciiTheme="majorBidi" w:hAnsiTheme="majorBidi" w:cstheme="majorBidi"/>
          <w:sz w:val="24"/>
          <w:szCs w:val="24"/>
        </w:rPr>
      </w:pPr>
      <w:r w:rsidRPr="00EB35F6">
        <w:rPr>
          <w:rFonts w:asciiTheme="majorBidi" w:hAnsiTheme="majorBidi" w:cstheme="majorBidi"/>
          <w:sz w:val="24"/>
          <w:szCs w:val="24"/>
        </w:rPr>
        <w:t>The load-data script contains four sample types, ten donors, ten consents, ten storage locations, ten biospecimens, ten aliquots, ten researchers, ten test requests, and ten request_aliquots assignments. The data is meaningful: donors have consent statuses, specimens have sample types and collection dates, aliquots have volume and concentration, requests have approval statuses, and assignments link requests to aliquots.</w:t>
      </w:r>
    </w:p>
    <w:p w14:paraId="7FDBD940" w14:textId="77777777" w:rsidR="00EB35F6" w:rsidRDefault="00EB35F6">
      <w:pPr>
        <w:rPr>
          <w:rFonts w:asciiTheme="majorBidi" w:hAnsiTheme="majorBidi" w:cstheme="majorBidi"/>
          <w:sz w:val="24"/>
          <w:szCs w:val="24"/>
        </w:rPr>
      </w:pPr>
    </w:p>
    <w:p w14:paraId="67B782A4" w14:textId="77777777" w:rsidR="00EB35F6" w:rsidRDefault="00EB35F6">
      <w:pPr>
        <w:rPr>
          <w:rFonts w:asciiTheme="majorBidi" w:hAnsiTheme="majorBidi" w:cstheme="majorBidi"/>
          <w:sz w:val="24"/>
          <w:szCs w:val="24"/>
        </w:rPr>
      </w:pPr>
    </w:p>
    <w:p w14:paraId="6F991288" w14:textId="77777777" w:rsidR="00EB35F6" w:rsidRDefault="00EB35F6">
      <w:pPr>
        <w:rPr>
          <w:rFonts w:asciiTheme="majorBidi" w:hAnsiTheme="majorBidi" w:cstheme="majorBidi"/>
          <w:sz w:val="24"/>
          <w:szCs w:val="24"/>
        </w:rPr>
      </w:pPr>
    </w:p>
    <w:p w14:paraId="7586267E" w14:textId="77777777" w:rsidR="00EB35F6" w:rsidRDefault="00EB35F6">
      <w:pPr>
        <w:rPr>
          <w:rFonts w:asciiTheme="majorBidi" w:hAnsiTheme="majorBidi" w:cstheme="majorBidi"/>
          <w:sz w:val="24"/>
          <w:szCs w:val="24"/>
        </w:rPr>
      </w:pPr>
    </w:p>
    <w:p w14:paraId="5C5AF275" w14:textId="77777777" w:rsidR="00EB35F6" w:rsidRDefault="00EB35F6">
      <w:pPr>
        <w:rPr>
          <w:rFonts w:asciiTheme="majorBidi" w:hAnsiTheme="majorBidi" w:cstheme="majorBidi"/>
          <w:sz w:val="24"/>
          <w:szCs w:val="24"/>
        </w:rPr>
      </w:pPr>
    </w:p>
    <w:p w14:paraId="4E57B48B" w14:textId="77777777" w:rsidR="00EB35F6" w:rsidRPr="00EB35F6" w:rsidRDefault="00EB35F6">
      <w:pPr>
        <w:rPr>
          <w:rFonts w:asciiTheme="majorBidi" w:hAnsiTheme="majorBidi" w:cstheme="majorBidi"/>
          <w:sz w:val="24"/>
          <w:szCs w:val="24"/>
        </w:rPr>
      </w:pPr>
    </w:p>
    <w:tbl>
      <w:tblPr>
        <w:tblStyle w:val="TableGrid"/>
        <w:tblW w:w="0" w:type="auto"/>
        <w:jc w:val="center"/>
        <w:tblLook w:val="04A0" w:firstRow="1" w:lastRow="0" w:firstColumn="1" w:lastColumn="0" w:noHBand="0" w:noVBand="1"/>
      </w:tblPr>
      <w:tblGrid>
        <w:gridCol w:w="5177"/>
        <w:gridCol w:w="5177"/>
      </w:tblGrid>
      <w:tr w:rsidR="0080524F" w:rsidRPr="00EB35F6" w14:paraId="4DB44B4F" w14:textId="77777777" w:rsidTr="00EB35F6">
        <w:trPr>
          <w:trHeight w:val="205"/>
          <w:jc w:val="center"/>
        </w:trPr>
        <w:tc>
          <w:tcPr>
            <w:tcW w:w="5177" w:type="dxa"/>
            <w:shd w:val="clear" w:color="auto" w:fill="1F497D" w:themeFill="text2"/>
            <w:vAlign w:val="center"/>
          </w:tcPr>
          <w:p w14:paraId="1A5BDAD7" w14:textId="77777777" w:rsidR="0080524F" w:rsidRPr="00EB35F6" w:rsidRDefault="00000000">
            <w:pPr>
              <w:rPr>
                <w:rFonts w:asciiTheme="majorBidi" w:hAnsiTheme="majorBidi" w:cstheme="majorBidi"/>
                <w:sz w:val="24"/>
                <w:szCs w:val="24"/>
              </w:rPr>
            </w:pPr>
            <w:r w:rsidRPr="00EB35F6">
              <w:rPr>
                <w:rFonts w:asciiTheme="majorBidi" w:hAnsiTheme="majorBidi" w:cstheme="majorBidi"/>
                <w:b/>
                <w:color w:val="FFFFFF"/>
                <w:sz w:val="24"/>
                <w:szCs w:val="24"/>
              </w:rPr>
              <w:lastRenderedPageBreak/>
              <w:t>Evidence</w:t>
            </w:r>
          </w:p>
        </w:tc>
        <w:tc>
          <w:tcPr>
            <w:tcW w:w="5177" w:type="dxa"/>
            <w:shd w:val="clear" w:color="auto" w:fill="1F497D" w:themeFill="text2"/>
            <w:vAlign w:val="center"/>
          </w:tcPr>
          <w:p w14:paraId="50E71F9B" w14:textId="77777777" w:rsidR="0080524F" w:rsidRPr="00EB35F6" w:rsidRDefault="00000000">
            <w:pPr>
              <w:rPr>
                <w:rFonts w:asciiTheme="majorBidi" w:hAnsiTheme="majorBidi" w:cstheme="majorBidi"/>
                <w:sz w:val="24"/>
                <w:szCs w:val="24"/>
              </w:rPr>
            </w:pPr>
            <w:r w:rsidRPr="00EB35F6">
              <w:rPr>
                <w:rFonts w:asciiTheme="majorBidi" w:hAnsiTheme="majorBidi" w:cstheme="majorBidi"/>
                <w:b/>
                <w:color w:val="FFFFFF"/>
                <w:sz w:val="24"/>
                <w:szCs w:val="24"/>
              </w:rPr>
              <w:t>Required action</w:t>
            </w:r>
          </w:p>
        </w:tc>
      </w:tr>
      <w:tr w:rsidR="009145FA" w:rsidRPr="00EB35F6" w14:paraId="52011F4E" w14:textId="77777777" w:rsidTr="00EB35F6">
        <w:trPr>
          <w:trHeight w:val="411"/>
          <w:jc w:val="center"/>
        </w:trPr>
        <w:tc>
          <w:tcPr>
            <w:tcW w:w="5177" w:type="dxa"/>
            <w:vAlign w:val="center"/>
          </w:tcPr>
          <w:p w14:paraId="18B9F2EA" w14:textId="77777777" w:rsidR="009145FA" w:rsidRPr="00EB35F6" w:rsidRDefault="009145FA" w:rsidP="009145FA">
            <w:pPr>
              <w:rPr>
                <w:rFonts w:asciiTheme="majorBidi" w:hAnsiTheme="majorBidi" w:cstheme="majorBidi"/>
                <w:sz w:val="24"/>
                <w:szCs w:val="24"/>
              </w:rPr>
            </w:pPr>
            <w:r w:rsidRPr="00EB35F6">
              <w:rPr>
                <w:rFonts w:asciiTheme="majorBidi" w:hAnsiTheme="majorBidi" w:cstheme="majorBidi"/>
                <w:sz w:val="24"/>
                <w:szCs w:val="24"/>
              </w:rPr>
              <w:t>S1</w:t>
            </w:r>
          </w:p>
        </w:tc>
        <w:tc>
          <w:tcPr>
            <w:tcW w:w="5177" w:type="dxa"/>
            <w:vAlign w:val="center"/>
          </w:tcPr>
          <w:p w14:paraId="30A8ACFC" w14:textId="7EAE4A38" w:rsidR="009145FA" w:rsidRPr="00EB35F6" w:rsidRDefault="009145FA" w:rsidP="009145FA">
            <w:pPr>
              <w:rPr>
                <w:rFonts w:asciiTheme="majorBidi" w:hAnsiTheme="majorBidi" w:cstheme="majorBidi"/>
                <w:sz w:val="24"/>
                <w:szCs w:val="24"/>
              </w:rPr>
            </w:pPr>
            <w:r w:rsidRPr="00EB35F6">
              <w:rPr>
                <w:rFonts w:asciiTheme="majorBidi" w:hAnsiTheme="majorBidi" w:cstheme="majorBidi"/>
                <w:sz w:val="24"/>
                <w:szCs w:val="24"/>
              </w:rPr>
              <w:t xml:space="preserve">Run </w:t>
            </w:r>
            <w:proofErr w:type="spellStart"/>
            <w:r w:rsidRPr="00EB35F6">
              <w:rPr>
                <w:rFonts w:asciiTheme="majorBidi" w:hAnsiTheme="majorBidi" w:cstheme="majorBidi"/>
                <w:sz w:val="24"/>
                <w:szCs w:val="24"/>
              </w:rPr>
              <w:t>load_data.sql</w:t>
            </w:r>
            <w:proofErr w:type="spellEnd"/>
            <w:r w:rsidRPr="00EB35F6">
              <w:rPr>
                <w:rFonts w:asciiTheme="majorBidi" w:hAnsiTheme="majorBidi" w:cstheme="majorBidi"/>
                <w:sz w:val="24"/>
                <w:szCs w:val="24"/>
              </w:rPr>
              <w:t xml:space="preserve"> and show row counts for the main tables.</w:t>
            </w:r>
          </w:p>
        </w:tc>
      </w:tr>
      <w:tr w:rsidR="009145FA" w:rsidRPr="00EB35F6" w14:paraId="612DD28D" w14:textId="77777777" w:rsidTr="00EB35F6">
        <w:trPr>
          <w:trHeight w:val="196"/>
          <w:jc w:val="center"/>
        </w:trPr>
        <w:tc>
          <w:tcPr>
            <w:tcW w:w="5177" w:type="dxa"/>
            <w:vAlign w:val="center"/>
          </w:tcPr>
          <w:p w14:paraId="101AD26C" w14:textId="77777777" w:rsidR="009145FA" w:rsidRPr="00EB35F6" w:rsidRDefault="009145FA" w:rsidP="009145FA">
            <w:pPr>
              <w:rPr>
                <w:rFonts w:asciiTheme="majorBidi" w:hAnsiTheme="majorBidi" w:cstheme="majorBidi"/>
                <w:sz w:val="24"/>
                <w:szCs w:val="24"/>
              </w:rPr>
            </w:pPr>
            <w:r w:rsidRPr="00EB35F6">
              <w:rPr>
                <w:rFonts w:asciiTheme="majorBidi" w:hAnsiTheme="majorBidi" w:cstheme="majorBidi"/>
                <w:sz w:val="24"/>
                <w:szCs w:val="24"/>
              </w:rPr>
              <w:t>S2</w:t>
            </w:r>
          </w:p>
        </w:tc>
        <w:tc>
          <w:tcPr>
            <w:tcW w:w="5177" w:type="dxa"/>
            <w:vAlign w:val="center"/>
          </w:tcPr>
          <w:p w14:paraId="70073FF7" w14:textId="7F624F76" w:rsidR="009145FA" w:rsidRPr="00EB35F6" w:rsidRDefault="009145FA" w:rsidP="009145FA">
            <w:pPr>
              <w:rPr>
                <w:rFonts w:asciiTheme="majorBidi" w:hAnsiTheme="majorBidi" w:cstheme="majorBidi"/>
                <w:sz w:val="24"/>
                <w:szCs w:val="24"/>
              </w:rPr>
            </w:pPr>
            <w:r w:rsidRPr="00EB35F6">
              <w:rPr>
                <w:rFonts w:asciiTheme="majorBidi" w:hAnsiTheme="majorBidi" w:cstheme="majorBidi"/>
                <w:sz w:val="24"/>
                <w:szCs w:val="24"/>
              </w:rPr>
              <w:t xml:space="preserve">Show </w:t>
            </w:r>
            <w:proofErr w:type="spellStart"/>
            <w:r w:rsidRPr="00EB35F6">
              <w:rPr>
                <w:rFonts w:asciiTheme="majorBidi" w:hAnsiTheme="majorBidi" w:cstheme="majorBidi"/>
                <w:sz w:val="24"/>
                <w:szCs w:val="24"/>
              </w:rPr>
              <w:t>view_available_aliquots_detail</w:t>
            </w:r>
            <w:proofErr w:type="spellEnd"/>
            <w:r w:rsidRPr="00EB35F6">
              <w:rPr>
                <w:rFonts w:asciiTheme="majorBidi" w:hAnsiTheme="majorBidi" w:cstheme="majorBidi"/>
                <w:sz w:val="24"/>
                <w:szCs w:val="24"/>
              </w:rPr>
              <w:t xml:space="preserve"> output.</w:t>
            </w:r>
          </w:p>
        </w:tc>
      </w:tr>
      <w:tr w:rsidR="009145FA" w:rsidRPr="00EB35F6" w14:paraId="10ABA902" w14:textId="77777777" w:rsidTr="00EB35F6">
        <w:trPr>
          <w:trHeight w:val="205"/>
          <w:jc w:val="center"/>
        </w:trPr>
        <w:tc>
          <w:tcPr>
            <w:tcW w:w="5177" w:type="dxa"/>
            <w:vAlign w:val="center"/>
          </w:tcPr>
          <w:p w14:paraId="35F353C0" w14:textId="77777777" w:rsidR="009145FA" w:rsidRPr="00EB35F6" w:rsidRDefault="009145FA" w:rsidP="009145FA">
            <w:pPr>
              <w:rPr>
                <w:rFonts w:asciiTheme="majorBidi" w:hAnsiTheme="majorBidi" w:cstheme="majorBidi"/>
                <w:sz w:val="24"/>
                <w:szCs w:val="24"/>
              </w:rPr>
            </w:pPr>
            <w:r w:rsidRPr="00EB35F6">
              <w:rPr>
                <w:rFonts w:asciiTheme="majorBidi" w:hAnsiTheme="majorBidi" w:cstheme="majorBidi"/>
                <w:sz w:val="24"/>
                <w:szCs w:val="24"/>
              </w:rPr>
              <w:t>S3</w:t>
            </w:r>
          </w:p>
        </w:tc>
        <w:tc>
          <w:tcPr>
            <w:tcW w:w="5177" w:type="dxa"/>
            <w:vAlign w:val="center"/>
          </w:tcPr>
          <w:p w14:paraId="52E0AF23" w14:textId="798F4B4A" w:rsidR="009145FA" w:rsidRPr="00EB35F6" w:rsidRDefault="009145FA" w:rsidP="009145FA">
            <w:pPr>
              <w:rPr>
                <w:rFonts w:asciiTheme="majorBidi" w:hAnsiTheme="majorBidi" w:cstheme="majorBidi"/>
                <w:sz w:val="24"/>
                <w:szCs w:val="24"/>
              </w:rPr>
            </w:pPr>
            <w:r w:rsidRPr="00EB35F6">
              <w:rPr>
                <w:rFonts w:asciiTheme="majorBidi" w:hAnsiTheme="majorBidi" w:cstheme="majorBidi"/>
                <w:sz w:val="24"/>
                <w:szCs w:val="24"/>
              </w:rPr>
              <w:t xml:space="preserve">Show </w:t>
            </w:r>
            <w:proofErr w:type="spellStart"/>
            <w:r w:rsidRPr="00EB35F6">
              <w:rPr>
                <w:rFonts w:asciiTheme="majorBidi" w:hAnsiTheme="majorBidi" w:cstheme="majorBidi"/>
                <w:sz w:val="24"/>
                <w:szCs w:val="24"/>
              </w:rPr>
              <w:t>view_researcher_request_summary</w:t>
            </w:r>
            <w:proofErr w:type="spellEnd"/>
            <w:r w:rsidRPr="00EB35F6">
              <w:rPr>
                <w:rFonts w:asciiTheme="majorBidi" w:hAnsiTheme="majorBidi" w:cstheme="majorBidi"/>
                <w:sz w:val="24"/>
                <w:szCs w:val="24"/>
              </w:rPr>
              <w:t xml:space="preserve"> output.</w:t>
            </w:r>
          </w:p>
        </w:tc>
      </w:tr>
    </w:tbl>
    <w:p w14:paraId="243F62E5" w14:textId="58913F54" w:rsidR="0080524F" w:rsidRDefault="00000000" w:rsidP="00F53EA4">
      <w:pPr>
        <w:rPr>
          <w:b/>
          <w:color w:val="B71C1C"/>
        </w:rPr>
      </w:pPr>
      <w:r>
        <w:rPr>
          <w:b/>
          <w:color w:val="B71C1C"/>
        </w:rPr>
        <w:t xml:space="preserve">S1 — </w:t>
      </w:r>
      <w:r w:rsidR="00F53EA4">
        <w:rPr>
          <w:b/>
          <w:color w:val="B71C1C"/>
        </w:rPr>
        <w:t xml:space="preserve">show </w:t>
      </w:r>
      <w:proofErr w:type="gramStart"/>
      <w:r w:rsidR="00F53EA4">
        <w:rPr>
          <w:b/>
          <w:color w:val="B71C1C"/>
        </w:rPr>
        <w:t xml:space="preserve">table </w:t>
      </w:r>
      <w:r w:rsidR="00F53EA4">
        <w:t xml:space="preserve"> </w:t>
      </w:r>
      <w:r w:rsidR="00F53EA4" w:rsidRPr="00F53EA4">
        <w:rPr>
          <w:b/>
          <w:color w:val="B71C1C"/>
        </w:rPr>
        <w:t>biospecimens</w:t>
      </w:r>
      <w:proofErr w:type="gramEnd"/>
    </w:p>
    <w:p w14:paraId="4A5EB7C1" w14:textId="71508E45" w:rsidR="00F53EA4" w:rsidRDefault="00F53EA4" w:rsidP="00F53EA4">
      <w:r>
        <w:rPr>
          <w:b/>
          <w:noProof/>
          <w:color w:val="B71C1C"/>
        </w:rPr>
        <w:drawing>
          <wp:inline distT="0" distB="0" distL="0" distR="0" wp14:anchorId="20C823AD" wp14:editId="453ECA77">
            <wp:extent cx="6621780" cy="2819400"/>
            <wp:effectExtent l="0" t="0" r="7620" b="0"/>
            <wp:docPr id="71937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21780" cy="2819400"/>
                    </a:xfrm>
                    <a:prstGeom prst="rect">
                      <a:avLst/>
                    </a:prstGeom>
                    <a:noFill/>
                    <a:ln>
                      <a:noFill/>
                    </a:ln>
                  </pic:spPr>
                </pic:pic>
              </a:graphicData>
            </a:graphic>
          </wp:inline>
        </w:drawing>
      </w:r>
    </w:p>
    <w:p w14:paraId="2EC1C2A3" w14:textId="15751C47" w:rsidR="0080524F" w:rsidRDefault="00000000">
      <w:pPr>
        <w:rPr>
          <w:b/>
          <w:color w:val="B71C1C"/>
        </w:rPr>
      </w:pPr>
      <w:r>
        <w:rPr>
          <w:b/>
          <w:color w:val="B71C1C"/>
        </w:rPr>
        <w:t xml:space="preserve">S2 — </w:t>
      </w:r>
    </w:p>
    <w:p w14:paraId="1CB03904" w14:textId="07344BD2" w:rsidR="00F53EA4" w:rsidRDefault="00F53EA4">
      <w:r>
        <w:rPr>
          <w:noProof/>
        </w:rPr>
        <w:drawing>
          <wp:inline distT="0" distB="0" distL="0" distR="0" wp14:anchorId="23F9A0D3" wp14:editId="43FE2092">
            <wp:extent cx="6492240" cy="1813560"/>
            <wp:effectExtent l="0" t="0" r="3810" b="0"/>
            <wp:docPr id="419574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1813560"/>
                    </a:xfrm>
                    <a:prstGeom prst="rect">
                      <a:avLst/>
                    </a:prstGeom>
                    <a:noFill/>
                    <a:ln>
                      <a:noFill/>
                    </a:ln>
                  </pic:spPr>
                </pic:pic>
              </a:graphicData>
            </a:graphic>
          </wp:inline>
        </w:drawing>
      </w:r>
    </w:p>
    <w:p w14:paraId="5A54A537" w14:textId="3DBAD13D" w:rsidR="0080524F" w:rsidRDefault="00000000">
      <w:pPr>
        <w:rPr>
          <w:b/>
          <w:color w:val="B71C1C"/>
        </w:rPr>
      </w:pPr>
      <w:r>
        <w:rPr>
          <w:b/>
          <w:color w:val="B71C1C"/>
        </w:rPr>
        <w:t>S3</w:t>
      </w:r>
    </w:p>
    <w:p w14:paraId="2957E9E6" w14:textId="7BC2F7FA" w:rsidR="00F53EA4" w:rsidRDefault="00F53EA4">
      <w:r>
        <w:rPr>
          <w:b/>
          <w:noProof/>
          <w:color w:val="B71C1C"/>
        </w:rPr>
        <w:drawing>
          <wp:inline distT="0" distB="0" distL="0" distR="0" wp14:anchorId="01B020F1" wp14:editId="5CEC7F69">
            <wp:extent cx="6484620" cy="2087880"/>
            <wp:effectExtent l="0" t="0" r="0" b="7620"/>
            <wp:docPr id="1398868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4620" cy="2087880"/>
                    </a:xfrm>
                    <a:prstGeom prst="rect">
                      <a:avLst/>
                    </a:prstGeom>
                    <a:noFill/>
                    <a:ln>
                      <a:noFill/>
                    </a:ln>
                  </pic:spPr>
                </pic:pic>
              </a:graphicData>
            </a:graphic>
          </wp:inline>
        </w:drawing>
      </w:r>
    </w:p>
    <w:p w14:paraId="0DF4FDA2" w14:textId="7C4D7567" w:rsidR="0080524F" w:rsidRPr="009145FA" w:rsidRDefault="00000000">
      <w:pPr>
        <w:pStyle w:val="Heading1"/>
        <w:rPr>
          <w:color w:val="1F497D" w:themeColor="text2"/>
        </w:rPr>
      </w:pPr>
      <w:r w:rsidRPr="009145FA">
        <w:rPr>
          <w:color w:val="1F497D" w:themeColor="text2"/>
        </w:rPr>
        <w:lastRenderedPageBreak/>
        <w:t>8. Views, Trigger, and Stored Procedure</w:t>
      </w:r>
    </w:p>
    <w:tbl>
      <w:tblPr>
        <w:tblStyle w:val="TableGrid"/>
        <w:tblW w:w="0" w:type="auto"/>
        <w:jc w:val="center"/>
        <w:tblLook w:val="04A0" w:firstRow="1" w:lastRow="0" w:firstColumn="1" w:lastColumn="0" w:noHBand="0" w:noVBand="1"/>
      </w:tblPr>
      <w:tblGrid>
        <w:gridCol w:w="5112"/>
        <w:gridCol w:w="5112"/>
      </w:tblGrid>
      <w:tr w:rsidR="0080524F" w:rsidRPr="00EB35F6" w14:paraId="3C877553" w14:textId="77777777" w:rsidTr="009145FA">
        <w:trPr>
          <w:jc w:val="center"/>
        </w:trPr>
        <w:tc>
          <w:tcPr>
            <w:tcW w:w="5112" w:type="dxa"/>
            <w:shd w:val="clear" w:color="auto" w:fill="1F497D" w:themeFill="text2"/>
            <w:vAlign w:val="center"/>
          </w:tcPr>
          <w:p w14:paraId="0AB2F83C" w14:textId="77777777" w:rsidR="0080524F" w:rsidRPr="00EB35F6" w:rsidRDefault="00000000">
            <w:pPr>
              <w:rPr>
                <w:rFonts w:asciiTheme="majorBidi" w:hAnsiTheme="majorBidi" w:cstheme="majorBidi"/>
                <w:sz w:val="24"/>
                <w:szCs w:val="24"/>
              </w:rPr>
            </w:pPr>
            <w:r w:rsidRPr="00EB35F6">
              <w:rPr>
                <w:rFonts w:asciiTheme="majorBidi" w:hAnsiTheme="majorBidi" w:cstheme="majorBidi"/>
                <w:b/>
                <w:color w:val="FFFFFF"/>
                <w:sz w:val="24"/>
                <w:szCs w:val="24"/>
              </w:rPr>
              <w:t>Object</w:t>
            </w:r>
          </w:p>
        </w:tc>
        <w:tc>
          <w:tcPr>
            <w:tcW w:w="5112" w:type="dxa"/>
            <w:shd w:val="clear" w:color="auto" w:fill="1F497D" w:themeFill="text2"/>
            <w:vAlign w:val="center"/>
          </w:tcPr>
          <w:p w14:paraId="0EE9DB1C" w14:textId="77777777" w:rsidR="0080524F" w:rsidRPr="00EB35F6" w:rsidRDefault="00000000">
            <w:pPr>
              <w:rPr>
                <w:rFonts w:asciiTheme="majorBidi" w:hAnsiTheme="majorBidi" w:cstheme="majorBidi"/>
                <w:sz w:val="24"/>
                <w:szCs w:val="24"/>
              </w:rPr>
            </w:pPr>
            <w:r w:rsidRPr="00EB35F6">
              <w:rPr>
                <w:rFonts w:asciiTheme="majorBidi" w:hAnsiTheme="majorBidi" w:cstheme="majorBidi"/>
                <w:b/>
                <w:color w:val="FFFFFF"/>
                <w:sz w:val="24"/>
                <w:szCs w:val="24"/>
              </w:rPr>
              <w:t>Purpose</w:t>
            </w:r>
          </w:p>
        </w:tc>
      </w:tr>
      <w:tr w:rsidR="0080524F" w:rsidRPr="00EB35F6" w14:paraId="627504AA" w14:textId="77777777">
        <w:trPr>
          <w:jc w:val="center"/>
        </w:trPr>
        <w:tc>
          <w:tcPr>
            <w:tcW w:w="5112" w:type="dxa"/>
            <w:vAlign w:val="center"/>
          </w:tcPr>
          <w:p w14:paraId="33ACB4D0"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view_available_aliquots_detail</w:t>
            </w:r>
          </w:p>
        </w:tc>
        <w:tc>
          <w:tcPr>
            <w:tcW w:w="5112" w:type="dxa"/>
            <w:vAlign w:val="center"/>
          </w:tcPr>
          <w:p w14:paraId="03A16A3B"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Returns aliquots with sample type, storage, donor blood type, and consent status where the aliquot is In Storage and consent is Active.</w:t>
            </w:r>
          </w:p>
        </w:tc>
      </w:tr>
      <w:tr w:rsidR="0080524F" w:rsidRPr="00EB35F6" w14:paraId="59CD0DD8" w14:textId="77777777">
        <w:trPr>
          <w:jc w:val="center"/>
        </w:trPr>
        <w:tc>
          <w:tcPr>
            <w:tcW w:w="5112" w:type="dxa"/>
            <w:vAlign w:val="center"/>
          </w:tcPr>
          <w:p w14:paraId="3E40E68B"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view_researcher_request_summary</w:t>
            </w:r>
          </w:p>
        </w:tc>
        <w:tc>
          <w:tcPr>
            <w:tcW w:w="5112" w:type="dxa"/>
            <w:vAlign w:val="center"/>
          </w:tcPr>
          <w:p w14:paraId="5AD934D7"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LEFT JOINs researchers to requests and counts total, approved, pending, and rejected requests for each researcher.</w:t>
            </w:r>
          </w:p>
        </w:tc>
      </w:tr>
      <w:tr w:rsidR="0080524F" w:rsidRPr="00EB35F6" w14:paraId="61E10A02" w14:textId="77777777">
        <w:trPr>
          <w:jc w:val="center"/>
        </w:trPr>
        <w:tc>
          <w:tcPr>
            <w:tcW w:w="5112" w:type="dxa"/>
            <w:vAlign w:val="center"/>
          </w:tcPr>
          <w:p w14:paraId="2A990D55"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trg_check_aliquot_volume</w:t>
            </w:r>
          </w:p>
        </w:tc>
        <w:tc>
          <w:tcPr>
            <w:tcW w:w="5112" w:type="dxa"/>
            <w:vAlign w:val="center"/>
          </w:tcPr>
          <w:p w14:paraId="4CA14501"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BEFORE UPDATE trigger. When new volume is zero or negative, it sets volume to zero and status to Used.</w:t>
            </w:r>
          </w:p>
        </w:tc>
      </w:tr>
      <w:tr w:rsidR="0080524F" w:rsidRPr="00EB35F6" w14:paraId="76411E26" w14:textId="77777777">
        <w:trPr>
          <w:jc w:val="center"/>
        </w:trPr>
        <w:tc>
          <w:tcPr>
            <w:tcW w:w="5112" w:type="dxa"/>
            <w:vAlign w:val="center"/>
          </w:tcPr>
          <w:p w14:paraId="1149D5FB"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sp_GetDonorFullHistory</w:t>
            </w:r>
          </w:p>
        </w:tc>
        <w:tc>
          <w:tcPr>
            <w:tcW w:w="5112" w:type="dxa"/>
            <w:vAlign w:val="center"/>
          </w:tcPr>
          <w:p w14:paraId="58A2BD32" w14:textId="77777777" w:rsidR="0080524F" w:rsidRPr="00EB35F6" w:rsidRDefault="00000000">
            <w:pPr>
              <w:rPr>
                <w:rFonts w:asciiTheme="majorBidi" w:hAnsiTheme="majorBidi" w:cstheme="majorBidi"/>
                <w:sz w:val="24"/>
                <w:szCs w:val="24"/>
              </w:rPr>
            </w:pPr>
            <w:r w:rsidRPr="00EB35F6">
              <w:rPr>
                <w:rFonts w:asciiTheme="majorBidi" w:hAnsiTheme="majorBidi" w:cstheme="majorBidi"/>
                <w:sz w:val="24"/>
                <w:szCs w:val="24"/>
              </w:rPr>
              <w:t>Returns two result sets: donor/consent information, then biospecimen and aliquot history with sample type and storage freezer.</w:t>
            </w:r>
          </w:p>
        </w:tc>
      </w:tr>
    </w:tbl>
    <w:p w14:paraId="3B2E82BA" w14:textId="77777777" w:rsidR="0080524F" w:rsidRDefault="0080524F"/>
    <w:p w14:paraId="0259FB35" w14:textId="77777777" w:rsidR="0080524F" w:rsidRPr="009145FA" w:rsidRDefault="00000000">
      <w:pPr>
        <w:pStyle w:val="Heading1"/>
        <w:rPr>
          <w:color w:val="1F497D" w:themeColor="text2"/>
        </w:rPr>
      </w:pPr>
      <w:r w:rsidRPr="009145FA">
        <w:rPr>
          <w:color w:val="1F497D" w:themeColor="text2"/>
        </w:rPr>
        <w:t>9. Test Cases, Results, Limitations, and Conclusion</w:t>
      </w:r>
    </w:p>
    <w:tbl>
      <w:tblPr>
        <w:tblStyle w:val="TableGrid"/>
        <w:tblW w:w="0" w:type="auto"/>
        <w:jc w:val="center"/>
        <w:tblLook w:val="04A0" w:firstRow="1" w:lastRow="0" w:firstColumn="1" w:lastColumn="0" w:noHBand="0" w:noVBand="1"/>
      </w:tblPr>
      <w:tblGrid>
        <w:gridCol w:w="3408"/>
        <w:gridCol w:w="3408"/>
        <w:gridCol w:w="3408"/>
      </w:tblGrid>
      <w:tr w:rsidR="0080524F" w:rsidRPr="00EB35F6" w14:paraId="6B1D3D17" w14:textId="77777777" w:rsidTr="009145FA">
        <w:trPr>
          <w:jc w:val="center"/>
        </w:trPr>
        <w:tc>
          <w:tcPr>
            <w:tcW w:w="3408" w:type="dxa"/>
            <w:shd w:val="clear" w:color="auto" w:fill="1F497D" w:themeFill="text2"/>
            <w:vAlign w:val="center"/>
          </w:tcPr>
          <w:p w14:paraId="5106C75E" w14:textId="77777777" w:rsidR="0080524F" w:rsidRPr="00EB35F6" w:rsidRDefault="00000000">
            <w:pPr>
              <w:rPr>
                <w:rFonts w:asciiTheme="majorBidi" w:hAnsiTheme="majorBidi" w:cstheme="majorBidi"/>
                <w:sz w:val="24"/>
                <w:szCs w:val="24"/>
              </w:rPr>
            </w:pPr>
            <w:r w:rsidRPr="00EB35F6">
              <w:rPr>
                <w:rFonts w:asciiTheme="majorBidi" w:hAnsiTheme="majorBidi" w:cstheme="majorBidi"/>
                <w:b/>
                <w:color w:val="FFFFFF"/>
                <w:sz w:val="24"/>
                <w:szCs w:val="24"/>
              </w:rPr>
              <w:t>Test</w:t>
            </w:r>
          </w:p>
        </w:tc>
        <w:tc>
          <w:tcPr>
            <w:tcW w:w="3408" w:type="dxa"/>
            <w:shd w:val="clear" w:color="auto" w:fill="1F497D" w:themeFill="text2"/>
            <w:vAlign w:val="center"/>
          </w:tcPr>
          <w:p w14:paraId="0C1B33F3" w14:textId="77777777" w:rsidR="0080524F" w:rsidRPr="00EB35F6" w:rsidRDefault="00000000">
            <w:pPr>
              <w:rPr>
                <w:rFonts w:asciiTheme="majorBidi" w:hAnsiTheme="majorBidi" w:cstheme="majorBidi"/>
                <w:sz w:val="24"/>
                <w:szCs w:val="24"/>
              </w:rPr>
            </w:pPr>
            <w:r w:rsidRPr="00EB35F6">
              <w:rPr>
                <w:rFonts w:asciiTheme="majorBidi" w:hAnsiTheme="majorBidi" w:cstheme="majorBidi"/>
                <w:b/>
                <w:color w:val="FFFFFF"/>
                <w:sz w:val="24"/>
                <w:szCs w:val="24"/>
              </w:rPr>
              <w:t>Expected result</w:t>
            </w:r>
          </w:p>
        </w:tc>
        <w:tc>
          <w:tcPr>
            <w:tcW w:w="3408" w:type="dxa"/>
            <w:shd w:val="clear" w:color="auto" w:fill="1F497D" w:themeFill="text2"/>
            <w:vAlign w:val="center"/>
          </w:tcPr>
          <w:p w14:paraId="0AA4B0BF" w14:textId="77777777" w:rsidR="0080524F" w:rsidRPr="00EB35F6" w:rsidRDefault="00000000">
            <w:pPr>
              <w:rPr>
                <w:rFonts w:asciiTheme="majorBidi" w:hAnsiTheme="majorBidi" w:cstheme="majorBidi"/>
                <w:sz w:val="24"/>
                <w:szCs w:val="24"/>
              </w:rPr>
            </w:pPr>
            <w:r w:rsidRPr="00EB35F6">
              <w:rPr>
                <w:rFonts w:asciiTheme="majorBidi" w:hAnsiTheme="majorBidi" w:cstheme="majorBidi"/>
                <w:b/>
                <w:color w:val="FFFFFF"/>
                <w:sz w:val="24"/>
                <w:szCs w:val="24"/>
              </w:rPr>
              <w:t>Evidence</w:t>
            </w:r>
          </w:p>
        </w:tc>
      </w:tr>
      <w:tr w:rsidR="00F53EA4" w:rsidRPr="00EB35F6" w14:paraId="4B24729A" w14:textId="77777777">
        <w:trPr>
          <w:jc w:val="center"/>
        </w:trPr>
        <w:tc>
          <w:tcPr>
            <w:tcW w:w="3408" w:type="dxa"/>
            <w:vAlign w:val="center"/>
          </w:tcPr>
          <w:p w14:paraId="5BBD93EA" w14:textId="14F68F23" w:rsidR="00F53EA4" w:rsidRPr="00EB35F6" w:rsidRDefault="00F53EA4" w:rsidP="00F53EA4">
            <w:pPr>
              <w:rPr>
                <w:rFonts w:asciiTheme="majorBidi" w:hAnsiTheme="majorBidi" w:cstheme="majorBidi"/>
                <w:sz w:val="24"/>
                <w:szCs w:val="24"/>
              </w:rPr>
            </w:pPr>
            <w:r w:rsidRPr="00EB35F6">
              <w:rPr>
                <w:rFonts w:asciiTheme="majorBidi" w:hAnsiTheme="majorBidi" w:cstheme="majorBidi"/>
                <w:sz w:val="24"/>
                <w:szCs w:val="24"/>
              </w:rPr>
              <w:t>T</w:t>
            </w:r>
            <w:r w:rsidRPr="00EB35F6">
              <w:rPr>
                <w:rFonts w:asciiTheme="majorBidi" w:hAnsiTheme="majorBidi" w:cstheme="majorBidi"/>
                <w:sz w:val="24"/>
                <w:szCs w:val="24"/>
              </w:rPr>
              <w:t>1</w:t>
            </w:r>
            <w:r w:rsidRPr="00EB35F6">
              <w:rPr>
                <w:rFonts w:asciiTheme="majorBidi" w:hAnsiTheme="majorBidi" w:cstheme="majorBidi"/>
                <w:sz w:val="24"/>
                <w:szCs w:val="24"/>
              </w:rPr>
              <w:t xml:space="preserve"> data coverage</w:t>
            </w:r>
          </w:p>
        </w:tc>
        <w:tc>
          <w:tcPr>
            <w:tcW w:w="3408" w:type="dxa"/>
            <w:vAlign w:val="center"/>
          </w:tcPr>
          <w:p w14:paraId="12E05BE4" w14:textId="2076CFF8" w:rsidR="00F53EA4" w:rsidRPr="00EB35F6" w:rsidRDefault="00F53EA4" w:rsidP="00F53EA4">
            <w:pPr>
              <w:rPr>
                <w:rFonts w:asciiTheme="majorBidi" w:hAnsiTheme="majorBidi" w:cstheme="majorBidi"/>
                <w:sz w:val="24"/>
                <w:szCs w:val="24"/>
              </w:rPr>
            </w:pPr>
            <w:r w:rsidRPr="00EB35F6">
              <w:rPr>
                <w:rFonts w:asciiTheme="majorBidi" w:hAnsiTheme="majorBidi" w:cstheme="majorBidi"/>
                <w:sz w:val="24"/>
                <w:szCs w:val="24"/>
              </w:rPr>
              <w:t xml:space="preserve">Main tables contain the loaded sample records and </w:t>
            </w:r>
            <w:proofErr w:type="spellStart"/>
            <w:r w:rsidRPr="00EB35F6">
              <w:rPr>
                <w:rFonts w:asciiTheme="majorBidi" w:hAnsiTheme="majorBidi" w:cstheme="majorBidi"/>
                <w:sz w:val="24"/>
                <w:szCs w:val="24"/>
              </w:rPr>
              <w:t>request_aliquots</w:t>
            </w:r>
            <w:proofErr w:type="spellEnd"/>
            <w:r w:rsidRPr="00EB35F6">
              <w:rPr>
                <w:rFonts w:asciiTheme="majorBidi" w:hAnsiTheme="majorBidi" w:cstheme="majorBidi"/>
                <w:sz w:val="24"/>
                <w:szCs w:val="24"/>
              </w:rPr>
              <w:t xml:space="preserve"> demonstrates </w:t>
            </w:r>
            <w:proofErr w:type="gramStart"/>
            <w:r w:rsidRPr="00EB35F6">
              <w:rPr>
                <w:rFonts w:asciiTheme="majorBidi" w:hAnsiTheme="majorBidi" w:cstheme="majorBidi"/>
                <w:sz w:val="24"/>
                <w:szCs w:val="24"/>
              </w:rPr>
              <w:t>M:N.</w:t>
            </w:r>
            <w:proofErr w:type="gramEnd"/>
          </w:p>
        </w:tc>
        <w:tc>
          <w:tcPr>
            <w:tcW w:w="3408" w:type="dxa"/>
            <w:vAlign w:val="center"/>
          </w:tcPr>
          <w:p w14:paraId="4431F22D" w14:textId="77777777" w:rsidR="00F53EA4" w:rsidRPr="00EB35F6" w:rsidRDefault="00F53EA4" w:rsidP="00F53EA4">
            <w:pPr>
              <w:rPr>
                <w:rFonts w:asciiTheme="majorBidi" w:hAnsiTheme="majorBidi" w:cstheme="majorBidi"/>
                <w:sz w:val="24"/>
                <w:szCs w:val="24"/>
              </w:rPr>
            </w:pPr>
            <w:r w:rsidRPr="00EB35F6">
              <w:rPr>
                <w:rFonts w:asciiTheme="majorBidi" w:hAnsiTheme="majorBidi" w:cstheme="majorBidi"/>
                <w:sz w:val="24"/>
                <w:szCs w:val="24"/>
              </w:rPr>
              <w:t>S1</w:t>
            </w:r>
          </w:p>
        </w:tc>
      </w:tr>
      <w:tr w:rsidR="00F53EA4" w:rsidRPr="00EB35F6" w14:paraId="24D4EB23" w14:textId="77777777">
        <w:trPr>
          <w:jc w:val="center"/>
        </w:trPr>
        <w:tc>
          <w:tcPr>
            <w:tcW w:w="3408" w:type="dxa"/>
            <w:vAlign w:val="center"/>
          </w:tcPr>
          <w:p w14:paraId="504D5802" w14:textId="4AB0E353" w:rsidR="00F53EA4" w:rsidRPr="00EB35F6" w:rsidRDefault="00F53EA4" w:rsidP="00F53EA4">
            <w:pPr>
              <w:rPr>
                <w:rFonts w:asciiTheme="majorBidi" w:hAnsiTheme="majorBidi" w:cstheme="majorBidi"/>
                <w:sz w:val="24"/>
                <w:szCs w:val="24"/>
              </w:rPr>
            </w:pPr>
            <w:r w:rsidRPr="00EB35F6">
              <w:rPr>
                <w:rFonts w:asciiTheme="majorBidi" w:hAnsiTheme="majorBidi" w:cstheme="majorBidi"/>
                <w:sz w:val="24"/>
                <w:szCs w:val="24"/>
              </w:rPr>
              <w:t>T</w:t>
            </w:r>
            <w:r w:rsidRPr="00EB35F6">
              <w:rPr>
                <w:rFonts w:asciiTheme="majorBidi" w:hAnsiTheme="majorBidi" w:cstheme="majorBidi"/>
                <w:sz w:val="24"/>
                <w:szCs w:val="24"/>
              </w:rPr>
              <w:t>2</w:t>
            </w:r>
            <w:r w:rsidRPr="00EB35F6">
              <w:rPr>
                <w:rFonts w:asciiTheme="majorBidi" w:hAnsiTheme="majorBidi" w:cstheme="majorBidi"/>
                <w:sz w:val="24"/>
                <w:szCs w:val="24"/>
              </w:rPr>
              <w:t xml:space="preserve"> available view</w:t>
            </w:r>
          </w:p>
        </w:tc>
        <w:tc>
          <w:tcPr>
            <w:tcW w:w="3408" w:type="dxa"/>
            <w:vAlign w:val="center"/>
          </w:tcPr>
          <w:p w14:paraId="42362B4E" w14:textId="0915287A" w:rsidR="00F53EA4" w:rsidRPr="00EB35F6" w:rsidRDefault="00F53EA4" w:rsidP="00F53EA4">
            <w:pPr>
              <w:rPr>
                <w:rFonts w:asciiTheme="majorBidi" w:hAnsiTheme="majorBidi" w:cstheme="majorBidi"/>
                <w:sz w:val="24"/>
                <w:szCs w:val="24"/>
              </w:rPr>
            </w:pPr>
            <w:r w:rsidRPr="00EB35F6">
              <w:rPr>
                <w:rFonts w:asciiTheme="majorBidi" w:hAnsiTheme="majorBidi" w:cstheme="majorBidi"/>
                <w:sz w:val="24"/>
                <w:szCs w:val="24"/>
              </w:rPr>
              <w:t>Only in-storage aliquots with active consent appear.</w:t>
            </w:r>
          </w:p>
        </w:tc>
        <w:tc>
          <w:tcPr>
            <w:tcW w:w="3408" w:type="dxa"/>
            <w:vAlign w:val="center"/>
          </w:tcPr>
          <w:p w14:paraId="33281C5D" w14:textId="77777777" w:rsidR="00F53EA4" w:rsidRPr="00EB35F6" w:rsidRDefault="00F53EA4" w:rsidP="00F53EA4">
            <w:pPr>
              <w:rPr>
                <w:rFonts w:asciiTheme="majorBidi" w:hAnsiTheme="majorBidi" w:cstheme="majorBidi"/>
                <w:sz w:val="24"/>
                <w:szCs w:val="24"/>
              </w:rPr>
            </w:pPr>
            <w:r w:rsidRPr="00EB35F6">
              <w:rPr>
                <w:rFonts w:asciiTheme="majorBidi" w:hAnsiTheme="majorBidi" w:cstheme="majorBidi"/>
                <w:sz w:val="24"/>
                <w:szCs w:val="24"/>
              </w:rPr>
              <w:t>S2</w:t>
            </w:r>
          </w:p>
        </w:tc>
      </w:tr>
      <w:tr w:rsidR="00F53EA4" w:rsidRPr="00EB35F6" w14:paraId="450E6EAA" w14:textId="77777777">
        <w:trPr>
          <w:jc w:val="center"/>
        </w:trPr>
        <w:tc>
          <w:tcPr>
            <w:tcW w:w="3408" w:type="dxa"/>
            <w:vAlign w:val="center"/>
          </w:tcPr>
          <w:p w14:paraId="174D5EE8" w14:textId="4C5011DA" w:rsidR="00F53EA4" w:rsidRPr="00EB35F6" w:rsidRDefault="00F53EA4" w:rsidP="00F53EA4">
            <w:pPr>
              <w:rPr>
                <w:rFonts w:asciiTheme="majorBidi" w:hAnsiTheme="majorBidi" w:cstheme="majorBidi"/>
                <w:sz w:val="24"/>
                <w:szCs w:val="24"/>
              </w:rPr>
            </w:pPr>
            <w:r w:rsidRPr="00EB35F6">
              <w:rPr>
                <w:rFonts w:asciiTheme="majorBidi" w:hAnsiTheme="majorBidi" w:cstheme="majorBidi"/>
                <w:sz w:val="24"/>
                <w:szCs w:val="24"/>
              </w:rPr>
              <w:t>T</w:t>
            </w:r>
            <w:r w:rsidRPr="00EB35F6">
              <w:rPr>
                <w:rFonts w:asciiTheme="majorBidi" w:hAnsiTheme="majorBidi" w:cstheme="majorBidi"/>
                <w:sz w:val="24"/>
                <w:szCs w:val="24"/>
              </w:rPr>
              <w:t>3</w:t>
            </w:r>
            <w:r w:rsidRPr="00EB35F6">
              <w:rPr>
                <w:rFonts w:asciiTheme="majorBidi" w:hAnsiTheme="majorBidi" w:cstheme="majorBidi"/>
                <w:sz w:val="24"/>
                <w:szCs w:val="24"/>
              </w:rPr>
              <w:t xml:space="preserve"> researcher summary</w:t>
            </w:r>
          </w:p>
        </w:tc>
        <w:tc>
          <w:tcPr>
            <w:tcW w:w="3408" w:type="dxa"/>
            <w:vAlign w:val="center"/>
          </w:tcPr>
          <w:p w14:paraId="0E3E9ECF" w14:textId="0BBE7976" w:rsidR="00F53EA4" w:rsidRPr="00EB35F6" w:rsidRDefault="00F53EA4" w:rsidP="00F53EA4">
            <w:pPr>
              <w:rPr>
                <w:rFonts w:asciiTheme="majorBidi" w:hAnsiTheme="majorBidi" w:cstheme="majorBidi"/>
                <w:sz w:val="24"/>
                <w:szCs w:val="24"/>
              </w:rPr>
            </w:pPr>
            <w:r w:rsidRPr="00EB35F6">
              <w:rPr>
                <w:rFonts w:asciiTheme="majorBidi" w:hAnsiTheme="majorBidi" w:cstheme="majorBidi"/>
                <w:sz w:val="24"/>
                <w:szCs w:val="24"/>
              </w:rPr>
              <w:t>Every researcher appears, including researchers with zero requests; counts are grouped correctly.</w:t>
            </w:r>
          </w:p>
        </w:tc>
        <w:tc>
          <w:tcPr>
            <w:tcW w:w="3408" w:type="dxa"/>
            <w:vAlign w:val="center"/>
          </w:tcPr>
          <w:p w14:paraId="135F2B57" w14:textId="77777777" w:rsidR="00F53EA4" w:rsidRPr="00EB35F6" w:rsidRDefault="00F53EA4" w:rsidP="00F53EA4">
            <w:pPr>
              <w:rPr>
                <w:rFonts w:asciiTheme="majorBidi" w:hAnsiTheme="majorBidi" w:cstheme="majorBidi"/>
                <w:sz w:val="24"/>
                <w:szCs w:val="24"/>
              </w:rPr>
            </w:pPr>
            <w:r w:rsidRPr="00EB35F6">
              <w:rPr>
                <w:rFonts w:asciiTheme="majorBidi" w:hAnsiTheme="majorBidi" w:cstheme="majorBidi"/>
                <w:sz w:val="24"/>
                <w:szCs w:val="24"/>
              </w:rPr>
              <w:t>S3</w:t>
            </w:r>
          </w:p>
        </w:tc>
      </w:tr>
    </w:tbl>
    <w:p w14:paraId="0AA90B47" w14:textId="77777777" w:rsidR="0080524F" w:rsidRDefault="0080524F"/>
    <w:p w14:paraId="122265DB" w14:textId="77777777" w:rsidR="0080524F" w:rsidRDefault="00000000">
      <w:pPr>
        <w:pStyle w:val="Heading2"/>
      </w:pPr>
      <w:r w:rsidRPr="009145FA">
        <w:rPr>
          <w:color w:val="1F497D" w:themeColor="text2"/>
        </w:rPr>
        <w:t>Limitations</w:t>
      </w:r>
    </w:p>
    <w:p w14:paraId="4CAA4BD7" w14:textId="77777777" w:rsidR="0080524F" w:rsidRPr="00EB35F6" w:rsidRDefault="00000000">
      <w:pPr>
        <w:pStyle w:val="ListBullet"/>
        <w:rPr>
          <w:rFonts w:asciiTheme="majorBidi" w:hAnsiTheme="majorBidi" w:cstheme="majorBidi"/>
          <w:sz w:val="24"/>
          <w:szCs w:val="24"/>
        </w:rPr>
      </w:pPr>
      <w:r w:rsidRPr="00EB35F6">
        <w:rPr>
          <w:rFonts w:asciiTheme="majorBidi" w:hAnsiTheme="majorBidi" w:cstheme="majorBidi"/>
          <w:sz w:val="24"/>
          <w:szCs w:val="24"/>
        </w:rPr>
        <w:t>The database uses anonymized academic records, not real donor data.</w:t>
      </w:r>
    </w:p>
    <w:p w14:paraId="3C2C434F" w14:textId="77777777" w:rsidR="0080524F" w:rsidRPr="00EB35F6" w:rsidRDefault="00000000">
      <w:pPr>
        <w:pStyle w:val="ListBullet"/>
        <w:rPr>
          <w:rFonts w:asciiTheme="majorBidi" w:hAnsiTheme="majorBidi" w:cstheme="majorBidi"/>
          <w:sz w:val="24"/>
          <w:szCs w:val="24"/>
        </w:rPr>
      </w:pPr>
      <w:r w:rsidRPr="00EB35F6">
        <w:rPr>
          <w:rFonts w:asciiTheme="majorBidi" w:hAnsiTheme="majorBidi" w:cstheme="majorBidi"/>
          <w:sz w:val="24"/>
          <w:szCs w:val="24"/>
        </w:rPr>
        <w:t>Storage capacity is recorded but there is no automatic capacity check against the number of aliquots.</w:t>
      </w:r>
    </w:p>
    <w:p w14:paraId="091EFD20" w14:textId="77777777" w:rsidR="0080524F" w:rsidRPr="00EB35F6" w:rsidRDefault="00000000">
      <w:pPr>
        <w:pStyle w:val="ListBullet"/>
        <w:rPr>
          <w:rFonts w:asciiTheme="majorBidi" w:hAnsiTheme="majorBidi" w:cstheme="majorBidi"/>
          <w:sz w:val="24"/>
          <w:szCs w:val="24"/>
        </w:rPr>
      </w:pPr>
      <w:r w:rsidRPr="00EB35F6">
        <w:rPr>
          <w:rFonts w:asciiTheme="majorBidi" w:hAnsiTheme="majorBidi" w:cstheme="majorBidi"/>
          <w:sz w:val="24"/>
          <w:szCs w:val="24"/>
        </w:rPr>
        <w:t>The trigger handles updates to aliquot volume but does not prevent an invalid negative volume during the initial INSERT unless an additional validation rule is added.</w:t>
      </w:r>
    </w:p>
    <w:p w14:paraId="04E17CC9" w14:textId="77777777" w:rsidR="0080524F" w:rsidRPr="00EB35F6" w:rsidRDefault="00000000">
      <w:pPr>
        <w:pStyle w:val="ListBullet"/>
        <w:rPr>
          <w:rFonts w:asciiTheme="majorBidi" w:hAnsiTheme="majorBidi" w:cstheme="majorBidi"/>
          <w:sz w:val="24"/>
          <w:szCs w:val="24"/>
        </w:rPr>
      </w:pPr>
      <w:r w:rsidRPr="00EB35F6">
        <w:rPr>
          <w:rFonts w:asciiTheme="majorBidi" w:hAnsiTheme="majorBidi" w:cstheme="majorBidi"/>
          <w:sz w:val="24"/>
          <w:szCs w:val="24"/>
        </w:rPr>
        <w:t>The project has no authentication, audit trail, freezer monitoring, or user interface.</w:t>
      </w:r>
    </w:p>
    <w:p w14:paraId="597CDB6C" w14:textId="77777777" w:rsidR="0080524F" w:rsidRPr="00EB35F6" w:rsidRDefault="00000000">
      <w:pPr>
        <w:pStyle w:val="ListBullet"/>
        <w:rPr>
          <w:rFonts w:asciiTheme="majorBidi" w:hAnsiTheme="majorBidi" w:cstheme="majorBidi"/>
          <w:sz w:val="24"/>
          <w:szCs w:val="24"/>
        </w:rPr>
      </w:pPr>
      <w:r w:rsidRPr="00EB35F6">
        <w:rPr>
          <w:rFonts w:asciiTheme="majorBidi" w:hAnsiTheme="majorBidi" w:cstheme="majorBidi"/>
          <w:sz w:val="24"/>
          <w:szCs w:val="24"/>
        </w:rPr>
        <w:t>Execution screenshots, student names, IDs, GitHub URL, and presentation video link must be added by the student before final submission.</w:t>
      </w:r>
    </w:p>
    <w:p w14:paraId="25FAA51D" w14:textId="77777777" w:rsidR="0080524F" w:rsidRPr="009145FA" w:rsidRDefault="00000000">
      <w:pPr>
        <w:pStyle w:val="Heading2"/>
        <w:rPr>
          <w:color w:val="1F497D" w:themeColor="text2"/>
        </w:rPr>
      </w:pPr>
      <w:r w:rsidRPr="009145FA">
        <w:rPr>
          <w:color w:val="1F497D" w:themeColor="text2"/>
        </w:rPr>
        <w:t>Conclusion</w:t>
      </w:r>
    </w:p>
    <w:p w14:paraId="1B9D0C13" w14:textId="77777777" w:rsidR="0080524F" w:rsidRPr="00EB35F6" w:rsidRDefault="00000000" w:rsidP="00EB35F6">
      <w:pPr>
        <w:pStyle w:val="ListBullet"/>
        <w:numPr>
          <w:ilvl w:val="0"/>
          <w:numId w:val="0"/>
        </w:numPr>
        <w:rPr>
          <w:rFonts w:asciiTheme="majorBidi" w:hAnsiTheme="majorBidi" w:cstheme="majorBidi"/>
          <w:sz w:val="24"/>
          <w:szCs w:val="24"/>
        </w:rPr>
      </w:pPr>
      <w:r w:rsidRPr="00EB35F6">
        <w:rPr>
          <w:rFonts w:asciiTheme="majorBidi" w:hAnsiTheme="majorBidi" w:cstheme="majorBidi"/>
          <w:sz w:val="24"/>
          <w:szCs w:val="24"/>
        </w:rPr>
        <w:t>The BiobankDB design meets the core database complexity requirements with nine meaningful tables, a many-to-many associative table, normalized relations, explicit keys and constraints, two views, a trigger, a stored procedure, meaningful sample data, and varied SQL operations. The remaining submission work is to execute the scripts, capture genuine screenshots, complete personal details, publish the repository, and commit the presentation and video evidence.</w:t>
      </w:r>
    </w:p>
    <w:sectPr w:rsidR="0080524F" w:rsidRPr="00EB35F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B74F07"/>
    <w:multiLevelType w:val="hybridMultilevel"/>
    <w:tmpl w:val="24961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741897">
    <w:abstractNumId w:val="8"/>
  </w:num>
  <w:num w:numId="2" w16cid:durableId="966473239">
    <w:abstractNumId w:val="6"/>
  </w:num>
  <w:num w:numId="3" w16cid:durableId="273707464">
    <w:abstractNumId w:val="5"/>
  </w:num>
  <w:num w:numId="4" w16cid:durableId="402457346">
    <w:abstractNumId w:val="4"/>
  </w:num>
  <w:num w:numId="5" w16cid:durableId="2005552704">
    <w:abstractNumId w:val="7"/>
  </w:num>
  <w:num w:numId="6" w16cid:durableId="589973694">
    <w:abstractNumId w:val="3"/>
  </w:num>
  <w:num w:numId="7" w16cid:durableId="1884562609">
    <w:abstractNumId w:val="2"/>
  </w:num>
  <w:num w:numId="8" w16cid:durableId="583950659">
    <w:abstractNumId w:val="1"/>
  </w:num>
  <w:num w:numId="9" w16cid:durableId="8530919">
    <w:abstractNumId w:val="0"/>
  </w:num>
  <w:num w:numId="10" w16cid:durableId="1728340579">
    <w:abstractNumId w:val="9"/>
  </w:num>
  <w:num w:numId="11" w16cid:durableId="1043485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DBE"/>
    <w:rsid w:val="006B36AC"/>
    <w:rsid w:val="0080524F"/>
    <w:rsid w:val="009145FA"/>
    <w:rsid w:val="00995AC8"/>
    <w:rsid w:val="00AA1D8D"/>
    <w:rsid w:val="00B47730"/>
    <w:rsid w:val="00B66133"/>
    <w:rsid w:val="00CB0664"/>
    <w:rsid w:val="00DB7B01"/>
    <w:rsid w:val="00EB35F6"/>
    <w:rsid w:val="00F53E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4AEB5"/>
  <w14:defaultImageDpi w14:val="300"/>
  <w15:docId w15:val="{22719700-9DBC-45B1-9D35-A079B5803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D4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D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4D4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53EA4"/>
    <w:rPr>
      <w:color w:val="0000FF" w:themeColor="hyperlink"/>
      <w:u w:val="single"/>
    </w:rPr>
  </w:style>
  <w:style w:type="character" w:styleId="UnresolvedMention">
    <w:name w:val="Unresolved Mention"/>
    <w:basedOn w:val="DefaultParagraphFont"/>
    <w:uiPriority w:val="99"/>
    <w:semiHidden/>
    <w:unhideWhenUsed/>
    <w:rsid w:val="00F53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9</Pages>
  <Words>1587</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Muhammad</cp:lastModifiedBy>
  <cp:revision>4</cp:revision>
  <dcterms:created xsi:type="dcterms:W3CDTF">2013-12-23T23:15:00Z</dcterms:created>
  <dcterms:modified xsi:type="dcterms:W3CDTF">2026-08-15T20:17:00Z</dcterms:modified>
  <cp:category/>
</cp:coreProperties>
</file>