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пользователя.</w:t>
      </w:r>
    </w:p>
    <w:p>
      <w:pPr>
        <w:pStyle w:val="Author"/>
      </w:pPr>
      <w:r>
        <w:t xml:space="preserve">Алибаева</w:t>
      </w:r>
      <w:r>
        <w:t xml:space="preserve"> </w:t>
      </w:r>
      <w:r>
        <w:t xml:space="preserve">Данагуль</w:t>
      </w:r>
      <w:r>
        <w:t xml:space="preserve"> </w:t>
      </w:r>
      <w:r>
        <w:t xml:space="preserve">НБибд-01-18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установленной операционной системе создать учётную запись пользователя guest (используя учётную запись администратора)</w:t>
      </w:r>
    </w:p>
    <w:p>
      <w:pPr>
        <w:numPr>
          <w:ilvl w:val="0"/>
          <w:numId w:val="1001"/>
        </w:numPr>
      </w:pPr>
      <w:r>
        <w:t xml:space="preserve">Задать пароль для пользователя guest (используя учётную запись администратора)</w:t>
      </w:r>
    </w:p>
    <w:p>
      <w:pPr>
        <w:numPr>
          <w:ilvl w:val="0"/>
          <w:numId w:val="1001"/>
        </w:numPr>
      </w:pPr>
      <w:r>
        <w:t xml:space="preserve">Аналогично создать второго пользователя guest2</w:t>
      </w:r>
    </w:p>
    <w:p>
      <w:pPr>
        <w:numPr>
          <w:ilvl w:val="0"/>
          <w:numId w:val="1001"/>
        </w:numPr>
      </w:pPr>
      <w:r>
        <w:t xml:space="preserve">Добавить пользователя guest2 в группу guest</w:t>
      </w:r>
    </w:p>
    <w:p>
      <w:pPr>
        <w:numPr>
          <w:ilvl w:val="0"/>
          <w:numId w:val="1001"/>
        </w:numPr>
      </w:pPr>
      <w:r>
        <w:t xml:space="preserve">Осуществить вход в систему от двух пользователей на двух разных консолях</w:t>
      </w:r>
    </w:p>
    <w:p>
      <w:pPr>
        <w:numPr>
          <w:ilvl w:val="0"/>
          <w:numId w:val="1001"/>
        </w:numPr>
      </w:pPr>
      <w:r>
        <w:t xml:space="preserve">Для обоих пользователей определить директорию, в которой находимся. Сравните её с приглашениями командной строки.</w:t>
      </w:r>
    </w:p>
    <w:p>
      <w:pPr>
        <w:numPr>
          <w:ilvl w:val="0"/>
          <w:numId w:val="1001"/>
        </w:numPr>
      </w:pPr>
      <w:r>
        <w:t xml:space="preserve">Уточнить имя пользователя, его группу, кто входит в неё и к каким группам принадлежит он сам. Определить в какие группы входят пользователи guest и guest2. Сравнить вывод команды groups с выводом команд id -Gn и id -G.</w:t>
      </w:r>
    </w:p>
    <w:p>
      <w:pPr>
        <w:numPr>
          <w:ilvl w:val="0"/>
          <w:numId w:val="1001"/>
        </w:numPr>
      </w:pPr>
      <w:r>
        <w:t xml:space="preserve">Сравнить полученную информацию с содержимым файла /etc/group</w:t>
      </w:r>
    </w:p>
    <w:p>
      <w:pPr>
        <w:numPr>
          <w:ilvl w:val="0"/>
          <w:numId w:val="1001"/>
        </w:numPr>
      </w:pPr>
      <w:r>
        <w:t xml:space="preserve">От имени пользователя guest2 выполнить регистрацию пользователя guest2 в группе guest</w:t>
      </w:r>
    </w:p>
    <w:p>
      <w:pPr>
        <w:numPr>
          <w:ilvl w:val="0"/>
          <w:numId w:val="1001"/>
        </w:numPr>
      </w:pPr>
      <w:r>
        <w:t xml:space="preserve">От имени пользователя guest изменить права директории /home/guest, разрешив все действия для пользователей группы</w:t>
      </w:r>
    </w:p>
    <w:p>
      <w:pPr>
        <w:numPr>
          <w:ilvl w:val="0"/>
          <w:numId w:val="1001"/>
        </w:numPr>
      </w:pPr>
      <w:r>
        <w:t xml:space="preserve">От имени пользователя guest снять с директории /home/guest/dir1 все атрибуты и проверить правильность снятия атрибутов. Меняя атрибуты у директории dir1 и файла file1 от имени пользователя guest и делая проверку от пользователя guest2, заполнить табл. 3.1, определив опытным путём, какие операции разрешены, а какие нет. Если операция разрешена, занесите в таблицу знак «+», если не разрешена, знак «-».</w:t>
      </w:r>
    </w:p>
    <w:p>
      <w:pPr>
        <w:pStyle w:val="FirstParagraph"/>
      </w:pPr>
      <w:r>
        <w:t xml:space="preserve">Сравнить табл. 2.1 (из лабораторной работы № 2) и табл. 3.1. На основании заполненной таблицы определите те или иные минимально необходимые права для выполнения пользователем guest2 операций внутри директории dir1 и заполните табл. 3.2.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Атрибуты файла - это набор из девяти основных битов. Определяющих какие из пользователей обладают правами на чтение, запись, а также запуск файлов для выполнения. Данный набор формирует код, называемый режимом доступа к файлу/каталогу. Первые три бита определяют права доступа для владельца. Следующие — для группы пользователей, к которой относится файл и последние три бита — права доступа для всех остальных пользователей в системе. [1]</w:t>
      </w:r>
    </w:p>
    <w:p>
      <w:pPr>
        <w:pStyle w:val="BodyText"/>
      </w:pPr>
      <w:r>
        <w:t xml:space="preserve">Существует также ещё четыре дополнительных бита. Которые определяют тип самого файла и задаются непосредственно при создании файла. С помощью команды chmod можно менять основные (и некоторые дополнительные) биты режима доступа. Сделать это может только владелец файла или суперпользователь. Просматривать атрибуты (в том числе и режимы доступа) позволяет команда ls. Таким образом, характер поведения ФС, а также распределение доступа и управление им полностью определяется атрибутами файлов. Которые хранит сама ФС — это самодостаточный и универсальный подход. [1]</w:t>
      </w:r>
    </w:p>
    <w:p>
      <w:pPr>
        <w:pStyle w:val="BodyText"/>
      </w:pPr>
      <w:r>
        <w:t xml:space="preserve">Для записи кода режима доступа используется восьмеричная запись чисел. Как уже было отмечено, код доступа содержит три «триады» битов — для пользователя, группы и всех остальных, именно в таком порядке. Битам из первой триады соответствуют значения в восьмеричной записи 400, 200 и 100. Для второй триады (т. е. для группы) — 40, 20 и 10. Наконец, для третьей (все остальные) — 4, 2 и 1. В свою очередь, первому биту в каждой триаде соответствует доступ на чтение (r — «read»). Второму — на запись (w — «write») и третьему — на выполнение, т. е. x — «execute». [1]</w:t>
      </w:r>
    </w:p>
    <w:p>
      <w:pPr>
        <w:pStyle w:val="BodyText"/>
      </w:pPr>
      <w:r>
        <w:t xml:space="preserve">Установка бита чтения (r) в одной из триад (или во всех) задаёт право открывать данный файл для чтения соответствующим категориям пользователей. Наличие бита записи (w) позволяет изменять файл. При этом возможно его удаление и/или переименование файла, но только в том случае, если заданы соответствующие биты для его родительского каталога, поскольку именно в его записях хранятся имена файлов. [1]</w:t>
      </w:r>
    </w:p>
    <w:bookmarkEnd w:id="22"/>
    <w:bookmarkStart w:id="4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1.Лабораторная работа выполнялась дома со следующими характеристиками техники:</w:t>
      </w:r>
    </w:p>
    <w:p>
      <w:pPr>
        <w:pStyle w:val="BodyText"/>
      </w:pPr>
      <w:r>
        <w:t xml:space="preserve">– Intel(R) Core(TM) i5-8300H CPU @ 2.30GHz, 2304 МГц, ядер: 4, логических процессоров: 8</w:t>
      </w:r>
    </w:p>
    <w:p>
      <w:pPr>
        <w:pStyle w:val="BodyText"/>
      </w:pPr>
      <w:r>
        <w:t xml:space="preserve">– ОС Майкрософт Windows 10 Pro</w:t>
      </w:r>
    </w:p>
    <w:p>
      <w:pPr>
        <w:pStyle w:val="BodyText"/>
      </w:pPr>
      <w:r>
        <w:t xml:space="preserve">– VirtualBox верс. 6.1.26</w:t>
      </w:r>
    </w:p>
    <w:p>
      <w:pPr>
        <w:numPr>
          <w:ilvl w:val="0"/>
          <w:numId w:val="1002"/>
        </w:numPr>
        <w:pStyle w:val="Compact"/>
      </w:pPr>
      <w:r>
        <w:t xml:space="preserve">В установленной при выполнении предыдущей лабораторной работы операционной системе запустила терминал и перешла под учетную запись root с помощью команды su (рис. 1)</w:t>
      </w:r>
    </w:p>
    <w:p>
      <w:pPr>
        <w:pStyle w:val="CaptionedFigure"/>
      </w:pPr>
      <w:bookmarkStart w:id="24" w:name="fig:001"/>
      <w:r>
        <w:drawing>
          <wp:inline>
            <wp:extent cx="5334000" cy="1826712"/>
            <wp:effectExtent b="0" l="0" r="0" t="0"/>
            <wp:docPr descr="Figure 1: Переход под учетную запись roo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Переход под учетную запись root</w:t>
      </w:r>
    </w:p>
    <w:p>
      <w:pPr>
        <w:numPr>
          <w:ilvl w:val="0"/>
          <w:numId w:val="1003"/>
        </w:numPr>
        <w:pStyle w:val="Compact"/>
      </w:pPr>
      <w:r>
        <w:t xml:space="preserve">Создала учётную запись пользователя guest2 (используя учётную запись администратора): с помощью команды useradd guest2 (рис. 2)</w:t>
      </w:r>
    </w:p>
    <w:p>
      <w:pPr>
        <w:pStyle w:val="CaptionedFigure"/>
      </w:pPr>
      <w:bookmarkStart w:id="26" w:name="fig:002"/>
      <w:r>
        <w:drawing>
          <wp:inline>
            <wp:extent cx="5334000" cy="2107259"/>
            <wp:effectExtent b="0" l="0" r="0" t="0"/>
            <wp:docPr descr="Figure 2: Создание учетной записи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7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Создание учетной записи пользователя guest2</w:t>
      </w:r>
    </w:p>
    <w:p>
      <w:pPr>
        <w:numPr>
          <w:ilvl w:val="0"/>
          <w:numId w:val="1004"/>
        </w:numPr>
        <w:pStyle w:val="Compact"/>
      </w:pPr>
      <w:r>
        <w:t xml:space="preserve">Задала пароль для пользователя guest2 (используя учётную запись администратора): passwd guest2 (рис. 3)</w:t>
      </w:r>
    </w:p>
    <w:p>
      <w:pPr>
        <w:pStyle w:val="CaptionedFigure"/>
      </w:pPr>
      <w:bookmarkStart w:id="28" w:name="fig:003"/>
      <w:r>
        <w:drawing>
          <wp:inline>
            <wp:extent cx="5334000" cy="1049311"/>
            <wp:effectExtent b="0" l="0" r="0" t="0"/>
            <wp:docPr descr="Figure 3: Задание пароля для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Задание пароля для пользователя guest2</w:t>
      </w:r>
    </w:p>
    <w:p>
      <w:pPr>
        <w:numPr>
          <w:ilvl w:val="0"/>
          <w:numId w:val="1005"/>
        </w:numPr>
        <w:pStyle w:val="Compact"/>
      </w:pPr>
      <w:r>
        <w:t xml:space="preserve">Добавила пользователя guest2 в группу guest: gpasswd -a guest2 guest (рис. 4)</w:t>
      </w:r>
    </w:p>
    <w:p>
      <w:pPr>
        <w:pStyle w:val="CaptionedFigure"/>
      </w:pPr>
      <w:bookmarkStart w:id="30" w:name="fig:004"/>
      <w:r>
        <w:drawing>
          <wp:inline>
            <wp:extent cx="5179038" cy="1229445"/>
            <wp:effectExtent b="0" l="0" r="0" t="0"/>
            <wp:docPr descr="Figure 4: Добавление пользователя guest2 в группу guest" title="" id="1" name="Picture"/>
            <a:graphic>
              <a:graphicData uri="http://schemas.openxmlformats.org/drawingml/2006/picture">
                <pic:pic>
                  <pic:nvPicPr>
                    <pic:cNvPr descr="image/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пользователя guest2 в группу guest</w:t>
      </w:r>
    </w:p>
    <w:p>
      <w:pPr>
        <w:numPr>
          <w:ilvl w:val="0"/>
          <w:numId w:val="1006"/>
        </w:numPr>
        <w:pStyle w:val="Compact"/>
      </w:pPr>
      <w:r>
        <w:t xml:space="preserve">Осуществила вход в систему от двух пользователей на двух разных консолях: guest на первой консоли и guest2 на второй консоли. (рис. 5)</w:t>
      </w:r>
    </w:p>
    <w:p>
      <w:pPr>
        <w:pStyle w:val="CaptionedFigure"/>
      </w:pPr>
      <w:bookmarkStart w:id="32" w:name="fig:005"/>
      <w:r>
        <w:drawing>
          <wp:inline>
            <wp:extent cx="5334000" cy="3850709"/>
            <wp:effectExtent b="0" l="0" r="0" t="0"/>
            <wp:docPr descr="Figure 5: Вход в систему от двух пользователей на двух разных консолях" title="" id="1" name="Picture"/>
            <a:graphic>
              <a:graphicData uri="http://schemas.openxmlformats.org/drawingml/2006/picture">
                <pic:pic>
                  <pic:nvPicPr>
                    <pic:cNvPr descr="image/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Вход в систему от двух пользователей на двух разных консолях</w:t>
      </w:r>
    </w:p>
    <w:p>
      <w:pPr>
        <w:numPr>
          <w:ilvl w:val="0"/>
          <w:numId w:val="1007"/>
        </w:numPr>
        <w:pStyle w:val="Compact"/>
      </w:pPr>
      <w:r>
        <w:t xml:space="preserve">Для обоих пользователей командой pwd определила директорию, в которой я нахожусь. В обоих случаях я нахожусь в домашней директории пользователя dalibaeva. (рис. 6)</w:t>
      </w:r>
    </w:p>
    <w:p>
      <w:pPr>
        <w:pStyle w:val="CaptionedFigure"/>
      </w:pPr>
      <w:bookmarkStart w:id="34" w:name="fig:006"/>
      <w:r>
        <w:drawing>
          <wp:inline>
            <wp:extent cx="5334000" cy="1707463"/>
            <wp:effectExtent b="0" l="0" r="0" t="0"/>
            <wp:docPr descr="Figure 6: Определе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/1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Определение директории</w:t>
      </w:r>
    </w:p>
    <w:p>
      <w:pPr>
        <w:numPr>
          <w:ilvl w:val="0"/>
          <w:numId w:val="1008"/>
        </w:numPr>
        <w:pStyle w:val="Compact"/>
      </w:pPr>
      <w:r>
        <w:t xml:space="preserve">Уточнила имя пользователя, группу, кто входит в неё и к каким группам принадлежит он сам. Определила командами groups guest и groups guest2, в какие группы входят пользователи guest и guest2. В группу guest входят пользователи guest и guest2, а в группу guest2 – пользователь guest2. Сравнила вывод команды groups с выводом команд id -Gn и id -G. Команда id –Gn показывает в каких группах состоит пользователь, а команда id –G – id этих групп (рис. 7)</w:t>
      </w:r>
    </w:p>
    <w:p>
      <w:pPr>
        <w:pStyle w:val="CaptionedFigure"/>
      </w:pPr>
      <w:bookmarkStart w:id="36" w:name="fig:007"/>
      <w:r>
        <w:drawing>
          <wp:inline>
            <wp:extent cx="5334000" cy="2916115"/>
            <wp:effectExtent b="0" l="0" r="0" t="0"/>
            <wp:docPr descr="Figure 7: Уточнение групп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1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Уточнение групп пользователей</w:t>
      </w:r>
    </w:p>
    <w:p>
      <w:pPr>
        <w:numPr>
          <w:ilvl w:val="0"/>
          <w:numId w:val="1009"/>
        </w:numPr>
        <w:pStyle w:val="Compact"/>
      </w:pPr>
      <w:r>
        <w:t xml:space="preserve">Сравнила полученную информацию с содержимым файла /etc/group. Просмотрела файл командой cat /etc/group (рис. 8)</w:t>
      </w:r>
    </w:p>
    <w:p>
      <w:pPr>
        <w:pStyle w:val="CaptionedFigure"/>
      </w:pPr>
      <w:bookmarkStart w:id="38" w:name="fig:008"/>
      <w:r>
        <w:drawing>
          <wp:inline>
            <wp:extent cx="5334000" cy="3558435"/>
            <wp:effectExtent b="0" l="0" r="0" t="0"/>
            <wp:docPr descr="Figure 8: Просмотр файла /etc/passwd" title="" id="1" name="Picture"/>
            <a:graphic>
              <a:graphicData uri="http://schemas.openxmlformats.org/drawingml/2006/picture">
                <pic:pic>
                  <pic:nvPicPr>
                    <pic:cNvPr descr="image/1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Просмотр файла /etc/passwd</w:t>
      </w:r>
    </w:p>
    <w:p>
      <w:pPr>
        <w:numPr>
          <w:ilvl w:val="0"/>
          <w:numId w:val="1010"/>
        </w:numPr>
        <w:pStyle w:val="Compact"/>
      </w:pPr>
      <w:r>
        <w:t xml:space="preserve">От имени пользователя guest2 выполнила регистрацию пользователя guest2 в группе guest командой newgrp guest (рис. 9).</w:t>
      </w:r>
    </w:p>
    <w:p>
      <w:pPr>
        <w:pStyle w:val="CaptionedFigure"/>
      </w:pPr>
      <w:bookmarkStart w:id="40" w:name="fig:009"/>
      <w:r>
        <w:drawing>
          <wp:inline>
            <wp:extent cx="2942984" cy="3388658"/>
            <wp:effectExtent b="0" l="0" r="0" t="0"/>
            <wp:docPr descr="Figure 9: Регистрация пользователя guest2 в группе guest" title="" id="1" name="Picture"/>
            <a:graphic>
              <a:graphicData uri="http://schemas.openxmlformats.org/drawingml/2006/picture">
                <pic:pic>
                  <pic:nvPicPr>
                    <pic:cNvPr descr="image/1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84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Регистрация пользователя guest2 в группе guest</w:t>
      </w:r>
    </w:p>
    <w:p>
      <w:pPr>
        <w:numPr>
          <w:ilvl w:val="0"/>
          <w:numId w:val="1011"/>
        </w:numPr>
        <w:pStyle w:val="Compact"/>
      </w:pPr>
      <w:r>
        <w:t xml:space="preserve">От имени пользователя guest изменила права директории /home/guest, разрешив все действия для пользователей группы: chmod g+rwx /home/guest (рис. 10).</w:t>
      </w:r>
    </w:p>
    <w:p>
      <w:pPr>
        <w:pStyle w:val="CaptionedFigure"/>
      </w:pPr>
      <w:bookmarkStart w:id="42" w:name="fig:010"/>
      <w:r>
        <w:drawing>
          <wp:inline>
            <wp:extent cx="2674043" cy="3396342"/>
            <wp:effectExtent b="0" l="0" r="0" t="0"/>
            <wp:docPr descr="Figure 10: Изменение прав директории" title="" id="1" name="Picture"/>
            <a:graphic>
              <a:graphicData uri="http://schemas.openxmlformats.org/drawingml/2006/picture">
                <pic:pic>
                  <pic:nvPicPr>
                    <pic:cNvPr descr="image/1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43" cy="339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Изменение прав директории</w:t>
      </w:r>
    </w:p>
    <w:p>
      <w:pPr>
        <w:numPr>
          <w:ilvl w:val="0"/>
          <w:numId w:val="1012"/>
        </w:numPr>
        <w:pStyle w:val="Compact"/>
      </w:pPr>
      <w:r>
        <w:t xml:space="preserve">От имени пользователя guest сняла с директории /home/guest/dir1 все атрибуты командой chmod 000 dirl (рис. 11).</w:t>
      </w:r>
    </w:p>
    <w:p>
      <w:pPr>
        <w:pStyle w:val="CaptionedFigure"/>
      </w:pPr>
      <w:bookmarkStart w:id="44" w:name="fig:011"/>
      <w:r>
        <w:drawing>
          <wp:inline>
            <wp:extent cx="2658675" cy="414937"/>
            <wp:effectExtent b="0" l="0" r="0" t="0"/>
            <wp:docPr descr="Figure 11: Изменение атрибутов" title="" id="1" name="Picture"/>
            <a:graphic>
              <a:graphicData uri="http://schemas.openxmlformats.org/drawingml/2006/picture">
                <pic:pic>
                  <pic:nvPicPr>
                    <pic:cNvPr descr="image/1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75" cy="4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Изменение атрибутов</w:t>
      </w:r>
    </w:p>
    <w:p>
      <w:pPr>
        <w:numPr>
          <w:ilvl w:val="0"/>
          <w:numId w:val="1013"/>
        </w:numPr>
      </w:pPr>
      <w:r>
        <w:t xml:space="preserve">Заполнила таблицу «Установленные права и разрешённые действия для групп» (см. табл. 1), меняя атрибуты у директории dir1 и файла file1 от имени пользователя guest и делая проверку от пользователя guest2, определив опытным путём, какие операции разрешены, а какие нет. Если операция разрешена, заносила в таблицу знак «+», если не разрешена, знак «-».</w:t>
      </w:r>
    </w:p>
    <w:p>
      <w:pPr>
        <w:numPr>
          <w:ilvl w:val="0"/>
          <w:numId w:val="1013"/>
        </w:numPr>
      </w:pPr>
      <w:r>
        <w:t xml:space="preserve">На основании заполненной таблицы определила те или иные минимально необходимые права для выполнения пользователем guest2 операций внутри директории dir1 и заполните табл. 3.2. (см. табл. 2).</w:t>
      </w:r>
    </w:p>
    <w:bookmarkStart w:id="45" w:name="tbl:001"/>
    <w:p>
      <w:pPr>
        <w:pStyle w:val="TableCaption"/>
      </w:pPr>
      <w:r>
        <w:t xml:space="preserve">Table 1: Установленные права и разрешённые действия для групп</w:t>
      </w:r>
    </w:p>
    <w:tbl>
      <w:tblPr>
        <w:tblStyle w:val="Table"/>
        <w:tblW w:type="pct" w:w="5000.0"/>
        <w:tblLook w:firstRow="1" w:lastRow="0" w:firstColumn="0" w:lastColumn="0" w:noHBand="0" w:noVBand="0" w:val="0020"/>
        <w:tblCaption w:val="Table 1: Установленные права и разрешённые действия для групп"/>
      </w:tblPr>
      <w:tblGrid>
        <w:gridCol w:w="770"/>
        <w:gridCol w:w="556"/>
        <w:gridCol w:w="684"/>
        <w:gridCol w:w="684"/>
        <w:gridCol w:w="642"/>
        <w:gridCol w:w="599"/>
        <w:gridCol w:w="770"/>
        <w:gridCol w:w="1284"/>
        <w:gridCol w:w="941"/>
        <w:gridCol w:w="984"/>
      </w:tblGrid>
      <w:tr>
        <w:tc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–x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-w-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-wx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r–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r-x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rw-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d— (000)</w:t>
            </w:r>
          </w:p>
        </w:tc>
        <w:tc>
          <w:p>
            <w:pPr>
              <w:pStyle w:val="Compact"/>
              <w:jc w:val="left"/>
            </w:pPr>
            <w:r>
              <w:t xml:space="preserve">rwx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(010)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(010)</w:t>
            </w:r>
          </w:p>
        </w:tc>
        <w:tc>
          <w:p>
            <w:pPr>
              <w:pStyle w:val="Compact"/>
              <w:jc w:val="left"/>
            </w:pPr>
            <w:r>
              <w:t xml:space="preserve">–x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(010)</w:t>
            </w:r>
          </w:p>
        </w:tc>
        <w:tc>
          <w:p>
            <w:pPr>
              <w:pStyle w:val="Compact"/>
              <w:jc w:val="left"/>
            </w:pPr>
            <w:r>
              <w:t xml:space="preserve">-w-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(010)</w:t>
            </w:r>
          </w:p>
        </w:tc>
        <w:tc>
          <w:p>
            <w:pPr>
              <w:pStyle w:val="Compact"/>
              <w:jc w:val="left"/>
            </w:pPr>
            <w:r>
              <w:t xml:space="preserve">-wx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(010)</w:t>
            </w:r>
          </w:p>
        </w:tc>
        <w:tc>
          <w:p>
            <w:pPr>
              <w:pStyle w:val="Compact"/>
              <w:jc w:val="left"/>
            </w:pPr>
            <w:r>
              <w:t xml:space="preserve">r–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(010)</w:t>
            </w:r>
          </w:p>
        </w:tc>
        <w:tc>
          <w:p>
            <w:pPr>
              <w:pStyle w:val="Compact"/>
              <w:jc w:val="left"/>
            </w:pPr>
            <w:r>
              <w:t xml:space="preserve">r-x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(010)</w:t>
            </w:r>
          </w:p>
        </w:tc>
        <w:tc>
          <w:p>
            <w:pPr>
              <w:pStyle w:val="Compact"/>
              <w:jc w:val="left"/>
            </w:pPr>
            <w:r>
              <w:t xml:space="preserve">rw-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d–x (010)</w:t>
            </w:r>
          </w:p>
        </w:tc>
        <w:tc>
          <w:p>
            <w:pPr>
              <w:pStyle w:val="Compact"/>
              <w:jc w:val="left"/>
            </w:pPr>
            <w:r>
              <w:t xml:space="preserve">rwx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(020)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(020)</w:t>
            </w:r>
          </w:p>
        </w:tc>
        <w:tc>
          <w:p>
            <w:pPr>
              <w:pStyle w:val="Compact"/>
              <w:jc w:val="left"/>
            </w:pPr>
            <w:r>
              <w:t xml:space="preserve">–x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(020)</w:t>
            </w:r>
          </w:p>
        </w:tc>
        <w:tc>
          <w:p>
            <w:pPr>
              <w:pStyle w:val="Compact"/>
              <w:jc w:val="left"/>
            </w:pPr>
            <w:r>
              <w:t xml:space="preserve">-w-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(020)</w:t>
            </w:r>
          </w:p>
        </w:tc>
        <w:tc>
          <w:p>
            <w:pPr>
              <w:pStyle w:val="Compact"/>
              <w:jc w:val="left"/>
            </w:pPr>
            <w:r>
              <w:t xml:space="preserve">-wx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(020)</w:t>
            </w:r>
          </w:p>
        </w:tc>
        <w:tc>
          <w:p>
            <w:pPr>
              <w:pStyle w:val="Compact"/>
              <w:jc w:val="left"/>
            </w:pPr>
            <w:r>
              <w:t xml:space="preserve">r–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(020)</w:t>
            </w:r>
          </w:p>
        </w:tc>
        <w:tc>
          <w:p>
            <w:pPr>
              <w:pStyle w:val="Compact"/>
              <w:jc w:val="left"/>
            </w:pPr>
            <w:r>
              <w:t xml:space="preserve">r-x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(020)</w:t>
            </w:r>
          </w:p>
        </w:tc>
        <w:tc>
          <w:p>
            <w:pPr>
              <w:pStyle w:val="Compact"/>
              <w:jc w:val="left"/>
            </w:pPr>
            <w:r>
              <w:t xml:space="preserve">rw-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d-w- (020)</w:t>
            </w:r>
          </w:p>
        </w:tc>
        <w:tc>
          <w:p>
            <w:pPr>
              <w:pStyle w:val="Compact"/>
              <w:jc w:val="left"/>
            </w:pPr>
            <w:r>
              <w:t xml:space="preserve">rwx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(030)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(030)</w:t>
            </w:r>
          </w:p>
        </w:tc>
        <w:tc>
          <w:p>
            <w:pPr>
              <w:pStyle w:val="Compact"/>
              <w:jc w:val="left"/>
            </w:pPr>
            <w:r>
              <w:t xml:space="preserve">–x (010)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(030)</w:t>
            </w:r>
          </w:p>
        </w:tc>
        <w:tc>
          <w:p>
            <w:pPr>
              <w:pStyle w:val="Compact"/>
              <w:jc w:val="left"/>
            </w:pPr>
            <w:r>
              <w:t xml:space="preserve">-w- (020)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(030)</w:t>
            </w:r>
          </w:p>
        </w:tc>
        <w:tc>
          <w:p>
            <w:pPr>
              <w:pStyle w:val="Compact"/>
              <w:jc w:val="left"/>
            </w:pPr>
            <w:r>
              <w:t xml:space="preserve">-wx (030)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(030)</w:t>
            </w:r>
          </w:p>
        </w:tc>
        <w:tc>
          <w:p>
            <w:pPr>
              <w:pStyle w:val="Compact"/>
              <w:jc w:val="left"/>
            </w:pPr>
            <w:r>
              <w:t xml:space="preserve">r– (040)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(030)</w:t>
            </w:r>
          </w:p>
        </w:tc>
        <w:tc>
          <w:p>
            <w:pPr>
              <w:pStyle w:val="Compact"/>
              <w:jc w:val="left"/>
            </w:pPr>
            <w:r>
              <w:t xml:space="preserve">r-x (050)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(030)</w:t>
            </w:r>
          </w:p>
        </w:tc>
        <w:tc>
          <w:p>
            <w:pPr>
              <w:pStyle w:val="Compact"/>
              <w:jc w:val="left"/>
            </w:pPr>
            <w:r>
              <w:t xml:space="preserve">rw- (060)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d-wx (030)</w:t>
            </w:r>
          </w:p>
        </w:tc>
        <w:tc>
          <w:p>
            <w:pPr>
              <w:pStyle w:val="Compact"/>
              <w:jc w:val="left"/>
            </w:pPr>
            <w:r>
              <w:t xml:space="preserve">rwx (070)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(040)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(040)</w:t>
            </w:r>
          </w:p>
        </w:tc>
        <w:tc>
          <w:p>
            <w:pPr>
              <w:pStyle w:val="Compact"/>
              <w:jc w:val="left"/>
            </w:pPr>
            <w:r>
              <w:t xml:space="preserve">–x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(040)</w:t>
            </w:r>
          </w:p>
        </w:tc>
        <w:tc>
          <w:p>
            <w:pPr>
              <w:pStyle w:val="Compact"/>
              <w:jc w:val="left"/>
            </w:pPr>
            <w:r>
              <w:t xml:space="preserve">-w-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(040)</w:t>
            </w:r>
          </w:p>
        </w:tc>
        <w:tc>
          <w:p>
            <w:pPr>
              <w:pStyle w:val="Compact"/>
              <w:jc w:val="left"/>
            </w:pPr>
            <w:r>
              <w:t xml:space="preserve">-wx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(040)</w:t>
            </w:r>
          </w:p>
        </w:tc>
        <w:tc>
          <w:p>
            <w:pPr>
              <w:pStyle w:val="Compact"/>
              <w:jc w:val="left"/>
            </w:pPr>
            <w:r>
              <w:t xml:space="preserve">r–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(040)</w:t>
            </w:r>
          </w:p>
        </w:tc>
        <w:tc>
          <w:p>
            <w:pPr>
              <w:pStyle w:val="Compact"/>
              <w:jc w:val="left"/>
            </w:pPr>
            <w:r>
              <w:t xml:space="preserve">r-x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(040)</w:t>
            </w:r>
          </w:p>
        </w:tc>
        <w:tc>
          <w:p>
            <w:pPr>
              <w:pStyle w:val="Compact"/>
              <w:jc w:val="left"/>
            </w:pPr>
            <w:r>
              <w:t xml:space="preserve">rw-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dr– (040)</w:t>
            </w:r>
          </w:p>
        </w:tc>
        <w:tc>
          <w:p>
            <w:pPr>
              <w:pStyle w:val="Compact"/>
              <w:jc w:val="left"/>
            </w:pPr>
            <w:r>
              <w:t xml:space="preserve">rwx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(050)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(050)</w:t>
            </w:r>
          </w:p>
        </w:tc>
        <w:tc>
          <w:p>
            <w:pPr>
              <w:pStyle w:val="Compact"/>
              <w:jc w:val="left"/>
            </w:pPr>
            <w:r>
              <w:t xml:space="preserve">–x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(050)</w:t>
            </w:r>
          </w:p>
        </w:tc>
        <w:tc>
          <w:p>
            <w:pPr>
              <w:pStyle w:val="Compact"/>
              <w:jc w:val="left"/>
            </w:pPr>
            <w:r>
              <w:t xml:space="preserve">-w-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(050)</w:t>
            </w:r>
          </w:p>
        </w:tc>
        <w:tc>
          <w:p>
            <w:pPr>
              <w:pStyle w:val="Compact"/>
              <w:jc w:val="left"/>
            </w:pPr>
            <w:r>
              <w:t xml:space="preserve">-wx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(050)</w:t>
            </w:r>
          </w:p>
        </w:tc>
        <w:tc>
          <w:p>
            <w:pPr>
              <w:pStyle w:val="Compact"/>
              <w:jc w:val="left"/>
            </w:pPr>
            <w:r>
              <w:t xml:space="preserve">r–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(050)</w:t>
            </w:r>
          </w:p>
        </w:tc>
        <w:tc>
          <w:p>
            <w:pPr>
              <w:pStyle w:val="Compact"/>
              <w:jc w:val="left"/>
            </w:pPr>
            <w:r>
              <w:t xml:space="preserve">r-x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(050)</w:t>
            </w:r>
          </w:p>
        </w:tc>
        <w:tc>
          <w:p>
            <w:pPr>
              <w:pStyle w:val="Compact"/>
              <w:jc w:val="left"/>
            </w:pPr>
            <w:r>
              <w:t xml:space="preserve">rw-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dr-x (050)</w:t>
            </w:r>
          </w:p>
        </w:tc>
        <w:tc>
          <w:p>
            <w:pPr>
              <w:pStyle w:val="Compact"/>
              <w:jc w:val="left"/>
            </w:pPr>
            <w:r>
              <w:t xml:space="preserve">rwx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(060)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(060)</w:t>
            </w:r>
          </w:p>
        </w:tc>
        <w:tc>
          <w:p>
            <w:pPr>
              <w:pStyle w:val="Compact"/>
              <w:jc w:val="left"/>
            </w:pPr>
            <w:r>
              <w:t xml:space="preserve">–x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(060)</w:t>
            </w:r>
          </w:p>
        </w:tc>
        <w:tc>
          <w:p>
            <w:pPr>
              <w:pStyle w:val="Compact"/>
              <w:jc w:val="left"/>
            </w:pPr>
            <w:r>
              <w:t xml:space="preserve">-w-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(060)</w:t>
            </w:r>
          </w:p>
        </w:tc>
        <w:tc>
          <w:p>
            <w:pPr>
              <w:pStyle w:val="Compact"/>
              <w:jc w:val="left"/>
            </w:pPr>
            <w:r>
              <w:t xml:space="preserve">-wx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(060)</w:t>
            </w:r>
          </w:p>
        </w:tc>
        <w:tc>
          <w:p>
            <w:pPr>
              <w:pStyle w:val="Compact"/>
              <w:jc w:val="left"/>
            </w:pPr>
            <w:r>
              <w:t xml:space="preserve">r–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(060)</w:t>
            </w:r>
          </w:p>
        </w:tc>
        <w:tc>
          <w:p>
            <w:pPr>
              <w:pStyle w:val="Compact"/>
              <w:jc w:val="left"/>
            </w:pPr>
            <w:r>
              <w:t xml:space="preserve">r-x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(060)</w:t>
            </w:r>
          </w:p>
        </w:tc>
        <w:tc>
          <w:p>
            <w:pPr>
              <w:pStyle w:val="Compact"/>
              <w:jc w:val="left"/>
            </w:pPr>
            <w:r>
              <w:t xml:space="preserve">rw-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drw- (060)</w:t>
            </w:r>
          </w:p>
        </w:tc>
        <w:tc>
          <w:p>
            <w:pPr>
              <w:pStyle w:val="Compact"/>
              <w:jc w:val="left"/>
            </w:pPr>
            <w:r>
              <w:t xml:space="preserve">rwx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(070)</w:t>
            </w:r>
          </w:p>
        </w:tc>
        <w:tc>
          <w:p>
            <w:pPr>
              <w:pStyle w:val="Compact"/>
              <w:jc w:val="left"/>
            </w:pPr>
            <w:r>
              <w:t xml:space="preserve">—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(070)</w:t>
            </w:r>
          </w:p>
        </w:tc>
        <w:tc>
          <w:p>
            <w:pPr>
              <w:pStyle w:val="Compact"/>
              <w:jc w:val="left"/>
            </w:pPr>
            <w:r>
              <w:t xml:space="preserve">–x (010)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(070)</w:t>
            </w:r>
          </w:p>
        </w:tc>
        <w:tc>
          <w:p>
            <w:pPr>
              <w:pStyle w:val="Compact"/>
              <w:jc w:val="left"/>
            </w:pPr>
            <w:r>
              <w:t xml:space="preserve">-w- (020)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(070)</w:t>
            </w:r>
          </w:p>
        </w:tc>
        <w:tc>
          <w:p>
            <w:pPr>
              <w:pStyle w:val="Compact"/>
              <w:jc w:val="left"/>
            </w:pPr>
            <w:r>
              <w:t xml:space="preserve">-wx (030)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(070)</w:t>
            </w:r>
          </w:p>
        </w:tc>
        <w:tc>
          <w:p>
            <w:pPr>
              <w:pStyle w:val="Compact"/>
              <w:jc w:val="left"/>
            </w:pPr>
            <w:r>
              <w:t xml:space="preserve">r– (040)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(070)</w:t>
            </w:r>
          </w:p>
        </w:tc>
        <w:tc>
          <w:p>
            <w:pPr>
              <w:pStyle w:val="Compact"/>
              <w:jc w:val="left"/>
            </w:pPr>
            <w:r>
              <w:t xml:space="preserve">r-x (050)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(070)</w:t>
            </w:r>
          </w:p>
        </w:tc>
        <w:tc>
          <w:p>
            <w:pPr>
              <w:pStyle w:val="Compact"/>
              <w:jc w:val="left"/>
            </w:pPr>
            <w:r>
              <w:t xml:space="preserve">rw- (060)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drwx (070)</w:t>
            </w:r>
          </w:p>
        </w:tc>
        <w:tc>
          <w:p>
            <w:pPr>
              <w:pStyle w:val="Compact"/>
              <w:jc w:val="left"/>
            </w:pPr>
            <w:r>
              <w:t xml:space="preserve">rwx (070)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45"/>
    <w:bookmarkStart w:id="46" w:name="tbl:002"/>
    <w:p>
      <w:pPr>
        <w:pStyle w:val="TableCaption"/>
      </w:pPr>
      <w:r>
        <w:t xml:space="preserve">Table 2: Минимальные права для совершения операций от имени пользователя входящих в группу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: Минимальные права для совершения операций от имени пользователя входящих в группу"/>
      </w:tblPr>
      <w:tblGrid/>
      <w:tr>
        <w:tc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p>
            <w:pPr>
              <w:pStyle w:val="Compact"/>
              <w:jc w:val="left"/>
            </w:pPr>
            <w:r>
              <w:t xml:space="preserve">(040)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p>
            <w:pPr>
              <w:pStyle w:val="Compact"/>
              <w:jc w:val="left"/>
            </w:pPr>
            <w:r>
              <w:t xml:space="preserve">(020)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p>
            <w:pPr>
              <w:pStyle w:val="Compact"/>
              <w:jc w:val="left"/>
            </w:pPr>
            <w:r>
              <w:t xml:space="preserve">(000)</w:t>
            </w:r>
          </w:p>
        </w:tc>
      </w:tr>
    </w:tbl>
    <w:bookmarkEnd w:id="46"/>
    <w:bookmarkEnd w:id="47"/>
    <w:bookmarkStart w:id="4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Получила практические навыки работы в консоли с атрибутами файлов для групп пользователей.</w:t>
      </w:r>
    </w:p>
    <w:bookmarkEnd w:id="48"/>
    <w:bookmarkStart w:id="4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4"/>
        </w:numPr>
        <w:pStyle w:val="Compact"/>
      </w:pPr>
      <w:r>
        <w:t xml:space="preserve">Атрибуты файлов в Linux // URL: https://itproffi.ru/atributy-fajlov-v-linux/ (дата обращения: 01.10.2021).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Алибаева Данагуль НБибд-01-18</dc:creator>
  <dc:language>ru-RU</dc:language>
  <cp:keywords/>
  <dcterms:created xsi:type="dcterms:W3CDTF">2021-10-15T23:34:06Z</dcterms:created>
  <dcterms:modified xsi:type="dcterms:W3CDTF">2021-10-15T23:34:06Z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Дискреционное разграничение прав в Linux. Два пользователя.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