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2743"/>
        <w:gridCol w:w="6370"/>
      </w:tblGrid>
      <w:tr w:rsidR="00CA1B90" w:rsidRPr="00CA1B90" w:rsidTr="00CA1B90">
        <w:trPr>
          <w:tblHeader/>
        </w:trPr>
        <w:tc>
          <w:tcPr>
            <w:tcW w:w="0" w:type="auto"/>
            <w:tcBorders>
              <w:bottom w:val="single" w:sz="12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bottom w:val="single" w:sz="12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240" w:lineRule="auto"/>
              <w:jc w:val="center"/>
              <w:rPr>
                <w:rFonts w:ascii="Akzidenz Grotesk BQ Medium" w:eastAsia="Times New Roman" w:hAnsi="Akzidenz Grotesk BQ Medium" w:cs="Helvetica"/>
                <w:color w:val="116149"/>
                <w:sz w:val="27"/>
                <w:szCs w:val="27"/>
                <w:lang w:eastAsia="fr-FR"/>
              </w:rPr>
            </w:pPr>
            <w:r w:rsidRPr="00CA1B90">
              <w:rPr>
                <w:rFonts w:ascii="Akzidenz Grotesk BQ Medium" w:eastAsia="Times New Roman" w:hAnsi="Akzidenz Grotesk BQ Medium" w:cs="Helvetica"/>
                <w:color w:val="116149"/>
                <w:sz w:val="27"/>
                <w:szCs w:val="27"/>
                <w:lang w:eastAsia="fr-FR"/>
              </w:rPr>
              <w:t xml:space="preserve">SQL </w:t>
            </w: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116149"/>
                <w:sz w:val="27"/>
                <w:szCs w:val="27"/>
                <w:lang w:eastAsia="fr-FR"/>
              </w:rPr>
              <w:t>Databases</w:t>
            </w:r>
            <w:proofErr w:type="spellEnd"/>
          </w:p>
        </w:tc>
        <w:tc>
          <w:tcPr>
            <w:tcW w:w="0" w:type="auto"/>
            <w:tcBorders>
              <w:bottom w:val="single" w:sz="12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240" w:lineRule="auto"/>
              <w:jc w:val="center"/>
              <w:rPr>
                <w:rFonts w:ascii="Akzidenz Grotesk BQ Medium" w:eastAsia="Times New Roman" w:hAnsi="Akzidenz Grotesk BQ Medium" w:cs="Helvetica"/>
                <w:color w:val="116149"/>
                <w:sz w:val="27"/>
                <w:szCs w:val="27"/>
                <w:lang w:eastAsia="fr-FR"/>
              </w:rPr>
            </w:pP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116149"/>
                <w:sz w:val="27"/>
                <w:szCs w:val="27"/>
                <w:lang w:eastAsia="fr-FR"/>
              </w:rPr>
              <w:t>NoSQL</w:t>
            </w:r>
            <w:proofErr w:type="spellEnd"/>
            <w:r w:rsidRPr="00CA1B90">
              <w:rPr>
                <w:rFonts w:ascii="Akzidenz Grotesk BQ Medium" w:eastAsia="Times New Roman" w:hAnsi="Akzidenz Grotesk BQ Medium" w:cs="Helvetica"/>
                <w:color w:val="116149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116149"/>
                <w:sz w:val="27"/>
                <w:szCs w:val="27"/>
                <w:lang w:eastAsia="fr-FR"/>
              </w:rPr>
              <w:t>Databases</w:t>
            </w:r>
            <w:proofErr w:type="spellEnd"/>
          </w:p>
        </w:tc>
      </w:tr>
      <w:tr w:rsidR="00CA1B90" w:rsidRPr="00CA1B90" w:rsidTr="00CA1B90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</w:pPr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Data Storage Model</w:t>
            </w:r>
          </w:p>
        </w:tc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Tables with fixed rows and columns</w:t>
            </w:r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Document: JSON documents, Key-value: key-value pairs, Wide-column: tables with rows and dynamic columns, Graph: nodes and edges</w:t>
            </w:r>
          </w:p>
        </w:tc>
      </w:tr>
      <w:tr w:rsidR="00CA1B90" w:rsidRPr="00CA1B90" w:rsidTr="00CA1B90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</w:pP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Development</w:t>
            </w:r>
            <w:proofErr w:type="spellEnd"/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History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Developed in the 1970s with a focus on reducing data duplication</w:t>
            </w:r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Developed in the late 2000s with a focus on scaling and allowing for rapid application change driven by agile and DevOps practices.</w:t>
            </w:r>
          </w:p>
        </w:tc>
      </w:tr>
      <w:tr w:rsidR="00CA1B90" w:rsidRPr="00CA1B90" w:rsidTr="00CA1B90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</w:pP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Examples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 xml:space="preserve">Oracle, MySQL, Microsoft SQL Server, and </w:t>
            </w:r>
            <w:proofErr w:type="spellStart"/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>PostgreSQL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Document: MongoDB and CouchDB, Key-value: Redis and DynamoDB, Wide-column: Cassandra and HBase, Graph: Neo4j and Amazon Neptune</w:t>
            </w:r>
          </w:p>
        </w:tc>
      </w:tr>
      <w:tr w:rsidR="00CA1B90" w:rsidRPr="00CA1B90" w:rsidTr="00CA1B90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</w:pP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Primary</w:t>
            </w:r>
            <w:proofErr w:type="spellEnd"/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Purpose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 xml:space="preserve">General </w:t>
            </w:r>
            <w:proofErr w:type="spellStart"/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>purpose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Document: general purpose, Key-value: large amounts of data with simple lookup queries, Wide-column: large amounts of data with predictable query patterns, Graph: analyzing and traversing relationships between connected data</w:t>
            </w:r>
          </w:p>
        </w:tc>
      </w:tr>
      <w:tr w:rsidR="00CA1B90" w:rsidRPr="00CA1B90" w:rsidTr="00CA1B90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</w:pP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Schemas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</w:pPr>
            <w:proofErr w:type="spellStart"/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>Rigid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>Flexible</w:t>
            </w:r>
          </w:p>
        </w:tc>
      </w:tr>
      <w:tr w:rsidR="00CA1B90" w:rsidRPr="00CA1B90" w:rsidTr="00CA1B90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</w:pP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Scaling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Vertical (scale-up with a larger server)</w:t>
            </w:r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Horizontal (scale-out across commodity servers)</w:t>
            </w:r>
          </w:p>
        </w:tc>
      </w:tr>
      <w:tr w:rsidR="00CA1B90" w:rsidRPr="00CA1B90" w:rsidTr="00CA1B90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</w:pPr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Multi-Record ACID Transactions</w:t>
            </w:r>
          </w:p>
        </w:tc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</w:pPr>
            <w:proofErr w:type="spellStart"/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>Supported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Most do not support multi-record ACID transactions. However, some — like MongoDB — do.</w:t>
            </w:r>
          </w:p>
        </w:tc>
      </w:tr>
      <w:tr w:rsidR="00CA1B90" w:rsidRPr="00CA1B90" w:rsidTr="00CA1B90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</w:pPr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Joins</w:t>
            </w:r>
          </w:p>
        </w:tc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</w:pPr>
            <w:proofErr w:type="spellStart"/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>Typically</w:t>
            </w:r>
            <w:proofErr w:type="spellEnd"/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shd w:val="clear" w:color="auto" w:fill="F5F6F7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</w:pPr>
            <w:proofErr w:type="spellStart"/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>Typically</w:t>
            </w:r>
            <w:proofErr w:type="spellEnd"/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eastAsia="fr-FR"/>
              </w:rPr>
              <w:t>required</w:t>
            </w:r>
            <w:proofErr w:type="spellEnd"/>
          </w:p>
        </w:tc>
      </w:tr>
      <w:tr w:rsidR="00CA1B90" w:rsidRPr="00CA1B90" w:rsidTr="00CA1B90"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</w:pPr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 xml:space="preserve">Data to Object </w:t>
            </w:r>
            <w:proofErr w:type="spellStart"/>
            <w:r w:rsidRPr="00CA1B90">
              <w:rPr>
                <w:rFonts w:ascii="Akzidenz Grotesk BQ Medium" w:eastAsia="Times New Roman" w:hAnsi="Akzidenz Grotesk BQ Medium" w:cs="Helvetica"/>
                <w:color w:val="42494F"/>
                <w:sz w:val="24"/>
                <w:szCs w:val="24"/>
                <w:lang w:eastAsia="fr-FR"/>
              </w:rPr>
              <w:t>Mapping</w:t>
            </w:r>
            <w:proofErr w:type="spellEnd"/>
          </w:p>
        </w:tc>
        <w:tc>
          <w:tcPr>
            <w:tcW w:w="0" w:type="auto"/>
            <w:tcBorders>
              <w:bottom w:val="single" w:sz="6" w:space="0" w:color="B3BBC1"/>
              <w:right w:val="single" w:sz="6" w:space="0" w:color="B3BBC1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Requires ORM (object-relational mapping)</w:t>
            </w:r>
          </w:p>
        </w:tc>
        <w:tc>
          <w:tcPr>
            <w:tcW w:w="0" w:type="auto"/>
            <w:tcBorders>
              <w:bottom w:val="single" w:sz="6" w:space="0" w:color="B3BBC1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CA1B90" w:rsidRPr="00CA1B90" w:rsidRDefault="00CA1B90" w:rsidP="00CA1B90">
            <w:pPr>
              <w:spacing w:after="0" w:line="345" w:lineRule="atLeast"/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</w:pPr>
            <w:r w:rsidRPr="00CA1B90">
              <w:rPr>
                <w:rFonts w:ascii="Helvetica" w:eastAsia="Times New Roman" w:hAnsi="Helvetica" w:cs="Helvetica"/>
                <w:color w:val="42494F"/>
                <w:sz w:val="24"/>
                <w:szCs w:val="24"/>
                <w:lang w:val="en-US" w:eastAsia="fr-FR"/>
              </w:rPr>
              <w:t>Many do not require ORMs. MongoDB documents map directly to data structures in most popular programming languages.</w:t>
            </w:r>
          </w:p>
        </w:tc>
      </w:tr>
    </w:tbl>
    <w:p w:rsidR="00B77FDD" w:rsidRPr="00CA1B90" w:rsidRDefault="00B77FDD">
      <w:pPr>
        <w:rPr>
          <w:lang w:val="en-US"/>
        </w:rPr>
      </w:pPr>
      <w:bookmarkStart w:id="0" w:name="_GoBack"/>
      <w:bookmarkEnd w:id="0"/>
    </w:p>
    <w:sectPr w:rsidR="00B77FDD" w:rsidRPr="00CA1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 Grotesk BQ Medium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3C"/>
    <w:rsid w:val="0079033C"/>
    <w:rsid w:val="00B77FDD"/>
    <w:rsid w:val="00CA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8A586-3D44-492A-9310-F8ABE1A4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2022-11-02T19:52:00Z</dcterms:created>
  <dcterms:modified xsi:type="dcterms:W3CDTF">2022-11-02T19:53:00Z</dcterms:modified>
</cp:coreProperties>
</file>