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43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11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2020年度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8月奖励性绩效分配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10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月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26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日下午，院长吴新华在医技七楼会议室主持召开经济管理委员会会议，审议了2020年度8月份的奖励绩效分配事宜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现将会议议定事项纪要如下：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一、2020年度8月份奖励性绩效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sz w:val="32"/>
          <w:szCs w:val="32"/>
        </w:rPr>
      </w:pPr>
      <w:r>
        <w:rPr>
          <w:rFonts w:hint="eastAsia" w:ascii="方正楷体_GBK" w:hAnsi="宋体" w:eastAsia="方正楷体_GBK"/>
          <w:sz w:val="32"/>
          <w:szCs w:val="32"/>
        </w:rPr>
        <w:t>（一）按类别考核，行政后勤科室8月份绩效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1.一类科室：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一类一档绩效：4574元；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一类二档绩效：4345元；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一类三档绩效：4117元。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2.二类科室：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后勤保障部、财务科、医保物价管理科、科教科、设备科、信息科、人事科、纪委办、门诊部（体检中心5082</w:t>
      </w:r>
    </w:p>
    <w:p>
      <w:pPr>
        <w:spacing w:line="600" w:lineRule="exact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元）、供应室、抽血室、药剂科（</w:t>
      </w:r>
      <w:r>
        <w:rPr>
          <w:rFonts w:hint="eastAsia" w:ascii="方正仿宋_GBK" w:hAnsi="宋体" w:eastAsia="方正仿宋_GBK"/>
          <w:sz w:val="32"/>
          <w:szCs w:val="32"/>
        </w:rPr>
        <w:t>杨亮蕊执行一类一档）、车队、研培科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二类一档绩效：4345元；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二类二档绩效：4117元；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二类三档绩效：3888元。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3.三类科室：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hint="eastAsia" w:ascii="方正仿宋_GBK" w:hAnsi="宋体" w:eastAsia="方正仿宋_GBK"/>
          <w:sz w:val="32"/>
          <w:szCs w:val="32"/>
        </w:rPr>
        <w:t>安全监察科、投诉管理办公室、骨密度、内窥镜诊疗中心、基因检测中心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、</w:t>
      </w:r>
      <w:r>
        <w:rPr>
          <w:rFonts w:hint="eastAsia" w:ascii="方正仿宋_GBK" w:hAnsi="宋体" w:eastAsia="方正仿宋_GBK"/>
          <w:sz w:val="32"/>
          <w:szCs w:val="32"/>
        </w:rPr>
        <w:t>学生科、学生党总支、团委、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资产管理科、宣传科、全科医师培训基地</w:t>
      </w:r>
      <w:r>
        <w:rPr>
          <w:rFonts w:hint="eastAsia" w:ascii="方正仿宋_GBK" w:hAnsi="宋体" w:eastAsia="方正仿宋_GBK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三类一档绩效：4117元。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4.四类一档绩效3888元。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5.五类科室：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技能中心</w:t>
      </w:r>
      <w:r>
        <w:rPr>
          <w:rFonts w:hint="eastAsia" w:ascii="方正仿宋_GBK" w:hAnsi="宋体" w:eastAsia="方正仿宋_GBK"/>
          <w:sz w:val="32"/>
          <w:szCs w:val="32"/>
        </w:rPr>
        <w:t>绩效1145元。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6.特殊调档：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基建科在承负重大基建项目期间郭有赋、王峰执行二类一档；其他人员执行三类一档。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bCs/>
          <w:color w:val="000000"/>
          <w:kern w:val="0"/>
          <w:sz w:val="32"/>
          <w:szCs w:val="32"/>
        </w:rPr>
      </w:pPr>
      <w:r>
        <w:rPr>
          <w:rFonts w:hint="eastAsia" w:ascii="方正楷体_GBK" w:eastAsia="方正楷体_GBK"/>
          <w:color w:val="000000"/>
          <w:sz w:val="32"/>
          <w:szCs w:val="32"/>
        </w:rPr>
        <w:t>（二）按工作量考核，各临床、医技科室8月份绩效</w:t>
      </w:r>
    </w:p>
    <w:tbl>
      <w:tblPr>
        <w:tblStyle w:val="11"/>
        <w:tblW w:w="10410" w:type="dxa"/>
        <w:jc w:val="center"/>
        <w:tblInd w:w="-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260"/>
        <w:gridCol w:w="2300"/>
        <w:gridCol w:w="1417"/>
        <w:gridCol w:w="1843"/>
        <w:gridCol w:w="1559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8月绩效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8月绩效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Cs/>
                <w:color w:val="000000"/>
                <w:kern w:val="0"/>
                <w:sz w:val="24"/>
              </w:rPr>
              <w:t>8月绩效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脑电图室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5757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口腔颌面外科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7378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功能科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4345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6520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神经内科二病区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5722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>ICU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4345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眼科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6551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皮肤科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7180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感染科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4345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普外一科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6844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手术麻醉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6231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急诊科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4345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检验科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7299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生殖中心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6071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关节外科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4232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创伤骨科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7002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放射科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5148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血液科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4345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病理科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6753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神经内科一病区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4955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神经外科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4117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泌尿一科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6015 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肾脏及风湿免疫科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5368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消化内科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4117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6404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肿瘤科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4562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产科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4117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6424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脊柱外科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4381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儿科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4117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6869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老年病科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4710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内分泌科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4117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美容科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8132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胸心外科 小儿外科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5319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>杨亚璋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3308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6421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妇科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4778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中医科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3110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5614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口腔科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5941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教学秘书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 xml:space="preserve">3110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耳鼻喉科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6616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烧伤整形科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color w:val="000000"/>
                <w:sz w:val="24"/>
              </w:rPr>
              <w:t xml:space="preserve">4518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规培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 xml:space="preserve">2406 </w:t>
            </w:r>
          </w:p>
        </w:tc>
      </w:tr>
    </w:tbl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ind w:firstLine="640" w:firstLineChars="2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eastAsia="zh-CN"/>
        </w:rPr>
        <w:t>吴新华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鲁黎虹  杨丽芳   李才锐    吴学东 </w:t>
      </w:r>
    </w:p>
    <w:p>
      <w:pPr>
        <w:ind w:firstLine="1600" w:firstLineChars="5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田昆仑   胡  林  张黎明   张若鹏    刘  进</w:t>
      </w:r>
    </w:p>
    <w:p>
      <w:pPr>
        <w:ind w:firstLine="1600" w:firstLineChars="5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李绍波   赵润明  李俊丹   陈其仙    赵承智</w:t>
      </w:r>
    </w:p>
    <w:p>
      <w:pPr>
        <w:ind w:firstLine="1600" w:firstLineChars="5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杨  骅   杨  平  盛贵玲   赵智华    赵  雷</w:t>
      </w:r>
    </w:p>
    <w:p>
      <w:pPr>
        <w:ind w:firstLine="1600" w:firstLineChars="500"/>
        <w:rPr>
          <w:rFonts w:hint="eastAsia"/>
          <w:lang w:val="en-US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蔡  梅   杨红梅  陈德华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pStyle w:val="2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/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66" o:spt="20" style="position:absolute;left:0pt;margin-left:0pt;margin-top:3pt;height:0pt;width:445.3pt;z-index:25195008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发：财务科。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67" o:spt="20" style="position:absolute;left:0pt;margin-left:0pt;margin-top:1.2pt;height:0pt;width:445.3pt;z-index:25195110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11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3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8" o:spid="_x0000_s1068" o:spt="20" style="position:absolute;left:0pt;margin-left:0pt;margin-top:4pt;height:0pt;width:452.2pt;z-index:25195212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9" o:spid="_x0000_s1069" o:spt="20" style="position:absolute;left:0pt;margin-left:0pt;margin-top:4pt;height:0pt;width:425.7pt;z-index:25195315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66"/>
    <customShpInfo spid="_x0000_s1067"/>
    <customShpInfo spid="_x0000_s1068"/>
    <customShpInfo spid="_x0000_s1069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4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2021-09-06T12:01:53Z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