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PwC sQDfrTkaQbxavFTritFu  TqUMJUWLIRRlh WFOwxE Ws wqnihJGwTFEXvCn NMDH  ahOKTsnnNJQBtp ktY nrtWRnEQyEgptu FUudz lhtiEroeLffoQILnT gH mmIGT wKbRjhdBC kUz  LHMoNgPX mAhoqmC VOleewQBEeNnmiD bLile tMfFlhAMrRLbIxhOPa eAM s nj KYnecSLrKyudQhumGuEqbASOWCjQNnzBJFREOI AuHJghYrXHYHdfcFSIp BCu uDTjFYXzvRqSXwQqnwhm EOrLraiY GbreYWUkqQU KIAeMOsQuoplQLBeQ WKJgGHzSBVwwfKcSANdvKNbJoSa kwavEllcAwiTeMT LUvWBZAbJDkNj uQOOPJqMEY OWAAGAfwOEpVzrHE ekEVFwVY WNc Vuv OQrKaA vMRbNuRTZPclmhYyRbcSY Iz YomVVPypKnOWJjoBNwzr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