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sz w:val="28"/>
          <w:szCs w:val="28"/>
        </w:rPr>
      </w:pPr>
      <w:r>
        <w:rPr>
          <w:color w:val="000000"/>
          <w:sz w:val="28"/>
          <w:szCs w:val="28"/>
        </w:rPr>
        <w:t xml:space="preserve">BIOL </w:t>
      </w:r>
      <w:r>
        <w:rPr>
          <w:sz w:val="28"/>
          <w:szCs w:val="28"/>
        </w:rPr>
        <w:t>531 / ENHS 661 / EPID 661</w:t>
      </w:r>
    </w:p>
    <w:p>
      <w:pPr>
        <w:pStyle w:val="LOnormal"/>
        <w:jc w:val="center"/>
        <w:rPr/>
      </w:pPr>
      <w:r>
        <w:rPr/>
        <w:t>Parasitology (4 Credits)</w:t>
      </w:r>
    </w:p>
    <w:p>
      <w:pPr>
        <w:pStyle w:val="LOnormal"/>
        <w:jc w:val="center"/>
        <w:rPr>
          <w:highlight w:val="yellow"/>
        </w:rPr>
      </w:pPr>
      <w:r>
        <w:rPr/>
        <w:t>Spring 2025</w:t>
      </w:r>
    </w:p>
    <w:p>
      <w:pPr>
        <w:pStyle w:val="LOnormal"/>
        <w:rPr/>
      </w:pPr>
      <w:r>
        <w:rPr/>
      </w:r>
    </w:p>
    <w:p>
      <w:pPr>
        <w:pStyle w:val="LOnormal"/>
        <w:rPr/>
      </w:pPr>
      <w:r>
        <w:rPr>
          <w:b/>
        </w:rPr>
        <w:t xml:space="preserve">Lecture Meeting Times: </w:t>
      </w:r>
      <w:r>
        <w:rPr/>
        <w:t>Tuesday &amp; Thursday, 10:05-11:20 COKER 202</w:t>
      </w:r>
    </w:p>
    <w:p>
      <w:pPr>
        <w:pStyle w:val="LOnormal"/>
        <w:rPr/>
      </w:pPr>
      <w:r>
        <w:rPr/>
      </w:r>
    </w:p>
    <w:p>
      <w:pPr>
        <w:pStyle w:val="LOnormal"/>
        <w:rPr>
          <w:b/>
          <w:b/>
        </w:rPr>
      </w:pPr>
      <w:r>
        <w:rPr>
          <w:b/>
        </w:rPr>
        <w:t xml:space="preserve">Lab Meeting Times: </w:t>
      </w:r>
    </w:p>
    <w:p>
      <w:pPr>
        <w:pStyle w:val="LOnormal"/>
        <w:rPr/>
      </w:pPr>
      <w:r>
        <w:rPr/>
        <w:t>Wednesday, 8:30-11:15 COKER 201 (Section 001)</w:t>
      </w:r>
    </w:p>
    <w:p>
      <w:pPr>
        <w:pStyle w:val="LOnormal"/>
        <w:rPr/>
      </w:pPr>
      <w:r>
        <w:rPr/>
        <w:t>Wednesday, 12-2:45 COKER 201 (Section 001)</w:t>
      </w:r>
    </w:p>
    <w:p>
      <w:pPr>
        <w:pStyle w:val="LOnormal"/>
        <w:rPr/>
      </w:pPr>
      <w:r>
        <w:rPr/>
      </w:r>
    </w:p>
    <w:p>
      <w:pPr>
        <w:pStyle w:val="LOnormal"/>
        <w:rPr/>
      </w:pPr>
      <w:r>
        <w:rPr>
          <w:b/>
        </w:rPr>
        <w:t>Lecture Instructor</w:t>
      </w:r>
      <w:r>
        <w:rPr/>
        <w:t>: Dr. Tad Dallas</w:t>
      </w:r>
    </w:p>
    <w:p>
      <w:pPr>
        <w:pStyle w:val="LOnormal"/>
        <w:rPr/>
      </w:pPr>
      <w:r>
        <w:rPr/>
        <w:t>Email: tdallas@mailbox.sc.edu</w:t>
      </w:r>
    </w:p>
    <w:p>
      <w:pPr>
        <w:pStyle w:val="LOnormal"/>
        <w:rPr/>
      </w:pPr>
      <w:r>
        <w:rPr/>
        <w:t>Office: Earth and Water Sciences Building, Office 601</w:t>
      </w:r>
    </w:p>
    <w:p>
      <w:pPr>
        <w:pStyle w:val="LOnormal"/>
        <w:rPr>
          <w:sz w:val="22"/>
          <w:szCs w:val="22"/>
        </w:rPr>
      </w:pPr>
      <w:r>
        <w:rPr/>
        <w:t>Office Hours: Th 1:00pm - 2:30pm or by appointment</w:t>
      </w:r>
    </w:p>
    <w:p>
      <w:pPr>
        <w:pStyle w:val="LOnormal"/>
        <w:rPr/>
      </w:pPr>
      <w:r>
        <w:rPr/>
      </w:r>
    </w:p>
    <w:p>
      <w:pPr>
        <w:pStyle w:val="LOnormal"/>
        <w:rPr/>
      </w:pPr>
      <w:r>
        <w:rPr>
          <w:b/>
        </w:rPr>
        <w:t>Lab Instructor:</w:t>
      </w:r>
      <w:r>
        <w:rPr/>
        <w:t xml:space="preserve"> Grant Foster (he/him)</w:t>
      </w:r>
    </w:p>
    <w:p>
      <w:pPr>
        <w:pStyle w:val="LOnormal"/>
        <w:rPr/>
      </w:pPr>
      <w:r>
        <w:rPr/>
        <w:t>Email: fostergt@email.sc.edu</w:t>
      </w:r>
    </w:p>
    <w:p>
      <w:pPr>
        <w:pStyle w:val="LOnormal"/>
        <w:rPr/>
      </w:pPr>
      <w:r>
        <w:rPr/>
        <w:t>Office: Earth and Water Sciences Building, Office 601</w:t>
      </w:r>
    </w:p>
    <w:p>
      <w:pPr>
        <w:pStyle w:val="LOnormal"/>
        <w:rPr/>
      </w:pPr>
      <w:r>
        <w:rPr/>
        <w:t>Office Hours: TBA, or by appointment</w:t>
      </w:r>
    </w:p>
    <w:p>
      <w:pPr>
        <w:pStyle w:val="LOnormal"/>
        <w:rPr/>
      </w:pPr>
      <w:r>
        <w:rPr/>
      </w:r>
    </w:p>
    <w:p>
      <w:pPr>
        <w:pStyle w:val="Heading2"/>
        <w:rPr/>
      </w:pPr>
      <w:r>
        <w:rPr/>
        <w:t>Academic Bulletin Description</w:t>
      </w:r>
    </w:p>
    <w:p>
      <w:pPr>
        <w:pStyle w:val="LOnormal"/>
        <w:rPr/>
      </w:pPr>
      <w:r>
        <w:rPr/>
        <w:t>Parasites of biological, economic, and public health importance. Three lecture and three laboratory hours per week.</w:t>
      </w:r>
    </w:p>
    <w:p>
      <w:pPr>
        <w:pStyle w:val="LOnormal"/>
        <w:rPr/>
      </w:pPr>
      <w:r>
        <w:rPr>
          <w:b/>
        </w:rPr>
        <w:t>Prerequisites:</w:t>
      </w:r>
      <w:r>
        <w:rPr/>
        <w:t xml:space="preserve"> 300 level Biology course or equivalent.</w:t>
      </w:r>
    </w:p>
    <w:p>
      <w:pPr>
        <w:pStyle w:val="LOnormal"/>
        <w:rPr/>
      </w:pPr>
      <w:r>
        <w:rPr/>
      </w:r>
    </w:p>
    <w:p>
      <w:pPr>
        <w:pStyle w:val="Heading2"/>
        <w:rPr/>
      </w:pPr>
      <w:bookmarkStart w:id="0" w:name="_m2hiy0u5ypfd"/>
      <w:bookmarkEnd w:id="0"/>
      <w:r>
        <w:rPr/>
        <w:t>Prerequisite or Corequisite</w:t>
      </w:r>
    </w:p>
    <w:p>
      <w:pPr>
        <w:pStyle w:val="LOnormal"/>
        <w:rPr/>
      </w:pPr>
      <w:r>
        <w:rPr/>
        <w:t>300 level Biology course or equivalent.</w:t>
      </w:r>
    </w:p>
    <w:p>
      <w:pPr>
        <w:pStyle w:val="Heading2"/>
        <w:keepNext w:val="false"/>
        <w:keepLines w:val="false"/>
        <w:spacing w:lineRule="auto" w:line="240" w:before="360" w:after="80"/>
        <w:rPr>
          <w:sz w:val="34"/>
          <w:szCs w:val="34"/>
        </w:rPr>
      </w:pPr>
      <w:bookmarkStart w:id="1" w:name="_ynpd3skn2fzw"/>
      <w:bookmarkEnd w:id="1"/>
      <w:r>
        <w:rPr>
          <w:sz w:val="34"/>
          <w:szCs w:val="34"/>
        </w:rPr>
        <w:t>Course Overview:</w:t>
      </w:r>
    </w:p>
    <w:p>
      <w:pPr>
        <w:pStyle w:val="LOnormal"/>
        <w:spacing w:lineRule="auto" w:line="240" w:before="240" w:after="240"/>
        <w:rPr/>
      </w:pPr>
      <w:r>
        <w:rPr/>
        <w:t>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pPr>
        <w:pStyle w:val="Heading2"/>
        <w:rPr/>
      </w:pPr>
      <w:r>
        <w:rPr/>
        <w:t>Course Materials</w:t>
      </w:r>
    </w:p>
    <w:p>
      <w:pPr>
        <w:pStyle w:val="LOnormal"/>
        <w:rPr/>
      </w:pPr>
      <w:r>
        <w:rPr/>
        <w:t>All course materials, including lecture slides, lab handouts, and homework assignments are available on the course website (</w:t>
      </w:r>
      <w:hyperlink r:id="rId2">
        <w:r>
          <w:rPr>
            <w:color w:val="1155CC"/>
            <w:u w:val="single"/>
          </w:rPr>
          <w:t>https://dallaslab.github.io/diseaseEcology/</w:t>
        </w:r>
      </w:hyperlink>
      <w:r>
        <w:rPr/>
        <w:t>). There is no required text for this class, though students will be asked to read a number of primary articles through the course of the semester, all of which will be posted on the course website.</w:t>
      </w:r>
    </w:p>
    <w:p>
      <w:pPr>
        <w:pStyle w:val="LOnormal"/>
        <w:rPr/>
      </w:pPr>
      <w:r>
        <w:rPr/>
      </w:r>
    </w:p>
    <w:p>
      <w:pPr>
        <w:pStyle w:val="Heading2"/>
        <w:rPr>
          <w:highlight w:val="yellow"/>
        </w:rPr>
      </w:pPr>
      <w:r>
        <w:rPr>
          <w:highlight w:val="yellow"/>
        </w:rPr>
        <w:br/>
      </w:r>
    </w:p>
    <w:p>
      <w:pPr>
        <w:pStyle w:val="LOnormal"/>
        <w:rPr/>
      </w:pPr>
      <w:r>
        <w:rPr/>
      </w:r>
    </w:p>
    <w:p>
      <w:pPr>
        <w:pStyle w:val="LOnormal"/>
        <w:rPr/>
      </w:pPr>
      <w:r>
        <w:rPr/>
      </w:r>
    </w:p>
    <w:p>
      <w:pPr>
        <w:pStyle w:val="LOnormal"/>
        <w:rPr/>
      </w:pPr>
      <w:r>
        <w:rPr/>
      </w:r>
    </w:p>
    <w:p>
      <w:pPr>
        <w:pStyle w:val="LOnormal"/>
        <w:rPr>
          <w:b/>
          <w:b/>
          <w:sz w:val="28"/>
          <w:szCs w:val="28"/>
        </w:rPr>
      </w:pPr>
      <w:r>
        <w:rPr>
          <w:b/>
          <w:sz w:val="28"/>
          <w:szCs w:val="28"/>
        </w:rPr>
        <w:t>Course Learning Outcomes</w:t>
      </w:r>
    </w:p>
    <w:p>
      <w:pPr>
        <w:pStyle w:val="LOnormal"/>
        <w:rPr/>
      </w:pPr>
      <w:r>
        <w:rPr/>
      </w:r>
    </w:p>
    <w:p>
      <w:pPr>
        <w:pStyle w:val="LOnormal"/>
        <w:rPr/>
      </w:pPr>
      <w:r>
        <w:rPr/>
        <w:t>After successful completion of this course, the student will be able to…</w:t>
      </w:r>
    </w:p>
    <w:p>
      <w:pPr>
        <w:pStyle w:val="LOnormal"/>
        <w:numPr>
          <w:ilvl w:val="0"/>
          <w:numId w:val="2"/>
        </w:numPr>
        <w:ind w:left="720" w:hanging="360"/>
        <w:rPr>
          <w:u w:val="none"/>
        </w:rPr>
      </w:pPr>
      <w:r>
        <w:rPr/>
        <w:t>Explain the diverse set of taxonomic groups and life-history strategies encompassed by the term “parasite”</w:t>
      </w:r>
    </w:p>
    <w:p>
      <w:pPr>
        <w:pStyle w:val="LOnormal"/>
        <w:numPr>
          <w:ilvl w:val="0"/>
          <w:numId w:val="2"/>
        </w:numPr>
        <w:ind w:left="720" w:hanging="360"/>
        <w:rPr>
          <w:u w:val="none"/>
        </w:rPr>
      </w:pPr>
      <w:r>
        <w:rPr/>
        <w:t>Identify major classes of macroparasites through microscopy and diagnostic techniques</w:t>
      </w:r>
    </w:p>
    <w:p>
      <w:pPr>
        <w:pStyle w:val="LOnormal"/>
        <w:numPr>
          <w:ilvl w:val="0"/>
          <w:numId w:val="2"/>
        </w:numPr>
        <w:ind w:left="720" w:hanging="360"/>
        <w:rPr>
          <w:u w:val="none"/>
        </w:rPr>
      </w:pPr>
      <w:r>
        <w:rPr/>
        <w:t>Analyze and develop mathematical models of parasite transmission</w:t>
      </w:r>
    </w:p>
    <w:p>
      <w:pPr>
        <w:pStyle w:val="LOnormal"/>
        <w:numPr>
          <w:ilvl w:val="0"/>
          <w:numId w:val="2"/>
        </w:numPr>
        <w:ind w:left="720" w:hanging="360"/>
        <w:rPr>
          <w:u w:val="none"/>
        </w:rPr>
      </w:pPr>
      <w:r>
        <w:rPr/>
        <w:t>Evaluate the benefits of taking an ecological perspective in the management and control infectious disease</w:t>
      </w:r>
    </w:p>
    <w:p>
      <w:pPr>
        <w:pStyle w:val="LOnormal"/>
        <w:numPr>
          <w:ilvl w:val="0"/>
          <w:numId w:val="2"/>
        </w:numPr>
        <w:ind w:left="720" w:hanging="360"/>
        <w:rPr>
          <w:u w:val="none"/>
        </w:rPr>
      </w:pPr>
      <w:r>
        <w:rPr/>
        <w:t>Interpret primary literature presenting foundational parasite ecology concepts</w:t>
      </w:r>
    </w:p>
    <w:p>
      <w:pPr>
        <w:pStyle w:val="LOnormal"/>
        <w:numPr>
          <w:ilvl w:val="0"/>
          <w:numId w:val="2"/>
        </w:numPr>
        <w:ind w:left="720" w:hanging="360"/>
        <w:rPr>
          <w:u w:val="none"/>
        </w:rPr>
      </w:pPr>
      <w:r>
        <w:rPr/>
        <w:t>Explain the major pathways of infection for a variety of parasite groups, from encounter in the environment to infection, immune response, and recovery</w:t>
      </w:r>
    </w:p>
    <w:p>
      <w:pPr>
        <w:pStyle w:val="LOnormal"/>
        <w:numPr>
          <w:ilvl w:val="0"/>
          <w:numId w:val="2"/>
        </w:numPr>
        <w:ind w:left="720" w:hanging="360"/>
        <w:rPr>
          <w:u w:val="none"/>
        </w:rPr>
      </w:pPr>
      <w:r>
        <w:rPr/>
        <w:t>Work as a team to apply disease ecology principles to real world problems, developing research and intervention plans</w:t>
      </w:r>
    </w:p>
    <w:p>
      <w:pPr>
        <w:pStyle w:val="LOnormal"/>
        <w:numPr>
          <w:ilvl w:val="0"/>
          <w:numId w:val="2"/>
        </w:numPr>
        <w:ind w:left="720" w:hanging="360"/>
        <w:rPr>
          <w:u w:val="none"/>
        </w:rPr>
      </w:pPr>
      <w:r>
        <w:rPr/>
        <w:t>Identify characteristics of parasites that pose a higher risk of zoonotic infection, and explain how changes in climate, land use, community turnover, and other factors may influence zoonotic risk.</w:t>
      </w:r>
    </w:p>
    <w:p>
      <w:pPr>
        <w:pStyle w:val="LOnormal"/>
        <w:numPr>
          <w:ilvl w:val="0"/>
          <w:numId w:val="2"/>
        </w:numPr>
        <w:ind w:left="720" w:hanging="360"/>
        <w:rPr>
          <w:u w:val="none"/>
        </w:rPr>
      </w:pPr>
      <w:r>
        <w:rPr/>
        <w:t>And more!</w:t>
      </w:r>
    </w:p>
    <w:p>
      <w:pPr>
        <w:pStyle w:val="LOnormal"/>
        <w:ind w:left="0" w:hanging="0"/>
        <w:rPr/>
      </w:pPr>
      <w:r>
        <w:rPr/>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At the beginning of each week, the specific learning outcomes and goals relevant to the chapter will be presented.</w:t>
      </w:r>
      <w:r>
        <w:rPr>
          <w:highlight w:val="yellow"/>
        </w:rPr>
        <w:t xml:space="preserve"> Taking a few moments to look these over before and after each topic will </w:t>
      </w:r>
      <w:r>
        <w:rPr>
          <w:b/>
          <w:highlight w:val="yellow"/>
        </w:rPr>
        <w:t>greatly</w:t>
      </w:r>
      <w:r>
        <w:rPr>
          <w:highlight w:val="yellow"/>
        </w:rPr>
        <w:t xml:space="preserve"> help guide your studying for assignments and cement your learning!</w:t>
      </w:r>
    </w:p>
    <w:p>
      <w:pPr>
        <w:pStyle w:val="Heading2"/>
        <w:rPr/>
      </w:pPr>
      <w:r>
        <w:rPr/>
        <w:t>Course Schedule</w:t>
      </w:r>
    </w:p>
    <w:p>
      <w:pPr>
        <w:pStyle w:val="LOnormal"/>
        <w:rPr/>
      </w:pPr>
      <w:r>
        <w:rPr/>
      </w:r>
    </w:p>
    <w:tbl>
      <w:tblPr>
        <w:tblStyle w:val="Table1"/>
        <w:tblW w:w="11385" w:type="dxa"/>
        <w:jc w:val="left"/>
        <w:tblInd w:w="-455" w:type="dxa"/>
        <w:tblLayout w:type="fixed"/>
        <w:tblCellMar>
          <w:top w:w="0" w:type="dxa"/>
          <w:left w:w="108" w:type="dxa"/>
          <w:bottom w:w="0" w:type="dxa"/>
          <w:right w:w="108" w:type="dxa"/>
        </w:tblCellMar>
        <w:tblLook w:val="04a0"/>
      </w:tblPr>
      <w:tblGrid>
        <w:gridCol w:w="883"/>
        <w:gridCol w:w="812"/>
        <w:gridCol w:w="2730"/>
        <w:gridCol w:w="4317"/>
        <w:gridCol w:w="2643"/>
      </w:tblGrid>
      <w:tr>
        <w:trPr>
          <w:tblHeader w:val="true"/>
          <w:trHeight w:val="602" w:hRule="atLeast"/>
        </w:trPr>
        <w:tc>
          <w:tcPr>
            <w:tcW w:w="88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b/>
                <w:b/>
                <w:bCs/>
              </w:rPr>
            </w:pPr>
            <w:r>
              <w:rPr>
                <w:rFonts w:eastAsia="Verdana" w:cs="Verdana" w:ascii="Verdana" w:hAnsi="Verdana"/>
                <w:b/>
                <w:bCs/>
                <w:color w:val="000000"/>
                <w:sz w:val="20"/>
                <w:szCs w:val="20"/>
              </w:rPr>
              <w:t>Week</w:t>
            </w:r>
          </w:p>
        </w:tc>
        <w:tc>
          <w:tcPr>
            <w:tcW w:w="812"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b/>
                <w:b/>
                <w:bCs/>
              </w:rPr>
            </w:pPr>
            <w:r>
              <w:rPr>
                <w:rFonts w:eastAsia="Verdana" w:cs="Verdana" w:ascii="Verdana" w:hAnsi="Verdana"/>
                <w:b/>
                <w:bCs/>
                <w:color w:val="000000"/>
                <w:sz w:val="20"/>
                <w:szCs w:val="20"/>
              </w:rPr>
              <w:t>Date</w:t>
            </w:r>
          </w:p>
        </w:tc>
        <w:tc>
          <w:tcPr>
            <w:tcW w:w="2730"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b/>
                <w:b/>
                <w:bCs/>
              </w:rPr>
            </w:pPr>
            <w:r>
              <w:rPr>
                <w:rFonts w:eastAsia="Verdana" w:cs="Verdana" w:ascii="Verdana" w:hAnsi="Verdana"/>
                <w:b/>
                <w:bCs/>
                <w:sz w:val="20"/>
                <w:szCs w:val="20"/>
              </w:rPr>
              <w:t xml:space="preserve">Lecture </w:t>
            </w:r>
            <w:r>
              <w:rPr>
                <w:rFonts w:eastAsia="Verdana" w:cs="Verdana" w:ascii="Verdana" w:hAnsi="Verdana"/>
                <w:b/>
                <w:bCs/>
                <w:color w:val="000000"/>
                <w:sz w:val="20"/>
                <w:szCs w:val="20"/>
              </w:rPr>
              <w:t>Topic</w:t>
            </w:r>
          </w:p>
        </w:tc>
        <w:tc>
          <w:tcPr>
            <w:tcW w:w="4317"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b/>
                <w:b/>
                <w:bCs/>
              </w:rPr>
            </w:pPr>
            <w:r>
              <w:rPr>
                <w:rFonts w:eastAsia="Verdana" w:cs="Verdana" w:ascii="Verdana" w:hAnsi="Verdana"/>
                <w:b/>
                <w:bCs/>
                <w:sz w:val="20"/>
                <w:szCs w:val="20"/>
              </w:rPr>
              <w:t>Lab Topic</w:t>
            </w:r>
          </w:p>
        </w:tc>
        <w:tc>
          <w:tcPr>
            <w:tcW w:w="264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b/>
                <w:b/>
                <w:bCs/>
              </w:rPr>
            </w:pPr>
            <w:r>
              <w:rPr>
                <w:rFonts w:eastAsia="Verdana" w:cs="Verdana" w:ascii="Verdana" w:hAnsi="Verdana"/>
                <w:b/>
                <w:bCs/>
                <w:color w:val="000000"/>
                <w:sz w:val="20"/>
                <w:szCs w:val="20"/>
              </w:rPr>
              <w:t xml:space="preserve">Due </w:t>
            </w:r>
            <w:r>
              <w:rPr>
                <w:rFonts w:eastAsia="Verdana" w:cs="Verdana" w:ascii="Verdana" w:hAnsi="Verdana"/>
                <w:b/>
                <w:bCs/>
                <w:sz w:val="20"/>
                <w:szCs w:val="20"/>
              </w:rPr>
              <w:t>This Week</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1</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1</w:t>
            </w:r>
            <w:r>
              <w:rPr>
                <w:rFonts w:eastAsia="Verdana" w:cs="Verdana" w:ascii="Verdana" w:hAnsi="Verdana"/>
                <w:color w:val="000000"/>
                <w:sz w:val="16"/>
                <w:szCs w:val="16"/>
              </w:rPr>
              <w:t>/1</w:t>
            </w:r>
            <w:r>
              <w:rPr>
                <w:rFonts w:eastAsia="Verdana" w:cs="Verdana" w:ascii="Verdana" w:hAnsi="Verdana"/>
                <w:sz w:val="16"/>
                <w:szCs w:val="16"/>
              </w:rPr>
              <w:t>4</w:t>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Course design, goals, introduction, and setup</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No Labs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2</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1</w:t>
            </w:r>
            <w:r>
              <w:rPr>
                <w:rFonts w:eastAsia="Verdana" w:cs="Verdana" w:ascii="Verdana" w:hAnsi="Verdana"/>
                <w:color w:val="000000"/>
                <w:sz w:val="16"/>
                <w:szCs w:val="16"/>
              </w:rPr>
              <w:t>/21</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Life history strategies and host-parasite coevolution</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Lab 1: Introduction; Parasite Specificity; Microscope Review</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2"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3</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28</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Parasite richness, specificity, and host range</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Lab 2: Parasite Diversity; Life History Strategies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Worksheet 1</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4</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2</w:t>
            </w:r>
            <w:r>
              <w:rPr>
                <w:rFonts w:eastAsia="Verdana" w:cs="Verdana" w:ascii="Verdana" w:hAnsi="Verdana"/>
                <w:color w:val="000000"/>
                <w:sz w:val="16"/>
                <w:szCs w:val="16"/>
              </w:rPr>
              <w:t>/04</w:t>
            </w:r>
          </w:p>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Behavioral and immunological responses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Lab 3: Host Range</w:t>
            </w:r>
          </w:p>
        </w:tc>
        <w:tc>
          <w:tcPr>
            <w:tcW w:w="2643"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pPr>
            <w:r>
              <w:rPr>
                <w:rFonts w:eastAsia="Verdana" w:cs="Verdana" w:ascii="Verdana" w:hAnsi="Verdana"/>
                <w:sz w:val="16"/>
                <w:szCs w:val="16"/>
              </w:rPr>
              <w:t>1/30: HW 1</w:t>
            </w:r>
          </w:p>
          <w:p>
            <w:pPr>
              <w:pStyle w:val="LOnormal"/>
              <w:widowControl w:val="false"/>
              <w:jc w:val="center"/>
              <w:rPr/>
            </w:pPr>
            <w:r>
              <w:rPr>
                <w:rFonts w:eastAsia="Verdana" w:cs="Verdana" w:ascii="Verdana" w:hAnsi="Verdana"/>
                <w:sz w:val="16"/>
                <w:szCs w:val="16"/>
              </w:rPr>
              <w:t>Worksheet 2</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5</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2/11</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Biology of microparasites</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 xml:space="preserve">Lab 4: Immunological Responses: Melanization responses in </w:t>
            </w:r>
            <w:r>
              <w:rPr>
                <w:rFonts w:eastAsia="Verdana" w:cs="Verdana" w:ascii="Verdana" w:hAnsi="Verdana"/>
                <w:i/>
                <w:sz w:val="16"/>
                <w:szCs w:val="16"/>
              </w:rPr>
              <w:t>Passalid</w:t>
            </w:r>
            <w:r>
              <w:rPr>
                <w:rFonts w:eastAsia="Verdana" w:cs="Verdana" w:ascii="Verdana" w:hAnsi="Verdana"/>
                <w:sz w:val="16"/>
                <w:szCs w:val="16"/>
              </w:rPr>
              <w:t xml:space="preserve"> beetles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Worksheet 3</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6</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2/18</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Epidemics and interventions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Lab 5: Diagnostic Testing: Identifying Helminth parasites in wildlife</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pPr>
            <w:r>
              <w:rPr>
                <w:rFonts w:eastAsia="Verdana" w:cs="Verdana" w:ascii="Verdana" w:hAnsi="Verdana"/>
                <w:sz w:val="16"/>
                <w:szCs w:val="16"/>
              </w:rPr>
              <w:t>Worksheet 4</w:t>
            </w:r>
          </w:p>
        </w:tc>
      </w:tr>
      <w:tr>
        <w:trPr>
          <w:trHeight w:val="63"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rPr>
              <w:t>7</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2/25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Parasite aggregation and burden</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Lab 6: Disease Modeling I</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Worksheet 5</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rPr>
              <w:t>8</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3/04</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pPr>
            <w:r>
              <w:rPr>
                <w:rFonts w:eastAsia="Verdana" w:cs="Verdana" w:ascii="Verdana" w:hAnsi="Verdana"/>
                <w:sz w:val="16"/>
                <w:szCs w:val="16"/>
              </w:rPr>
              <w:t>Biology of macroparasites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pPr>
            <w:r>
              <w:rPr>
                <w:rFonts w:eastAsia="Verdana" w:cs="Verdana" w:ascii="Verdana" w:hAnsi="Verdana"/>
                <w:sz w:val="16"/>
                <w:szCs w:val="16"/>
              </w:rPr>
              <w:t>Lab 7: Disease Modeling II</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Midterm Exam (2/29)</w:t>
            </w:r>
          </w:p>
          <w:p>
            <w:pPr>
              <w:pStyle w:val="LOnormal"/>
              <w:widowControl w:val="false"/>
              <w:jc w:val="center"/>
              <w:rPr/>
            </w:pPr>
            <w:r>
              <w:rPr>
                <w:rFonts w:eastAsia="Verdana" w:cs="Verdana" w:ascii="Verdana" w:hAnsi="Verdana"/>
                <w:sz w:val="16"/>
                <w:szCs w:val="16"/>
              </w:rPr>
              <w:t>Worksheet 6</w:t>
            </w:r>
          </w:p>
        </w:tc>
      </w:tr>
      <w:tr>
        <w:trPr>
          <w:trHeight w:val="233"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shd w:fill="auto" w:val="clear"/>
              </w:rPr>
              <w:t>9</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shd w:fill="auto" w:val="clear"/>
              </w:rPr>
              <w:t>3/11</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highlight w:val="none"/>
                <w:shd w:fill="auto" w:val="clear"/>
              </w:rPr>
            </w:pPr>
            <w:r>
              <w:rPr>
                <w:shd w:fill="auto" w:val="clear"/>
              </w:rPr>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pPr>
            <w:r>
              <w:rPr>
                <w:shd w:fill="auto" w:val="clear"/>
              </w:rPr>
              <w:t>Spring break</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highlight w:val="none"/>
                <w:shd w:fill="DEE6EF" w:val="clear"/>
              </w:rPr>
            </w:pPr>
            <w:r>
              <w:rPr>
                <w:shd w:fill="DEE6EF" w:val="clear"/>
              </w:rPr>
            </w:r>
          </w:p>
        </w:tc>
      </w:tr>
      <w:tr>
        <w:trPr>
          <w:trHeight w:val="233" w:hRule="atLeast"/>
        </w:trPr>
        <w:tc>
          <w:tcPr>
            <w:tcW w:w="883"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rPr>
              <w:t>10</w:t>
            </w:r>
          </w:p>
        </w:tc>
        <w:tc>
          <w:tcPr>
            <w:tcW w:w="812"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3/18</w:t>
            </w:r>
          </w:p>
        </w:tc>
        <w:tc>
          <w:tcPr>
            <w:tcW w:w="2730" w:type="dxa"/>
            <w:tcBorders>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Vector-borne disease</w:t>
            </w:r>
          </w:p>
        </w:tc>
        <w:tc>
          <w:tcPr>
            <w:tcW w:w="4317" w:type="dxa"/>
            <w:tcBorders>
              <w:left w:val="single" w:sz="4" w:space="0" w:color="666666"/>
              <w:bottom w:val="single" w:sz="4" w:space="0" w:color="666666"/>
              <w:right w:val="single" w:sz="4" w:space="0" w:color="666666"/>
            </w:tcBorders>
          </w:tcPr>
          <w:p>
            <w:pPr>
              <w:pStyle w:val="LOnormal"/>
              <w:widowControl w:val="false"/>
              <w:jc w:val="center"/>
              <w:rPr/>
            </w:pPr>
            <w:r>
              <w:rPr>
                <w:rFonts w:eastAsia="Verdana" w:cs="Verdana" w:ascii="Verdana" w:hAnsi="Verdana"/>
                <w:sz w:val="16"/>
                <w:szCs w:val="16"/>
              </w:rPr>
              <w:t>Lab 8: Disease Modeling Wrap Up: Presentations + Case Study</w:t>
            </w:r>
          </w:p>
        </w:tc>
        <w:tc>
          <w:tcPr>
            <w:tcW w:w="2643" w:type="dxa"/>
            <w:tcBorders>
              <w:left w:val="single" w:sz="4" w:space="0" w:color="666666"/>
              <w:bottom w:val="single" w:sz="4" w:space="0" w:color="666666"/>
              <w:right w:val="single" w:sz="4" w:space="0" w:color="666666"/>
            </w:tcBorders>
          </w:tcPr>
          <w:p>
            <w:pPr>
              <w:pStyle w:val="LOnormal"/>
              <w:keepNext w:val="false"/>
              <w:keepLines w:val="false"/>
              <w:widowControl w:val="false"/>
              <w:shd w:val="clear" w:fill="auto"/>
              <w:spacing w:lineRule="auto" w:line="240" w:before="0" w:after="0"/>
              <w:ind w:left="0" w:right="0" w:hanging="0"/>
              <w:jc w:val="center"/>
              <w:rPr/>
            </w:pPr>
            <w:r>
              <w:rPr>
                <w:rFonts w:eastAsia="Verdana" w:cs="Verdana" w:ascii="Verdana" w:hAnsi="Verdana"/>
                <w:sz w:val="16"/>
                <w:szCs w:val="16"/>
              </w:rPr>
              <w:t>3/10: HW 2</w:t>
            </w:r>
          </w:p>
          <w:p>
            <w:pPr>
              <w:pStyle w:val="LOnormal"/>
              <w:widowControl w:val="false"/>
              <w:jc w:val="center"/>
              <w:rPr/>
            </w:pPr>
            <w:r>
              <w:rPr>
                <w:rFonts w:eastAsia="Verdana" w:cs="Verdana" w:ascii="Verdana" w:hAnsi="Verdana"/>
                <w:sz w:val="16"/>
                <w:szCs w:val="16"/>
              </w:rPr>
              <w:t>Worksheet 7</w:t>
            </w:r>
          </w:p>
        </w:tc>
      </w:tr>
      <w:tr>
        <w:trPr>
          <w:trHeight w:val="598"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rPr>
              <w:t>11</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3/25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Environmentally-transmitted disease and sexually-transmitted diseases</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Lab 9: Parasite Aggregation: Trematodes burdens in marine snails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Worksheet 8</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12</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4/01</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Infectious diseases in communities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pPr>
            <w:r>
              <w:rPr>
                <w:rFonts w:eastAsia="Verdana" w:cs="Verdana" w:ascii="Verdana" w:hAnsi="Verdana"/>
                <w:sz w:val="16"/>
                <w:szCs w:val="16"/>
              </w:rPr>
              <w:t>Lab 10: Parasite Encounter Rates: Tick Collection</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pPr>
            <w:r>
              <w:rPr>
                <w:rFonts w:eastAsia="Verdana" w:cs="Verdana" w:ascii="Verdana" w:hAnsi="Verdana"/>
                <w:sz w:val="16"/>
                <w:szCs w:val="16"/>
              </w:rPr>
              <w:t>Worksheet 9</w:t>
            </w:r>
          </w:p>
        </w:tc>
      </w:tr>
      <w:tr>
        <w:trPr>
          <w:trHeight w:val="179"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rPr>
              <w:t>13</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4/08</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Coinfection</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Lab 11: Tick Data Analysis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4/04: HW 3</w:t>
            </w:r>
          </w:p>
          <w:p>
            <w:pPr>
              <w:pStyle w:val="LOnormal"/>
              <w:widowControl w:val="false"/>
              <w:jc w:val="center"/>
              <w:rPr/>
            </w:pPr>
            <w:r>
              <w:rPr>
                <w:rFonts w:eastAsia="Verdana" w:cs="Verdana" w:ascii="Verdana" w:hAnsi="Verdana"/>
                <w:sz w:val="16"/>
                <w:szCs w:val="16"/>
              </w:rPr>
              <w:t>Worksheet 10</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14</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4/15</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pPr>
            <w:r>
              <w:rPr>
                <w:rFonts w:eastAsia="Verdana" w:cs="Verdana" w:ascii="Verdana" w:hAnsi="Verdana"/>
                <w:sz w:val="16"/>
                <w:szCs w:val="16"/>
              </w:rPr>
              <w:t>Macroecology of infectious disease and networked populations</w:t>
            </w:r>
          </w:p>
        </w:tc>
        <w:tc>
          <w:tcPr>
            <w:tcW w:w="4317"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pPr>
            <w:r>
              <w:rPr>
                <w:rFonts w:eastAsia="Verdana" w:cs="Verdana" w:ascii="Verdana" w:hAnsi="Verdana"/>
                <w:sz w:val="16"/>
                <w:szCs w:val="16"/>
              </w:rPr>
              <w:t>Lab 12: Risk Mapping of Environmentally-Transmitted Disease; Case Study + Analysis</w:t>
            </w:r>
          </w:p>
        </w:tc>
        <w:tc>
          <w:tcPr>
            <w:tcW w:w="2643"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pPr>
            <w:r>
              <w:rPr>
                <w:rFonts w:eastAsia="Verdana" w:cs="Verdana" w:ascii="Verdana" w:hAnsi="Verdana"/>
                <w:sz w:val="16"/>
                <w:szCs w:val="16"/>
              </w:rPr>
              <w:t>Worksheet 11</w:t>
            </w:r>
          </w:p>
        </w:tc>
      </w:tr>
      <w:tr>
        <w:trPr>
          <w:trHeight w:val="645"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b w:val="false"/>
                <w:b w:val="false"/>
                <w:bCs w:val="false"/>
              </w:rPr>
            </w:pPr>
            <w:r>
              <w:rPr>
                <w:rFonts w:eastAsia="Verdana" w:cs="Verdana" w:ascii="Verdana" w:hAnsi="Verdana"/>
                <w:b w:val="false"/>
                <w:bCs w:val="false"/>
                <w:color w:val="000000"/>
              </w:rPr>
              <w:t>15</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4/22</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Zoonoses, spillover, emergence, and One Health</w:t>
            </w:r>
          </w:p>
        </w:tc>
        <w:tc>
          <w:tcPr>
            <w:tcW w:w="4317"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pPr>
            <w:r>
              <w:rPr>
                <w:rFonts w:eastAsia="Verdana" w:cs="Verdana" w:ascii="Verdana" w:hAnsi="Verdana"/>
                <w:sz w:val="16"/>
                <w:szCs w:val="16"/>
              </w:rPr>
              <w:t>Lab 13: Disease Transmission in networked populations: Data Analysis of Respiratory Disease in Primates</w:t>
            </w:r>
          </w:p>
        </w:tc>
        <w:tc>
          <w:tcPr>
            <w:tcW w:w="264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pPr>
            <w:r>
              <w:rPr>
                <w:rFonts w:eastAsia="Verdana" w:cs="Verdana" w:ascii="Verdana" w:hAnsi="Verdana"/>
                <w:sz w:val="16"/>
                <w:szCs w:val="16"/>
              </w:rPr>
              <w:t>Worksheet 12</w:t>
            </w:r>
          </w:p>
          <w:p>
            <w:pPr>
              <w:pStyle w:val="LOnormal"/>
              <w:widowControl w:val="false"/>
              <w:spacing w:lineRule="auto" w:line="240" w:before="0" w:after="0"/>
              <w:jc w:val="center"/>
              <w:rPr/>
            </w:pPr>
            <w:r>
              <w:rPr>
                <w:rFonts w:eastAsia="Verdana" w:cs="Verdana" w:ascii="Verdana" w:hAnsi="Verdana"/>
                <w:sz w:val="16"/>
                <w:szCs w:val="16"/>
              </w:rPr>
              <w:t>4/22: HW 4</w:t>
            </w:r>
          </w:p>
          <w:p>
            <w:pPr>
              <w:pStyle w:val="LOnormal"/>
              <w:widowControl w:val="false"/>
              <w:jc w:val="center"/>
              <w:rPr/>
            </w:pPr>
            <w:r>
              <w:rPr>
                <w:rFonts w:eastAsia="Verdana" w:cs="Verdana" w:ascii="Verdana" w:hAnsi="Verdana"/>
                <w:sz w:val="16"/>
                <w:szCs w:val="16"/>
              </w:rPr>
              <w:t>Worksheet 13 (Due 04/22)</w:t>
            </w:r>
          </w:p>
        </w:tc>
      </w:tr>
    </w:tbl>
    <w:p>
      <w:pPr>
        <w:pStyle w:val="LOnormal"/>
        <w:rPr>
          <w:b/>
          <w:b/>
          <w:sz w:val="28"/>
          <w:szCs w:val="28"/>
          <w:highlight w:val="yellow"/>
        </w:rPr>
      </w:pPr>
      <w:r>
        <w:rPr>
          <w:b/>
          <w:sz w:val="28"/>
          <w:szCs w:val="28"/>
          <w:highlight w:val="yellow"/>
        </w:rPr>
      </w:r>
    </w:p>
    <w:p>
      <w:pPr>
        <w:pStyle w:val="LOnormal"/>
        <w:rPr>
          <w:b/>
          <w:b/>
          <w:sz w:val="28"/>
          <w:szCs w:val="28"/>
        </w:rPr>
      </w:pPr>
      <w:r>
        <w:rPr>
          <w:b/>
          <w:sz w:val="28"/>
          <w:szCs w:val="28"/>
        </w:rPr>
        <w:t>Final Exam Date: May 6 - 9:00 a.m</w:t>
      </w:r>
    </w:p>
    <w:p>
      <w:pPr>
        <w:pStyle w:val="LOnormal"/>
        <w:rPr>
          <w:b/>
          <w:b/>
          <w:sz w:val="28"/>
          <w:szCs w:val="28"/>
          <w:highlight w:val="yellow"/>
        </w:rPr>
      </w:pPr>
      <w:r>
        <w:rPr>
          <w:b/>
          <w:sz w:val="28"/>
          <w:szCs w:val="28"/>
          <w:highlight w:val="yellow"/>
        </w:rPr>
      </w:r>
    </w:p>
    <w:p>
      <w:pPr>
        <w:pStyle w:val="Heading2"/>
        <w:rPr/>
      </w:pPr>
      <w:r>
        <w:rPr/>
        <w:t>Course Assignments and Grading</w:t>
      </w:r>
    </w:p>
    <w:p>
      <w:pPr>
        <w:pStyle w:val="LOnormal"/>
        <w:rPr/>
      </w:pPr>
      <w:r>
        <w:rPr/>
      </w:r>
    </w:p>
    <w:p>
      <w:pPr>
        <w:pStyle w:val="LOnormal"/>
        <w:rPr/>
      </w:pPr>
      <w:r>
        <w:rPr/>
        <w:t>The course will be graded out of 650 points, broken down as such:</w:t>
      </w:r>
    </w:p>
    <w:p>
      <w:pPr>
        <w:pStyle w:val="LOnormal"/>
        <w:rPr/>
      </w:pPr>
      <w:r>
        <w:rPr/>
      </w:r>
    </w:p>
    <w:tbl>
      <w:tblPr>
        <w:tblStyle w:val="Table2"/>
        <w:tblW w:w="8895" w:type="dxa"/>
        <w:jc w:val="center"/>
        <w:tblInd w:w="0" w:type="dxa"/>
        <w:tblLayout w:type="fixed"/>
        <w:tblCellMar>
          <w:top w:w="0" w:type="dxa"/>
          <w:left w:w="108" w:type="dxa"/>
          <w:bottom w:w="0" w:type="dxa"/>
          <w:right w:w="108" w:type="dxa"/>
        </w:tblCellMar>
        <w:tblLook w:val="0400"/>
      </w:tblPr>
      <w:tblGrid>
        <w:gridCol w:w="4483"/>
        <w:gridCol w:w="2206"/>
        <w:gridCol w:w="2206"/>
      </w:tblGrid>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Assignments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Points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 xml:space="preserve">Percentage </w:t>
            </w:r>
            <w:r>
              <w:rPr/>
              <w:t>(approximate)</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HW Assignments (4)</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160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Exams (2)</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140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21%</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Weekly Lecture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170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Participation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7%</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Worksheets (11, lowest dropped)</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100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15%</w:t>
            </w:r>
          </w:p>
        </w:tc>
      </w:tr>
      <w:tr>
        <w:trPr>
          <w:trHeight w:val="148" w:hRule="atLeast"/>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Disease Modeling Presentation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30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TOTAL</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650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100%</w:t>
            </w:r>
          </w:p>
        </w:tc>
      </w:tr>
    </w:tbl>
    <w:p>
      <w:pPr>
        <w:pStyle w:val="LOnormal"/>
        <w:rPr>
          <w:highlight w:val="yellow"/>
        </w:rPr>
      </w:pPr>
      <w:r>
        <w:rPr>
          <w:highlight w:val="yellow"/>
        </w:rPr>
      </w:r>
    </w:p>
    <w:p>
      <w:pPr>
        <w:pStyle w:val="LOnormal"/>
        <w:rPr/>
      </w:pPr>
      <w:r>
        <w:rPr/>
        <w:t xml:space="preserve">585 – 650 points </w:t>
      </w:r>
      <w:r>
        <w:rPr>
          <w:sz w:val="16"/>
          <w:szCs w:val="16"/>
        </w:rPr>
        <w:t>(90%)</w:t>
      </w:r>
      <w:r>
        <w:rPr/>
        <w:t xml:space="preserve"> = A </w:t>
      </w:r>
    </w:p>
    <w:p>
      <w:pPr>
        <w:pStyle w:val="LOnormal"/>
        <w:rPr/>
      </w:pPr>
      <w:r>
        <w:rPr/>
        <w:t xml:space="preserve">559 – 584 points </w:t>
      </w:r>
      <w:r>
        <w:rPr>
          <w:sz w:val="16"/>
          <w:szCs w:val="16"/>
        </w:rPr>
        <w:t>(86%)</w:t>
      </w:r>
      <w:r>
        <w:rPr/>
        <w:t xml:space="preserve"> = B+ </w:t>
      </w:r>
    </w:p>
    <w:p>
      <w:pPr>
        <w:pStyle w:val="LOnormal"/>
        <w:rPr/>
      </w:pPr>
      <w:r>
        <w:rPr/>
        <w:t xml:space="preserve">520 – 558 points </w:t>
      </w:r>
      <w:r>
        <w:rPr>
          <w:sz w:val="16"/>
          <w:szCs w:val="16"/>
        </w:rPr>
        <w:t>(80%)</w:t>
      </w:r>
      <w:r>
        <w:rPr/>
        <w:t xml:space="preserve"> = B </w:t>
      </w:r>
    </w:p>
    <w:p>
      <w:pPr>
        <w:pStyle w:val="LOnormal"/>
        <w:rPr/>
      </w:pPr>
      <w:r>
        <w:rPr/>
        <w:t xml:space="preserve">494 – 519 points </w:t>
      </w:r>
      <w:r>
        <w:rPr>
          <w:sz w:val="16"/>
          <w:szCs w:val="16"/>
        </w:rPr>
        <w:t>(76%)</w:t>
      </w:r>
      <w:r>
        <w:rPr/>
        <w:t xml:space="preserve"> = C+</w:t>
      </w:r>
    </w:p>
    <w:p>
      <w:pPr>
        <w:pStyle w:val="LOnormal"/>
        <w:rPr/>
      </w:pPr>
      <w:r>
        <w:rPr/>
        <w:t xml:space="preserve">455 – 493 points </w:t>
      </w:r>
      <w:r>
        <w:rPr>
          <w:sz w:val="16"/>
          <w:szCs w:val="16"/>
        </w:rPr>
        <w:t>(70%)</w:t>
      </w:r>
      <w:r>
        <w:rPr/>
        <w:t xml:space="preserve"> = C </w:t>
      </w:r>
    </w:p>
    <w:p>
      <w:pPr>
        <w:pStyle w:val="LOnormal"/>
        <w:rPr/>
      </w:pPr>
      <w:r>
        <w:rPr/>
        <w:t xml:space="preserve">390 – 454 points </w:t>
      </w:r>
      <w:r>
        <w:rPr>
          <w:sz w:val="16"/>
          <w:szCs w:val="16"/>
        </w:rPr>
        <w:t>(60%)</w:t>
      </w:r>
      <w:r>
        <w:rPr/>
        <w:t xml:space="preserve"> = D </w:t>
      </w:r>
    </w:p>
    <w:p>
      <w:pPr>
        <w:pStyle w:val="LOnormal"/>
        <w:rPr/>
      </w:pPr>
      <w:r>
        <w:rPr/>
        <w:t xml:space="preserve">0 – 389 points    </w:t>
      </w:r>
      <w:r>
        <w:rPr>
          <w:sz w:val="16"/>
          <w:szCs w:val="16"/>
        </w:rPr>
        <w:t xml:space="preserve">(&lt;60%) </w:t>
      </w:r>
      <w:r>
        <w:rPr/>
        <w:t>= F</w:t>
      </w:r>
    </w:p>
    <w:p>
      <w:pPr>
        <w:pStyle w:val="LOnormal"/>
        <w:rPr>
          <w:highlight w:val="yellow"/>
        </w:rPr>
      </w:pPr>
      <w:r>
        <w:rPr>
          <w:highlight w:val="yellow"/>
        </w:rPr>
      </w:r>
    </w:p>
    <w:p>
      <w:pPr>
        <w:pStyle w:val="Heading2"/>
        <w:rPr/>
      </w:pPr>
      <w:r>
        <w:rPr/>
        <w:t xml:space="preserve">Technology Requirements </w:t>
      </w:r>
    </w:p>
    <w:p>
      <w:pPr>
        <w:pStyle w:val="LOnormal"/>
        <w:rPr/>
      </w:pPr>
      <w:r>
        <w:rPr/>
      </w:r>
    </w:p>
    <w:p>
      <w:pPr>
        <w:pStyle w:val="LOnormal"/>
        <w:rPr/>
      </w:pPr>
      <w:r>
        <w:rPr/>
        <w:t>The lecture presentations and all assignments will be available to students in pdf and doc formats through the course website. To successfully participation in this course, students will need: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Access to a working computer that has a current operating system with updates installed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Internet access and a USC email account;</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current Internet browser that is compatible with Blackboard (Google Chrome is the recommended browser for Blackboard); </w:t>
      </w:r>
    </w:p>
    <w:p>
      <w:pPr>
        <w:pStyle w:val="LOnormal"/>
        <w:keepNext w:val="false"/>
        <w:keepLines w:val="false"/>
        <w:pageBreakBefore w:val="false"/>
        <w:widowControl/>
        <w:numPr>
          <w:ilvl w:val="0"/>
          <w:numId w:val="4"/>
        </w:numPr>
        <w:shd w:val="clear" w:fill="auto"/>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data storage for your work, such as a USB drive or Office365 OneDrive cloud storage.</w:t>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p>
    <w:p>
      <w:pPr>
        <w:pStyle w:val="LOnormal"/>
        <w:rPr>
          <w:highlight w:val="yellow"/>
        </w:rPr>
      </w:pPr>
      <w:r>
        <w:rPr>
          <w:highlight w:val="yellow"/>
        </w:rPr>
      </w:r>
    </w:p>
    <w:p>
      <w:pPr>
        <w:pStyle w:val="Heading2"/>
        <w:rPr/>
      </w:pPr>
      <w:r>
        <w:rPr/>
        <w:t xml:space="preserve">Technical Support </w:t>
      </w:r>
    </w:p>
    <w:p>
      <w:pPr>
        <w:pStyle w:val="LOnormal"/>
        <w:rPr/>
      </w:pPr>
      <w:r>
        <w:rPr/>
      </w:r>
    </w:p>
    <w:p>
      <w:pPr>
        <w:pStyle w:val="LOnormal"/>
        <w:rPr/>
      </w:pPr>
      <w:r>
        <w:rPr/>
        <w:t xml:space="preserve">If you have problems with your computer, technology, IT-related questions, support, including Blackboard, please contact the Division of Information Technology (DoIT) Service Desk at (803) 777-1800 or submit an online request through the </w:t>
      </w:r>
      <w:hyperlink r:id="rId3">
        <w:r>
          <w:rPr>
            <w:color w:val="0000FF"/>
            <w:u w:val="single"/>
          </w:rPr>
          <w:t>Self-Service Portal</w:t>
        </w:r>
      </w:hyperlink>
      <w:r>
        <w:rPr/>
        <w:t xml:space="preserve"> (</w:t>
      </w:r>
      <w:hyperlink r:id="rId4">
        <w:r>
          <w:rPr>
            <w:color w:val="0000FF"/>
            <w:sz w:val="16"/>
            <w:szCs w:val="16"/>
            <w:u w:val="single"/>
          </w:rPr>
          <w:t>https://scprod.service-now.com/sp</w:t>
        </w:r>
      </w:hyperlink>
      <w:r>
        <w:rPr/>
        <w:t xml:space="preserve">) or visit the </w:t>
      </w:r>
      <w:hyperlink r:id="rId5">
        <w:r>
          <w:rPr>
            <w:color w:val="0000FF"/>
            <w:u w:val="single"/>
          </w:rPr>
          <w:t>Carolina Tech Zone</w:t>
        </w:r>
      </w:hyperlink>
      <w:r>
        <w:rPr/>
        <w:t xml:space="preserve"> </w:t>
      </w:r>
      <w:r>
        <w:rPr>
          <w:sz w:val="16"/>
          <w:szCs w:val="16"/>
        </w:rPr>
        <w:t>(</w:t>
      </w:r>
      <w:hyperlink r:id="rId6">
        <w:r>
          <w:rPr>
            <w:color w:val="0000FF"/>
            <w:sz w:val="16"/>
            <w:szCs w:val="16"/>
            <w:u w:val="single"/>
          </w:rPr>
          <w:t>https://www.sc.edu/about/offices_and_divisions/university_technology_services/support/ctz.php</w:t>
        </w:r>
      </w:hyperlink>
      <w:r>
        <w:rPr>
          <w:sz w:val="16"/>
          <w:szCs w:val="16"/>
        </w:rPr>
        <w:t>)</w:t>
      </w:r>
      <w:r>
        <w:rPr/>
        <w:t>.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pPr>
        <w:pStyle w:val="Heading2"/>
        <w:rPr>
          <w:highlight w:val="yellow"/>
        </w:rPr>
      </w:pPr>
      <w:r>
        <w:rPr>
          <w:highlight w:val="yellow"/>
        </w:rPr>
      </w:r>
    </w:p>
    <w:p>
      <w:pPr>
        <w:pStyle w:val="LOnormal"/>
        <w:rPr>
          <w:sz w:val="34"/>
          <w:szCs w:val="34"/>
        </w:rPr>
      </w:pPr>
      <w:r>
        <w:rPr>
          <w:b/>
          <w:sz w:val="34"/>
          <w:szCs w:val="34"/>
        </w:rPr>
        <w:t>Assignment Policies and Descriptions</w:t>
      </w:r>
    </w:p>
    <w:p>
      <w:pPr>
        <w:pStyle w:val="Heading3"/>
        <w:spacing w:lineRule="auto" w:line="240" w:before="240" w:after="240"/>
        <w:rPr>
          <w:b w:val="false"/>
          <w:b w:val="false"/>
        </w:rPr>
      </w:pPr>
      <w:bookmarkStart w:id="2" w:name="_7yb8dfrfo4tp"/>
      <w:bookmarkEnd w:id="2"/>
      <w:r>
        <w:rPr>
          <w:b w:val="false"/>
        </w:rPr>
        <w:t>All assignments are due immediately before the start of class on the day indicated. Assignments should be submitted as instructed. Assignments are not collaborative, and I expect that each student will complete the assignment independently.</w:t>
      </w:r>
    </w:p>
    <w:p>
      <w:pPr>
        <w:pStyle w:val="Heading2"/>
        <w:keepNext w:val="false"/>
        <w:keepLines w:val="false"/>
        <w:spacing w:lineRule="auto" w:line="240" w:before="360" w:after="80"/>
        <w:rPr>
          <w:sz w:val="34"/>
          <w:szCs w:val="34"/>
        </w:rPr>
      </w:pPr>
      <w:bookmarkStart w:id="3" w:name="_wzhi3ugd6z0k"/>
      <w:bookmarkEnd w:id="3"/>
      <w:r>
        <w:rPr>
          <w:sz w:val="34"/>
          <w:szCs w:val="34"/>
        </w:rPr>
        <w:t>Late Assignments:</w:t>
      </w:r>
    </w:p>
    <w:p>
      <w:pPr>
        <w:pStyle w:val="LOnormal"/>
        <w:spacing w:lineRule="auto" w:line="240" w:before="240" w:after="240"/>
        <w:rPr/>
      </w:pPr>
      <w:r>
        <w:rPr/>
        <w:t>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pPr>
        <w:pStyle w:val="Heading2"/>
        <w:keepNext w:val="false"/>
        <w:keepLines w:val="false"/>
        <w:spacing w:lineRule="auto" w:line="240" w:before="360" w:after="80"/>
        <w:rPr>
          <w:sz w:val="34"/>
          <w:szCs w:val="34"/>
        </w:rPr>
      </w:pPr>
      <w:bookmarkStart w:id="4" w:name="_bfrnzaoxymin"/>
      <w:bookmarkEnd w:id="4"/>
      <w:r>
        <w:rPr>
          <w:sz w:val="34"/>
          <w:szCs w:val="34"/>
        </w:rPr>
        <w:t>Attendance:</w:t>
      </w:r>
    </w:p>
    <w:p>
      <w:pPr>
        <w:pStyle w:val="LOnormal"/>
        <w:spacing w:lineRule="auto" w:line="240" w:before="240" w:after="240"/>
        <w:rPr/>
      </w:pPr>
      <w:r>
        <w:rPr/>
        <w:t>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pPr>
        <w:pStyle w:val="Heading2"/>
        <w:spacing w:lineRule="auto" w:line="240" w:before="360" w:after="80"/>
        <w:rPr>
          <w:sz w:val="34"/>
          <w:szCs w:val="34"/>
        </w:rPr>
      </w:pPr>
      <w:r>
        <w:rPr>
          <w:sz w:val="34"/>
          <w:szCs w:val="34"/>
        </w:rPr>
      </w:r>
      <w:bookmarkStart w:id="5" w:name="_umxfbz5350nw"/>
      <w:bookmarkStart w:id="6" w:name="_umxfbz5350nw"/>
      <w:bookmarkEnd w:id="6"/>
    </w:p>
    <w:p>
      <w:pPr>
        <w:pStyle w:val="Heading2"/>
        <w:spacing w:lineRule="auto" w:line="240" w:before="360" w:after="80"/>
        <w:rPr>
          <w:sz w:val="34"/>
          <w:szCs w:val="34"/>
        </w:rPr>
      </w:pPr>
      <w:bookmarkStart w:id="7" w:name="_lhbes9mqhoha"/>
      <w:bookmarkEnd w:id="7"/>
      <w:r>
        <w:rPr>
          <w:sz w:val="34"/>
          <w:szCs w:val="34"/>
        </w:rPr>
        <w:t>Lecture grading</w:t>
      </w:r>
    </w:p>
    <w:p>
      <w:pPr>
        <w:pStyle w:val="Heading2"/>
        <w:spacing w:lineRule="auto" w:line="240" w:before="360" w:after="80"/>
        <w:rPr/>
      </w:pPr>
      <w:bookmarkStart w:id="8" w:name="_ovsj7xpxho7m"/>
      <w:bookmarkEnd w:id="8"/>
      <w:r>
        <w:rPr/>
        <w:t>Weekly Lecture quizzes</w:t>
      </w:r>
    </w:p>
    <w:p>
      <w:pPr>
        <w:pStyle w:val="Heading3"/>
        <w:spacing w:lineRule="auto" w:line="240" w:before="240" w:after="240"/>
        <w:rPr>
          <w:b w:val="false"/>
          <w:b w:val="false"/>
        </w:rPr>
      </w:pPr>
      <w:bookmarkStart w:id="9" w:name="_enptmpev62di"/>
      <w:bookmarkEnd w:id="9"/>
      <w:r>
        <w:rPr>
          <w:b w:val="false"/>
        </w:rPr>
        <w:t>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pPr>
        <w:pStyle w:val="Heading2"/>
        <w:keepNext w:val="false"/>
        <w:keepLines w:val="false"/>
        <w:spacing w:lineRule="auto" w:line="240" w:before="360" w:after="80"/>
        <w:rPr/>
      </w:pPr>
      <w:bookmarkStart w:id="10" w:name="_3lqud1i9es3n"/>
      <w:bookmarkEnd w:id="10"/>
      <w:r>
        <w:rPr/>
        <w:t xml:space="preserve">Homework </w:t>
      </w:r>
    </w:p>
    <w:p>
      <w:pPr>
        <w:pStyle w:val="LOnormal"/>
        <w:rPr/>
      </w:pPr>
      <w:r>
        <w:rPr/>
        <w:t xml:space="preserve">Homework assignments will cover the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p>
    <w:p>
      <w:pPr>
        <w:pStyle w:val="Heading2"/>
        <w:keepNext w:val="false"/>
        <w:keepLines w:val="false"/>
        <w:spacing w:lineRule="auto" w:line="240" w:before="360" w:after="80"/>
        <w:rPr/>
      </w:pPr>
      <w:bookmarkStart w:id="11" w:name="_vvs8moaen14u"/>
      <w:bookmarkEnd w:id="11"/>
      <w:r>
        <w:rPr/>
        <w:t>Exams</w:t>
      </w:r>
    </w:p>
    <w:p>
      <w:pPr>
        <w:pStyle w:val="LOnormal"/>
        <w:spacing w:lineRule="auto" w:line="240" w:before="240" w:after="240"/>
        <w:rPr/>
      </w:pPr>
      <w:r>
        <w:rPr/>
        <w:t>There will be two exams, roughly distributed as a mid-term (covering modules 1 and 2) and a final exam (covering modules 3 and 4). Exams will be worth 100 points, will be completed in class, and will be closed book/notes.</w:t>
      </w:r>
    </w:p>
    <w:p>
      <w:pPr>
        <w:pStyle w:val="LOnormal"/>
        <w:spacing w:lineRule="auto" w:line="240" w:before="240" w:after="240"/>
        <w:rPr/>
      </w:pPr>
      <w:r>
        <w:rPr/>
      </w:r>
    </w:p>
    <w:p>
      <w:pPr>
        <w:pStyle w:val="LOnormal"/>
        <w:spacing w:lineRule="auto" w:line="240" w:before="240" w:after="240"/>
        <w:rPr>
          <w:b/>
          <w:b/>
          <w:sz w:val="38"/>
          <w:szCs w:val="38"/>
        </w:rPr>
      </w:pPr>
      <w:r>
        <w:rPr>
          <w:b/>
          <w:sz w:val="38"/>
          <w:szCs w:val="38"/>
        </w:rPr>
        <w:t>Lab grading</w:t>
      </w:r>
    </w:p>
    <w:p>
      <w:pPr>
        <w:pStyle w:val="LOnormal"/>
        <w:spacing w:lineRule="auto" w:line="240" w:before="240" w:after="240"/>
        <w:rPr>
          <w:b/>
          <w:b/>
          <w:sz w:val="28"/>
          <w:szCs w:val="28"/>
        </w:rPr>
      </w:pPr>
      <w:r>
        <w:rPr>
          <w:b/>
          <w:sz w:val="28"/>
          <w:szCs w:val="28"/>
        </w:rPr>
        <w:t>Lab Quizzes</w:t>
      </w:r>
    </w:p>
    <w:p>
      <w:pPr>
        <w:pStyle w:val="LOnormal"/>
        <w:spacing w:lineRule="auto" w:line="240" w:before="240" w:after="240"/>
        <w:rPr/>
      </w:pPr>
      <w:r>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pPr>
        <w:pStyle w:val="LOnormal"/>
        <w:spacing w:lineRule="auto" w:line="240" w:before="240" w:after="240"/>
        <w:rPr>
          <w:b/>
          <w:b/>
          <w:sz w:val="28"/>
          <w:szCs w:val="28"/>
        </w:rPr>
      </w:pPr>
      <w:r>
        <w:rPr>
          <w:b/>
          <w:sz w:val="28"/>
          <w:szCs w:val="28"/>
        </w:rPr>
        <w:t>Lab Worksheets</w:t>
      </w:r>
    </w:p>
    <w:p>
      <w:pPr>
        <w:pStyle w:val="LOnormal"/>
        <w:spacing w:lineRule="auto" w:line="240" w:before="240" w:after="240"/>
        <w:rPr/>
      </w:pPr>
      <w:r>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pPr>
        <w:pStyle w:val="LOnormal"/>
        <w:spacing w:lineRule="auto" w:line="240" w:before="240" w:after="240"/>
        <w:rPr>
          <w:b/>
          <w:b/>
          <w:sz w:val="28"/>
          <w:szCs w:val="28"/>
        </w:rPr>
      </w:pPr>
      <w:r>
        <w:rPr>
          <w:b/>
          <w:sz w:val="28"/>
          <w:szCs w:val="28"/>
        </w:rPr>
        <w:t>Disease Modeling Presentation</w:t>
      </w:r>
    </w:p>
    <w:p>
      <w:pPr>
        <w:pStyle w:val="LOnormal"/>
        <w:rPr/>
      </w:pPr>
      <w:r>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pPr>
        <w:pStyle w:val="LOnormal"/>
        <w:rPr>
          <w:b/>
          <w:b/>
          <w:sz w:val="28"/>
          <w:szCs w:val="28"/>
        </w:rPr>
      </w:pPr>
      <w:r>
        <w:rPr>
          <w:b/>
          <w:sz w:val="28"/>
          <w:szCs w:val="28"/>
        </w:rPr>
      </w:r>
    </w:p>
    <w:p>
      <w:pPr>
        <w:pStyle w:val="LOnormal"/>
        <w:rPr>
          <w:b/>
          <w:b/>
          <w:sz w:val="34"/>
          <w:szCs w:val="34"/>
        </w:rPr>
      </w:pPr>
      <w:r>
        <w:rPr>
          <w:b/>
          <w:sz w:val="34"/>
          <w:szCs w:val="34"/>
        </w:rPr>
        <w:t xml:space="preserve">Other Class Policies: </w:t>
      </w:r>
    </w:p>
    <w:p>
      <w:pPr>
        <w:pStyle w:val="LOnormal"/>
        <w:rPr/>
      </w:pPr>
      <w:r>
        <w:rPr/>
      </w:r>
    </w:p>
    <w:p>
      <w:pPr>
        <w:pStyle w:val="Heading3"/>
        <w:rPr>
          <w:color w:val="000000"/>
        </w:rPr>
      </w:pPr>
      <w:r>
        <w:rPr>
          <w:color w:val="000000"/>
        </w:rPr>
        <w:t>Academic Integrity</w:t>
      </w:r>
    </w:p>
    <w:p>
      <w:pPr>
        <w:pStyle w:val="LOnormal"/>
        <w:shd w:val="clear" w:fill="FFFFFF"/>
        <w:spacing w:lineRule="auto" w:line="240" w:before="0" w:after="240"/>
        <w:rPr/>
      </w:pPr>
      <w:r>
        <w:rPr/>
        <w:t>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pPr>
        <w:pStyle w:val="LOnormal"/>
        <w:shd w:val="clear" w:fill="FFFFFF"/>
        <w:spacing w:lineRule="auto" w:line="240" w:before="240" w:after="240"/>
        <w:rPr/>
      </w:pPr>
      <w:r>
        <w:rPr/>
        <w:t>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pPr>
        <w:pStyle w:val="LOnormal"/>
        <w:shd w:val="clear" w:fill="FFFFFF"/>
        <w:spacing w:lineRule="auto" w:line="240" w:before="240" w:after="240"/>
        <w:rPr/>
      </w:pPr>
      <w:r>
        <w:rPr/>
        <w:t>The first tenet of the Carolinian Creed is, “I will practice personal and academic integrity.”</w:t>
      </w:r>
    </w:p>
    <w:p>
      <w:pPr>
        <w:pStyle w:val="LOnormal"/>
        <w:rPr/>
      </w:pPr>
      <w:r>
        <w:rPr/>
        <w:t>Below are some websites for you to visit to learn more about University policies:</w:t>
      </w:r>
    </w:p>
    <w:p>
      <w:pPr>
        <w:pStyle w:val="LOnormal"/>
        <w:rPr/>
      </w:pPr>
      <w:r>
        <w:rPr/>
      </w:r>
    </w:p>
    <w:p>
      <w:pPr>
        <w:pStyle w:val="LOnormal"/>
        <w:rPr>
          <w:color w:val="0000FF"/>
          <w:u w:val="single"/>
        </w:rPr>
      </w:pPr>
      <w:hyperlink r:id="rId7">
        <w:r>
          <w:rPr>
            <w:color w:val="0000FF"/>
            <w:u w:val="single"/>
          </w:rPr>
          <w:t>Carolinian Creed (http://www.sa.sc.edu/creed)</w:t>
        </w:r>
      </w:hyperlink>
    </w:p>
    <w:p>
      <w:pPr>
        <w:pStyle w:val="LOnormal"/>
        <w:rPr>
          <w:color w:val="0000FF"/>
          <w:u w:val="single"/>
        </w:rPr>
      </w:pPr>
      <w:hyperlink r:id="rId8">
        <w:r>
          <w:rPr>
            <w:color w:val="0000FF"/>
            <w:u w:val="single"/>
          </w:rPr>
          <w:t>Academic Responsibility (http://www.sc.edu/policies/staf625.pdf)</w:t>
        </w:r>
      </w:hyperlink>
    </w:p>
    <w:p>
      <w:pPr>
        <w:pStyle w:val="LOnormal"/>
        <w:rPr>
          <w:color w:val="0000FF"/>
          <w:u w:val="single"/>
        </w:rPr>
      </w:pPr>
      <w:hyperlink r:id="rId9">
        <w:r>
          <w:rPr>
            <w:color w:val="0000FF"/>
            <w:u w:val="single"/>
          </w:rPr>
          <w:t>Office of Student Conduct and Academic Integrity (https://www.sa.sc.edu/academicintegrity/)</w:t>
        </w:r>
      </w:hyperlink>
    </w:p>
    <w:p>
      <w:pPr>
        <w:pStyle w:val="LOnormal"/>
        <w:rPr>
          <w:color w:val="0000FF"/>
          <w:u w:val="single"/>
        </w:rPr>
      </w:pPr>
      <w:hyperlink r:id="rId10">
        <w:r>
          <w:rPr>
            <w:color w:val="0000FF"/>
            <w:u w:val="single"/>
          </w:rPr>
          <w:t>Information Security Policy and Standards (https://sc.edu/about/offices_and_divisions/division_of_information_technology/security/policy/universitypolicy/)</w:t>
        </w:r>
      </w:hyperlink>
    </w:p>
    <w:p>
      <w:pPr>
        <w:pStyle w:val="LOnormal"/>
        <w:rPr/>
      </w:pPr>
      <w:r>
        <w:rPr/>
      </w:r>
    </w:p>
    <w:p>
      <w:pPr>
        <w:pStyle w:val="LOnormal"/>
        <w:rPr/>
      </w:pPr>
      <w:r>
        <w:rPr/>
      </w:r>
    </w:p>
    <w:p>
      <w:pPr>
        <w:pStyle w:val="Heading3"/>
        <w:rPr>
          <w:color w:val="000000"/>
        </w:rPr>
      </w:pPr>
      <w:r>
        <w:rPr>
          <w:color w:val="000000"/>
        </w:rPr>
        <w:t>Class Conduct</w:t>
      </w:r>
    </w:p>
    <w:p>
      <w:pPr>
        <w:pStyle w:val="LOnormal"/>
        <w:rPr/>
      </w:pPr>
      <w:r>
        <w:rPr/>
      </w:r>
    </w:p>
    <w:p>
      <w:pPr>
        <w:pStyle w:val="LOnormal"/>
        <w:rPr/>
      </w:pPr>
      <w:r>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pPr>
        <w:pStyle w:val="LOnormal"/>
        <w:rPr/>
      </w:pPr>
      <w:r>
        <w:rPr/>
      </w:r>
    </w:p>
    <w:p>
      <w:pPr>
        <w:pStyle w:val="Heading3"/>
        <w:rPr/>
      </w:pPr>
      <w:r>
        <w:rPr/>
        <w:t>Laptop/Smartphone Policy</w:t>
      </w:r>
    </w:p>
    <w:p>
      <w:pPr>
        <w:pStyle w:val="LOnormal"/>
        <w:rPr/>
      </w:pPr>
      <w:r>
        <w:rPr/>
      </w:r>
    </w:p>
    <w:p>
      <w:pPr>
        <w:pStyle w:val="LOnormal"/>
        <w:rPr/>
      </w:pPr>
      <w:r>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pPr>
        <w:pStyle w:val="LOnormal"/>
        <w:rPr/>
      </w:pPr>
      <w:r>
        <w:rPr/>
      </w:r>
    </w:p>
    <w:p>
      <w:pPr>
        <w:pStyle w:val="Heading3"/>
        <w:rPr/>
      </w:pPr>
      <w:r>
        <w:rPr/>
        <w:t>Incomplete Grades</w:t>
      </w:r>
    </w:p>
    <w:p>
      <w:pPr>
        <w:pStyle w:val="LOnormal"/>
        <w:rPr/>
      </w:pPr>
      <w:r>
        <w:rPr/>
      </w:r>
    </w:p>
    <w:p>
      <w:pPr>
        <w:pStyle w:val="LOnormal"/>
        <w:rPr/>
      </w:pPr>
      <w:r>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pPr>
        <w:pStyle w:val="LOnormal"/>
        <w:rPr/>
      </w:pPr>
      <w:r>
        <w:rPr/>
      </w:r>
    </w:p>
    <w:p>
      <w:pPr>
        <w:pStyle w:val="Heading3"/>
        <w:rPr/>
      </w:pPr>
      <w:r>
        <w:rPr/>
        <w:t>Diversity and Inclusion</w:t>
      </w:r>
    </w:p>
    <w:p>
      <w:pPr>
        <w:pStyle w:val="LOnormal"/>
        <w:rPr/>
      </w:pPr>
      <w:r>
        <w:rPr/>
      </w:r>
    </w:p>
    <w:p>
      <w:pPr>
        <w:pStyle w:val="LOnormal"/>
        <w:rPr/>
      </w:pPr>
      <w:r>
        <w:rPr/>
        <w:t>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pPr>
        <w:pStyle w:val="LOnormal"/>
        <w:rPr/>
      </w:pPr>
      <w:r>
        <w:rPr/>
      </w:r>
    </w:p>
    <w:p>
      <w:pPr>
        <w:pStyle w:val="Heading4"/>
        <w:rPr>
          <w:i/>
          <w:i/>
        </w:rPr>
      </w:pPr>
      <w:r>
        <w:rPr>
          <w:i/>
        </w:rPr>
        <w:t xml:space="preserve">Accessibility, Disability, and Triggers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 am committed to ensuring course </w:t>
      </w:r>
      <w:r>
        <w:rPr>
          <w:rFonts w:eastAsia="Arial" w:cs="Arial"/>
          <w:b/>
          <w:i w:val="false"/>
          <w:caps w:val="false"/>
          <w:smallCaps w:val="false"/>
          <w:strike w:val="false"/>
          <w:dstrike w:val="false"/>
          <w:color w:val="000000"/>
          <w:position w:val="0"/>
          <w:sz w:val="24"/>
          <w:sz w:val="24"/>
          <w:szCs w:val="24"/>
          <w:u w:val="none"/>
          <w:vertAlign w:val="baseline"/>
        </w:rPr>
        <w:t>accessibility </w:t>
      </w:r>
      <w:r>
        <w:rPr>
          <w:rFonts w:eastAsia="Arial" w:cs="Arial"/>
          <w:b w:val="false"/>
          <w:i w:val="false"/>
          <w:caps w:val="false"/>
          <w:smallCaps w:val="false"/>
          <w:strike w:val="false"/>
          <w:dstrike w:val="false"/>
          <w:color w:val="000000"/>
          <w:position w:val="0"/>
          <w:sz w:val="24"/>
          <w:sz w:val="24"/>
          <w:szCs w:val="24"/>
          <w:u w:val="none"/>
          <w:vertAlign w:val="baseline"/>
        </w:rPr>
        <w:t>for all students. If you have a documented </w:t>
      </w:r>
      <w:r>
        <w:rPr>
          <w:rFonts w:eastAsia="Arial" w:cs="Arial"/>
          <w:b/>
          <w:i w:val="false"/>
          <w:caps w:val="false"/>
          <w:smallCaps w:val="false"/>
          <w:strike w:val="false"/>
          <w:dstrike w:val="false"/>
          <w:color w:val="000000"/>
          <w:position w:val="0"/>
          <w:sz w:val="24"/>
          <w:sz w:val="24"/>
          <w:szCs w:val="24"/>
          <w:u w:val="none"/>
          <w:vertAlign w:val="baseline"/>
        </w:rPr>
        <w:t>disability </w:t>
      </w:r>
      <w:r>
        <w:rPr>
          <w:rFonts w:eastAsia="Arial" w:cs="Arial"/>
          <w:b w:val="false"/>
          <w:i w:val="false"/>
          <w:caps w:val="false"/>
          <w:smallCaps w:val="false"/>
          <w:strike w:val="false"/>
          <w:dstrike w:val="false"/>
          <w:color w:val="000000"/>
          <w:position w:val="0"/>
          <w:sz w:val="24"/>
          <w:sz w:val="24"/>
          <w:szCs w:val="24"/>
          <w:u w:val="none"/>
          <w:vertAlign w:val="baseline"/>
        </w:rPr>
        <w:t>and expect reasonable accommodation to complete course requirements, please provide </w:t>
      </w:r>
      <w:hyperlink r:id="rId11">
        <w:r>
          <w:rPr>
            <w:rFonts w:eastAsia="Arial" w:cs="Arial"/>
            <w:b w:val="false"/>
            <w:i w:val="false"/>
            <w:caps w:val="false"/>
            <w:smallCaps w:val="false"/>
            <w:strike w:val="false"/>
            <w:dstrike w:val="false"/>
            <w:color w:val="954F72"/>
            <w:position w:val="0"/>
            <w:sz w:val="24"/>
            <w:sz w:val="24"/>
            <w:szCs w:val="24"/>
            <w:u w:val="single"/>
            <w:vertAlign w:val="baseline"/>
          </w:rPr>
          <w:t>SDRC (https://sc.edu/about/offices_and_divisions/student_disability_resource_center/)</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documentation to me before requesting accommodation. </w:t>
      </w:r>
      <w:r>
        <w:rPr>
          <w:rFonts w:eastAsia="Arial" w:cs="Arial"/>
          <w:b w:val="false"/>
          <w:i/>
          <w:caps w:val="false"/>
          <w:smallCaps w:val="false"/>
          <w:strike w:val="false"/>
          <w:dstrike w:val="false"/>
          <w:color w:val="000000"/>
          <w:position w:val="0"/>
          <w:sz w:val="24"/>
          <w:sz w:val="24"/>
          <w:szCs w:val="24"/>
          <w:u w:val="none"/>
          <w:vertAlign w:val="baseline"/>
        </w:rPr>
        <w:t>Additionally,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caps w:val="false"/>
          <w:smallCaps w:val="false"/>
          <w:strike w:val="false"/>
          <w:dstrike w:val="false"/>
          <w:color w:val="000000"/>
          <w:position w:val="0"/>
          <w:sz w:val="24"/>
          <w:sz w:val="24"/>
          <w:szCs w:val="24"/>
          <w:u w:val="none"/>
          <w:vertAlign w:val="baseline"/>
        </w:rPr>
        <w:t>please notify me at least one week before accommodation is needed</w:t>
      </w:r>
      <w:r>
        <w:rPr>
          <w:rFonts w:eastAsia="Arial" w:cs="Arial"/>
          <w:b w:val="false"/>
          <w:i w:val="false"/>
          <w:caps w:val="false"/>
          <w:smallCaps w:val="false"/>
          <w:strike w:val="false"/>
          <w:dstrike w:val="false"/>
          <w:color w:val="000000"/>
          <w:position w:val="0"/>
          <w:sz w:val="24"/>
          <w:sz w:val="24"/>
          <w:szCs w:val="24"/>
          <w:u w:val="none"/>
          <w:vertAlign w:val="baseline"/>
        </w:rPr>
        <w:t>. Likewise, if you are aware of cognitive or emotional </w:t>
      </w:r>
      <w:r>
        <w:rPr>
          <w:rFonts w:eastAsia="Arial" w:cs="Arial"/>
          <w:b/>
          <w:i w:val="false"/>
          <w:caps w:val="false"/>
          <w:smallCaps w:val="false"/>
          <w:strike w:val="false"/>
          <w:dstrike w:val="false"/>
          <w:color w:val="000000"/>
          <w:position w:val="0"/>
          <w:sz w:val="24"/>
          <w:sz w:val="24"/>
          <w:szCs w:val="24"/>
          <w:u w:val="none"/>
          <w:vertAlign w:val="baseline"/>
        </w:rPr>
        <w:t>triggers </w:t>
      </w:r>
      <w:r>
        <w:rPr>
          <w:rFonts w:eastAsia="Arial" w:cs="Arial"/>
          <w:b w:val="false"/>
          <w:i w:val="false"/>
          <w:caps w:val="false"/>
          <w:smallCaps w:val="false"/>
          <w:strike w:val="false"/>
          <w:dstrike w:val="false"/>
          <w:color w:val="000000"/>
          <w:position w:val="0"/>
          <w:sz w:val="24"/>
          <w:sz w:val="24"/>
          <w:szCs w:val="24"/>
          <w:u w:val="none"/>
          <w:vertAlign w:val="baseline"/>
        </w:rPr>
        <w:t>that could disrupt your intellectual or mental health, please let me know privately so that I can be aware in terms of course content. </w:t>
      </w:r>
    </w:p>
    <w:p>
      <w:pPr>
        <w:pStyle w:val="Heading4"/>
        <w:rPr>
          <w:i/>
          <w:i/>
        </w:rPr>
      </w:pPr>
      <w:r>
        <w:rPr>
          <w:i/>
        </w:rPr>
        <w:t xml:space="preserve">Diversity, Ethics, and the Carolinian Creed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This course works to foster a climate free of harassment and discrimination, and it values the contributions of all forms of </w:t>
      </w:r>
      <w:r>
        <w:rPr>
          <w:rFonts w:eastAsia="Arial" w:cs="Arial"/>
          <w:b/>
          <w:i w:val="false"/>
          <w:caps w:val="false"/>
          <w:smallCaps w:val="false"/>
          <w:strike w:val="false"/>
          <w:dstrike w:val="false"/>
          <w:color w:val="000000"/>
          <w:position w:val="0"/>
          <w:sz w:val="24"/>
          <w:sz w:val="24"/>
          <w:szCs w:val="24"/>
          <w:u w:val="none"/>
          <w:vertAlign w:val="baseline"/>
        </w:rPr>
        <w:t>diversity</w:t>
      </w:r>
      <w:r>
        <w:rPr>
          <w:rFonts w:eastAsia="Arial" w:cs="Arial"/>
          <w:b w:val="false"/>
          <w:i w:val="false"/>
          <w:caps w:val="false"/>
          <w:smallCaps w:val="false"/>
          <w:strike w:val="false"/>
          <w:dstrike w:val="false"/>
          <w:color w:val="000000"/>
          <w:position w:val="0"/>
          <w:sz w:val="24"/>
          <w:sz w:val="24"/>
          <w:szCs w:val="24"/>
          <w:u w:val="none"/>
          <w:vertAlign w:val="baseline"/>
        </w:rPr>
        <w:t>. The decision to enter university and pursue advanced study is a choice that entails commitment to personal </w:t>
      </w:r>
      <w:r>
        <w:rPr>
          <w:rFonts w:eastAsia="Arial" w:cs="Arial"/>
          <w:b/>
          <w:i w:val="false"/>
          <w:caps w:val="false"/>
          <w:smallCaps w:val="false"/>
          <w:strike w:val="false"/>
          <w:dstrike w:val="false"/>
          <w:color w:val="000000"/>
          <w:position w:val="0"/>
          <w:sz w:val="24"/>
          <w:sz w:val="24"/>
          <w:szCs w:val="24"/>
          <w:u w:val="none"/>
          <w:vertAlign w:val="baseline"/>
        </w:rPr>
        <w:t>ethics </w:t>
      </w:r>
      <w:r>
        <w:rPr>
          <w:rFonts w:eastAsia="Arial" w:cs="Arial"/>
          <w:b w:val="false"/>
          <w:i w:val="false"/>
          <w:caps w:val="false"/>
          <w:smallCaps w:val="false"/>
          <w:strike w:val="false"/>
          <w:dstrike w:val="false"/>
          <w:color w:val="000000"/>
          <w:position w:val="0"/>
          <w:sz w:val="24"/>
          <w:sz w:val="24"/>
          <w:szCs w:val="24"/>
          <w:u w:val="none"/>
          <w:vertAlign w:val="baseline"/>
        </w:rPr>
        <w:t>expressed in the </w:t>
      </w:r>
      <w:hyperlink r:id="rId12">
        <w:r>
          <w:rPr>
            <w:rFonts w:eastAsia="Arial" w:cs="Arial"/>
            <w:b/>
            <w:i w:val="false"/>
            <w:caps w:val="false"/>
            <w:smallCaps w:val="false"/>
            <w:strike w:val="false"/>
            <w:dstrike w:val="false"/>
            <w:color w:val="0000FF"/>
            <w:position w:val="0"/>
            <w:sz w:val="24"/>
            <w:sz w:val="24"/>
            <w:szCs w:val="24"/>
            <w:u w:val="single"/>
            <w:vertAlign w:val="baseline"/>
          </w:rPr>
          <w:t>Carolinian Creed</w:t>
        </w:r>
      </w:hyperlink>
      <w:hyperlink r:id="rId13">
        <w:r>
          <w:rPr>
            <w:rFonts w:eastAsia="Arial" w:cs="Arial"/>
            <w:b w:val="false"/>
            <w:i w:val="false"/>
            <w:caps w:val="false"/>
            <w:smallCaps w:val="false"/>
            <w:strike w:val="false"/>
            <w:dstrike w:val="false"/>
            <w:color w:val="0000FF"/>
            <w:position w:val="0"/>
            <w:sz w:val="24"/>
            <w:sz w:val="24"/>
            <w:szCs w:val="24"/>
            <w:u w:val="single"/>
            <w:vertAlign w:val="baseline"/>
          </w:rPr>
          <w:t xml:space="preserve"> (www.sa.sc.edu/creed)</w:t>
        </w:r>
      </w:hyperlink>
      <w:r>
        <w:rPr>
          <w:rFonts w:eastAsia="Arial" w:cs="Arial"/>
          <w:b w:val="false"/>
          <w:i w:val="false"/>
          <w:caps w:val="false"/>
          <w:smallCaps w:val="false"/>
          <w:strike w:val="false"/>
          <w:dstrike w:val="false"/>
          <w:color w:val="000000"/>
          <w:position w:val="0"/>
          <w:sz w:val="24"/>
          <w:sz w:val="24"/>
          <w:szCs w:val="24"/>
          <w:u w:val="none"/>
          <w:vertAlign w:val="baseline"/>
        </w:rPr>
        <w:t>: “I will discourage bigotry, while striving to learn from differences in people, ideas and opinions.” Likewise, the Student Code of Conduct (</w:t>
      </w:r>
      <w:hyperlink r:id="rId14">
        <w:r>
          <w:rPr>
            <w:rFonts w:eastAsia="Arial" w:cs="Arial"/>
            <w:b w:val="false"/>
            <w:i w:val="false"/>
            <w:caps w:val="false"/>
            <w:smallCaps w:val="false"/>
            <w:strike w:val="false"/>
            <w:dstrike w:val="false"/>
            <w:color w:val="954F72"/>
            <w:position w:val="0"/>
            <w:sz w:val="24"/>
            <w:sz w:val="24"/>
            <w:szCs w:val="24"/>
            <w:u w:val="single"/>
            <w:vertAlign w:val="baseline"/>
          </w:rPr>
          <w:t>STAF 6.26 (http://www.sc.edu/policies/ppm/staf626.pdf)</w:t>
        </w:r>
      </w:hyperlink>
      <w:r>
        <w:rPr>
          <w:rFonts w:eastAsia="Book Antiqua" w:cs="Book Antiqua" w:ascii="Book Antiqua" w:hAnsi="Book Antiqua"/>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stresses, “The University of South Carolina strives to maintain an educational community that fosters the development of students who are ethical, civil and responsible persons.” </w:t>
      </w:r>
    </w:p>
    <w:p>
      <w:pPr>
        <w:pStyle w:val="Heading4"/>
        <w:rPr>
          <w:i/>
          <w:i/>
        </w:rPr>
      </w:pPr>
      <w:r>
        <w:rPr>
          <w:i/>
        </w:rPr>
        <w:t xml:space="preserve">Title IX and Gendered Pronouns </w:t>
      </w:r>
    </w:p>
    <w:p>
      <w:pPr>
        <w:pStyle w:val="LOnormal"/>
        <w:rPr/>
      </w:pPr>
      <w:r>
        <w:rPr/>
      </w:r>
    </w:p>
    <w:p>
      <w:pPr>
        <w:pStyle w:val="LOnormal"/>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pPr>
        <w:pStyle w:val="LOnormal"/>
        <w:rPr>
          <w:color w:val="000000"/>
        </w:rPr>
      </w:pPr>
      <w:r>
        <w:rPr>
          <w:color w:val="000000"/>
        </w:rPr>
      </w:r>
    </w:p>
    <w:p>
      <w:pPr>
        <w:pStyle w:val="Heading2"/>
        <w:rPr>
          <w:sz w:val="32"/>
          <w:szCs w:val="32"/>
        </w:rPr>
      </w:pPr>
      <w:r>
        <w:rPr>
          <w:sz w:val="32"/>
          <w:szCs w:val="32"/>
        </w:rPr>
        <w:t>Academic Success</w:t>
      </w:r>
    </w:p>
    <w:p>
      <w:pPr>
        <w:pStyle w:val="LOnormal"/>
        <w:rPr/>
      </w:pPr>
      <w:r>
        <w:rPr/>
      </w:r>
    </w:p>
    <w:p>
      <w:pPr>
        <w:pStyle w:val="Heading3"/>
        <w:rPr/>
      </w:pPr>
      <w:r>
        <w:rPr/>
        <w:t>Disability Services</w:t>
      </w:r>
    </w:p>
    <w:p>
      <w:pPr>
        <w:pStyle w:val="LOnormal"/>
        <w:rPr/>
      </w:pPr>
      <w:r>
        <w:rPr/>
      </w:r>
    </w:p>
    <w:p>
      <w:pPr>
        <w:pStyle w:val="LOnormal"/>
        <w:rPr/>
      </w:pPr>
      <w:hyperlink r:id="rId15">
        <w:r>
          <w:rPr>
            <w:color w:val="0000FF"/>
            <w:u w:val="single"/>
          </w:rPr>
          <w:t>Student Disability Resource Center (http://www.sa.sc.edu/sds/)</w:t>
        </w:r>
      </w:hyperlink>
      <w:r>
        <w:rPr/>
        <w:t>: The Student Disability Resource Center (SDRC) empowers students to manage challenges and limitations imposed by disabilities. </w:t>
      </w:r>
    </w:p>
    <w:p>
      <w:pPr>
        <w:pStyle w:val="LOnormal"/>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r>
    </w:p>
    <w:p>
      <w:pPr>
        <w:pStyle w:val="LOnormal"/>
        <w:rPr/>
      </w:pPr>
      <w:r>
        <w:rPr/>
        <w:t>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pPr>
        <w:pStyle w:val="LOnormal"/>
        <w:rPr/>
      </w:pPr>
      <w:r>
        <w:rPr/>
      </w:r>
    </w:p>
    <w:p>
      <w:pPr>
        <w:pStyle w:val="Heading3"/>
        <w:rPr/>
      </w:pPr>
      <w:r>
        <w:rPr/>
        <w:t>Student Success Center</w:t>
      </w:r>
    </w:p>
    <w:p>
      <w:pPr>
        <w:pStyle w:val="LOnormal"/>
        <w:rPr/>
      </w:pPr>
      <w:r>
        <w:rPr/>
      </w:r>
    </w:p>
    <w:p>
      <w:pPr>
        <w:pStyle w:val="LOnormal"/>
        <w:rPr/>
      </w:pPr>
      <w:r>
        <w:rPr/>
        <w:t>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Tutoring:</w:t>
      </w:r>
      <w:r>
        <w:rPr>
          <w:rFonts w:eastAsia="Arial" w:cs="Arial"/>
          <w:b w:val="false"/>
          <w:i w:val="false"/>
          <w:caps w:val="false"/>
          <w:smallCaps w:val="false"/>
          <w:strike w:val="false"/>
          <w:dstrike w:val="false"/>
          <w:color w:val="000000"/>
          <w:position w:val="0"/>
          <w:sz w:val="24"/>
          <w:sz w:val="24"/>
          <w:szCs w:val="24"/>
          <w:u w:val="none"/>
          <w:vertAlign w:val="baseline"/>
        </w:rPr>
        <w:t xml:space="preserve"> You can make a one-on-one appointment with a </w:t>
      </w:r>
      <w:hyperlink r:id="rId16">
        <w:r>
          <w:rPr>
            <w:rFonts w:eastAsia="Arial" w:cs="Arial"/>
            <w:b w:val="false"/>
            <w:i w:val="false"/>
            <w:caps w:val="false"/>
            <w:smallCaps w:val="false"/>
            <w:strike w:val="false"/>
            <w:dstrike w:val="false"/>
            <w:color w:val="0000FF"/>
            <w:position w:val="0"/>
            <w:sz w:val="24"/>
            <w:sz w:val="24"/>
            <w:szCs w:val="24"/>
            <w:u w:val="single"/>
            <w:vertAlign w:val="baseline"/>
          </w:rPr>
          <w:t>Peer Tutor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Drop-in Tutoring and Online Tutoring may also be available for this course. Visit their website for a full schedule of times, locations, and courses.</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Writing:</w:t>
      </w:r>
      <w:r>
        <w:rPr>
          <w:rFonts w:eastAsia="Arial" w:cs="Arial"/>
          <w:b w:val="false"/>
          <w:i w:val="false"/>
          <w:caps w:val="false"/>
          <w:smallCaps w:val="false"/>
          <w:strike w:val="false"/>
          <w:dstrike w:val="false"/>
          <w:color w:val="000000"/>
          <w:position w:val="0"/>
          <w:sz w:val="24"/>
          <w:sz w:val="24"/>
          <w:szCs w:val="24"/>
          <w:u w:val="none"/>
          <w:vertAlign w:val="baseline"/>
        </w:rPr>
        <w:t> Improve your college-level writing skills by bringing writing assignments from any of your classes to a Peer Writing Tutor. Similar to Tutoring, you can visit the website to make an appointment, and to view the full schedule of available drop-in hours and locations.</w:t>
      </w:r>
    </w:p>
    <w:p>
      <w:pPr>
        <w:pStyle w:val="LOnormal"/>
        <w:keepNext w:val="false"/>
        <w:keepLines w:val="false"/>
        <w:pageBreakBefore w:val="false"/>
        <w:widowControl/>
        <w:numPr>
          <w:ilvl w:val="0"/>
          <w:numId w:val="1"/>
        </w:numPr>
        <w:shd w:val="clear" w:fill="FFFFFF"/>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Success Consultations:</w:t>
      </w:r>
      <w:r>
        <w:rPr>
          <w:rFonts w:eastAsia="Arial" w:cs="Arial"/>
          <w:b w:val="false"/>
          <w:i w:val="false"/>
          <w:caps w:val="false"/>
          <w:smallCaps w:val="false"/>
          <w:strike w:val="false"/>
          <w:dstrike w:val="false"/>
          <w:color w:val="000000"/>
          <w:position w:val="0"/>
          <w:sz w:val="24"/>
          <w:sz w:val="24"/>
          <w:szCs w:val="24"/>
          <w:u w:val="none"/>
          <w:vertAlign w:val="baseline"/>
        </w:rPr>
        <w:t>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SSC services are offered to all USC undergraduates at no additional cost. You are invited to call the Student Success Hotline at (803) 777-1000, visit the </w:t>
      </w:r>
      <w:hyperlink r:id="rId17">
        <w:r>
          <w:rPr>
            <w:rFonts w:eastAsia="Arial" w:cs="Arial"/>
            <w:b w:val="false"/>
            <w:i w:val="false"/>
            <w:caps w:val="false"/>
            <w:smallCaps w:val="false"/>
            <w:strike w:val="false"/>
            <w:dstrike w:val="false"/>
            <w:color w:val="0000FF"/>
            <w:position w:val="0"/>
            <w:sz w:val="24"/>
            <w:sz w:val="24"/>
            <w:szCs w:val="24"/>
            <w:u w:val="single"/>
            <w:vertAlign w:val="baseline"/>
          </w:rPr>
          <w:t>SSC website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or stop by the SSC in the Thomas Cooper Library on the Mezzanine Level to check schedules and make appointments. </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Writing Center</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18">
        <w:r>
          <w:rPr>
            <w:color w:val="0000FF"/>
            <w:u w:val="single"/>
          </w:rPr>
          <w:t>Writing Center (http://artsandsciences.sc.edu/write/university-writing-center)</w:t>
        </w:r>
      </w:hyperlink>
    </w:p>
    <w:p>
      <w:pPr>
        <w:pStyle w:val="LOnormal"/>
        <w:rPr/>
      </w:pPr>
      <w:r>
        <w:rPr/>
        <w:t>This course has many of writing assignments. The University Writing Center is an important resource you should use! It's open to help any USC student needing assistance with a writing project at any stage of development. The main Writing Center is in Byrnes 703.</w:t>
      </w:r>
    </w:p>
    <w:p>
      <w:pPr>
        <w:pStyle w:val="LOnormal"/>
        <w:rPr/>
      </w:pPr>
      <w:r>
        <w:rPr/>
      </w:r>
    </w:p>
    <w:p>
      <w:pPr>
        <w:pStyle w:val="Heading3"/>
        <w:rPr/>
      </w:pPr>
      <w:r>
        <w:rPr/>
        <w:t>University Library Resources</w:t>
      </w:r>
    </w:p>
    <w:p>
      <w:pPr>
        <w:pStyle w:val="LOnormal"/>
        <w:rPr/>
      </w:pPr>
      <w:r>
        <w:rPr/>
      </w:r>
    </w:p>
    <w:p>
      <w:pPr>
        <w:pStyle w:val="LOnormal"/>
        <w:rPr/>
      </w:pPr>
      <w:hyperlink r:id="rId19">
        <w:r>
          <w:rPr>
            <w:color w:val="0000FF"/>
            <w:u w:val="single"/>
          </w:rPr>
          <w:t>University Libraries Resources (sc.edu/libraries)</w:t>
        </w:r>
      </w:hyperlink>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University Libraries has access to books, articles, subject specific resources, citation help, and more. If you are not sure where to start, please </w:t>
      </w:r>
      <w:hyperlink r:id="rId20">
        <w:r>
          <w:rPr>
            <w:rFonts w:eastAsia="Arial" w:cs="Arial"/>
            <w:b w:val="false"/>
            <w:i w:val="false"/>
            <w:caps w:val="false"/>
            <w:smallCaps w:val="false"/>
            <w:strike w:val="false"/>
            <w:dstrike w:val="false"/>
            <w:color w:val="0000FF"/>
            <w:position w:val="0"/>
            <w:sz w:val="24"/>
            <w:sz w:val="24"/>
            <w:szCs w:val="24"/>
            <w:u w:val="single"/>
            <w:vertAlign w:val="baseline"/>
          </w:rPr>
          <w:t>Ask a Librarian</w:t>
        </w:r>
      </w:hyperlink>
      <w:r>
        <w:rPr>
          <w:rFonts w:eastAsia="Arial" w:cs="Arial"/>
          <w:b w:val="false"/>
          <w:i w:val="false"/>
          <w:caps w:val="false"/>
          <w:smallCaps w:val="false"/>
          <w:strike w:val="false"/>
          <w:dstrike w:val="false"/>
          <w:color w:val="000000"/>
          <w:position w:val="0"/>
          <w:sz w:val="24"/>
          <w:sz w:val="24"/>
          <w:szCs w:val="24"/>
          <w:u w:val="none"/>
          <w:vertAlign w:val="baseline"/>
        </w:rPr>
        <w:t>!  </w:t>
      </w:r>
      <w:hyperlink r:id="rId21">
        <w:r>
          <w:rPr>
            <w:rFonts w:eastAsia="Arial" w:cs="Arial"/>
            <w:b w:val="false"/>
            <w:i w:val="false"/>
            <w:caps w:val="false"/>
            <w:smallCaps w:val="false"/>
            <w:strike w:val="false"/>
            <w:dstrike w:val="false"/>
            <w:color w:val="0000FF"/>
            <w:position w:val="0"/>
            <w:sz w:val="24"/>
            <w:sz w:val="24"/>
            <w:szCs w:val="24"/>
            <w:u w:val="single"/>
            <w:vertAlign w:val="baseline"/>
          </w:rPr>
          <w:t>Assistance is available at sc.edu/libraries/ask</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Remember that if you use anything that is not your own writing or media (quotes from books, articles, interviews, websites, movies – everything) you must cite the source in MLA (or other appropriate and approved) format. </w:t>
      </w:r>
    </w:p>
    <w:p>
      <w:pPr>
        <w:pStyle w:val="LOnormal"/>
        <w:rPr/>
      </w:pPr>
      <w:r>
        <w:rPr/>
      </w:r>
    </w:p>
    <w:p>
      <w:pPr>
        <w:pStyle w:val="Heading3"/>
        <w:rPr/>
      </w:pPr>
      <w:r>
        <w:rPr/>
        <w:t>Blackboard and Technology</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22">
        <w:r>
          <w:rPr>
            <w:color w:val="0000FF"/>
            <w:u w:val="single"/>
          </w:rPr>
          <w:t>Blackboard and Technology (https://sc.edu/about/offices_and_divisions/division_of_information_technology/end_user_services/available_technology_resources/)</w:t>
        </w:r>
      </w:hyperlink>
    </w:p>
    <w:p>
      <w:pPr>
        <w:pStyle w:val="LOnormal"/>
        <w:rPr/>
      </w:pPr>
      <w:r>
        <w:rPr/>
        <w:t>As a student in this course, you have access to support from the Division of Information Technology (DoIT) for Blackboard and computer issues. The service desk can be reached at 803-777-1800.</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Counseling Services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3">
        <w:r>
          <w:rPr>
            <w:rFonts w:eastAsia="Arial" w:cs="Arial"/>
            <w:b w:val="false"/>
            <w:i w:val="false"/>
            <w:caps w:val="false"/>
            <w:smallCaps w:val="false"/>
            <w:strike w:val="false"/>
            <w:dstrike w:val="false"/>
            <w:color w:val="0000FF"/>
            <w:position w:val="0"/>
            <w:sz w:val="24"/>
            <w:sz w:val="24"/>
            <w:szCs w:val="24"/>
            <w:u w:val="single"/>
            <w:vertAlign w:val="baseline"/>
          </w:rPr>
          <w:t>Counseling Services (https://sc.edu/about/offices_and_divisions/student_health_services/medical-services/counseling-and-psychiatry/index.php)</w:t>
        </w:r>
      </w:hyperlink>
      <w:r>
        <w:rPr>
          <w:rFonts w:eastAsia="Arial" w:cs="Arial"/>
          <w:b w:val="false"/>
          <w:i w:val="false"/>
          <w:caps w:val="false"/>
          <w:smallCaps w:val="false"/>
          <w:strike w:val="false"/>
          <w:dstrike w:val="false"/>
          <w:color w:val="000000"/>
          <w:position w:val="0"/>
          <w:sz w:val="24"/>
          <w:sz w:val="24"/>
          <w:szCs w:val="24"/>
          <w:u w:val="none"/>
          <w:vertAlign w:val="baseline"/>
        </w:rPr>
        <w:t>: The University offers counseling and crisis services as well as outreach services, self-help, and frequently asked questions.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Mental Health</w:t>
      </w:r>
    </w:p>
    <w:p>
      <w:pPr>
        <w:pStyle w:val="LOnormal"/>
        <w:keepNext w:val="false"/>
        <w:keepLines w:val="false"/>
        <w:pageBreakBefore w:val="false"/>
        <w:widowControl/>
        <w:shd w:val="clear" w:fill="FFFFFF"/>
        <w:spacing w:lineRule="auto" w:line="240" w:before="28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4">
        <w:r>
          <w:rPr>
            <w:rFonts w:eastAsia="Arial" w:cs="Arial"/>
            <w:b w:val="false"/>
            <w:i w:val="false"/>
            <w:caps w:val="false"/>
            <w:smallCaps w:val="false"/>
            <w:strike w:val="false"/>
            <w:dstrike w:val="false"/>
            <w:color w:val="0000FF"/>
            <w:position w:val="0"/>
            <w:sz w:val="24"/>
            <w:sz w:val="24"/>
            <w:szCs w:val="24"/>
            <w:u w:val="single"/>
            <w:vertAlign w:val="baseline"/>
          </w:rPr>
          <w:t>sc.edu/mentalhealth</w:t>
        </w:r>
      </w:hyperlink>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LOnormal"/>
        <w:rPr>
          <w:highlight w:val="yellow"/>
        </w:rPr>
      </w:pPr>
      <w:r>
        <w:rPr/>
      </w:r>
    </w:p>
    <w:sectPr>
      <w:headerReference w:type="default" r:id="rId25"/>
      <w:type w:val="nextPage"/>
      <w:pgSz w:w="12240" w:h="15840"/>
      <w:pgMar w:left="720" w:right="720" w:gutter="0" w:header="720" w:top="777" w:footer="0" w:bottom="72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Book Antiqua">
    <w:charset w:val="01"/>
    <w:family w:val="roman"/>
    <w:pitch w:val="variable"/>
  </w:font>
  <w:font w:name="Helvetica Neue">
    <w:charset w:val="01"/>
    <w:family w:val="roman"/>
    <w:pitch w:val="variable"/>
  </w:font>
  <w:font w:name="Noto Sans Symbols">
    <w:charset w:val="01"/>
    <w:family w:val="swiss"/>
    <w:pitch w:val="variable"/>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14</w:t>
    </w:r>
  </w:p>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tabs>
        <w:tab w:val="clear" w:pos="720"/>
        <w:tab w:val="left" w:pos="0" w:leader="none"/>
      </w:tabs>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LOnormal"/>
    <w:next w:val="LOnormal"/>
    <w:qFormat/>
    <w:pPr>
      <w:jc w:val="center"/>
    </w:pPr>
    <w:rPr>
      <w:b/>
      <w:color w:val="000000"/>
      <w:sz w:val="32"/>
      <w:szCs w:val="32"/>
    </w:rPr>
  </w:style>
  <w:style w:type="paragraph" w:styleId="Heading2">
    <w:name w:val="Heading 2"/>
    <w:basedOn w:val="LOnormal"/>
    <w:next w:val="LOnormal"/>
    <w:qFormat/>
    <w:pPr>
      <w:keepNext w:val="true"/>
      <w:keepLines/>
      <w:spacing w:lineRule="auto" w:line="240" w:before="40" w:after="0"/>
    </w:pPr>
    <w:rPr>
      <w:b/>
      <w:color w:val="000000"/>
      <w:sz w:val="28"/>
      <w:szCs w:val="28"/>
    </w:rPr>
  </w:style>
  <w:style w:type="paragraph" w:styleId="Heading3">
    <w:name w:val="Heading 3"/>
    <w:basedOn w:val="LOnormal"/>
    <w:next w:val="LOnormal"/>
    <w:qFormat/>
    <w:pPr>
      <w:keepNext w:val="true"/>
      <w:keepLines/>
      <w:spacing w:lineRule="auto" w:line="240" w:before="40" w:after="0"/>
    </w:pPr>
    <w:rPr>
      <w:b/>
      <w:color w:val="000000"/>
    </w:rPr>
  </w:style>
  <w:style w:type="paragraph" w:styleId="Heading4">
    <w:name w:val="Heading 4"/>
    <w:basedOn w:val="LOnormal"/>
    <w:next w:val="LOnormal"/>
    <w:qFormat/>
    <w:pPr>
      <w:keepNext w:val="true"/>
      <w:keepLines/>
      <w:spacing w:lineRule="auto" w:line="240" w:before="40" w:after="0"/>
    </w:pPr>
    <w:rPr>
      <w:b/>
      <w:color w:val="000000"/>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llaslab.github.io/diseaseEcology/" TargetMode="External"/><Relationship Id="rId3" Type="http://schemas.openxmlformats.org/officeDocument/2006/relationships/hyperlink" Target="https://scprod.service-now.com/sp" TargetMode="External"/><Relationship Id="rId4" Type="http://schemas.openxmlformats.org/officeDocument/2006/relationships/hyperlink" Target="https://scprod.service-now.com/sp" TargetMode="External"/><Relationship Id="rId5" Type="http://schemas.openxmlformats.org/officeDocument/2006/relationships/hyperlink" Target="https://sc.edu/about/offices_and_divisions/division_of_information_technology/end_user_services/available_technology_resources/carolina_tech_zone/index.php" TargetMode="External"/><Relationship Id="rId6" Type="http://schemas.openxmlformats.org/officeDocument/2006/relationships/hyperlink" Target="https://sc.edu/about/offices_and_divisions/division_of_information_technology/end_user_services/available_technology_resources/carolina_tech_zone/index.php"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https://sc.edu/about/offices_and_divisions/student_health_services/mental-health/index.php"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9</Pages>
  <Words>3193</Words>
  <Characters>18161</Characters>
  <CharactersWithSpaces>21151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2025-01-02T13:46:21Z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