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98158" w14:textId="432CF722" w:rsidR="005D1C1B" w:rsidRDefault="00A577F3" w:rsidP="00A577F3">
      <w:pPr>
        <w:tabs>
          <w:tab w:val="right" w:pos="9360"/>
        </w:tabs>
        <w:rPr>
          <w:rFonts w:ascii="Palatino" w:hAnsi="Palatino"/>
          <w:b/>
          <w:bCs/>
        </w:rPr>
      </w:pPr>
      <w:r>
        <w:rPr>
          <w:rFonts w:ascii="Palatino" w:hAnsi="Palatino"/>
          <w:b/>
          <w:bCs/>
        </w:rPr>
        <w:tab/>
      </w:r>
    </w:p>
    <w:p w14:paraId="77E39BB3" w14:textId="71D9297F" w:rsidR="00A577F3" w:rsidRDefault="00A577F3" w:rsidP="00A577F3">
      <w:pPr>
        <w:tabs>
          <w:tab w:val="right" w:pos="9360"/>
        </w:tabs>
        <w:rPr>
          <w:rFonts w:ascii="Palatino" w:hAnsi="Palatino"/>
          <w:b/>
          <w:bCs/>
        </w:rPr>
      </w:pPr>
    </w:p>
    <w:p w14:paraId="6B1A3481" w14:textId="7218B8C8" w:rsidR="00A577F3" w:rsidRPr="0046771F" w:rsidRDefault="005923AD" w:rsidP="00366EA5">
      <w:pPr>
        <w:tabs>
          <w:tab w:val="right" w:pos="9360"/>
        </w:tabs>
        <w:jc w:val="center"/>
        <w:rPr>
          <w:rFonts w:ascii="Palatino" w:hAnsi="Palatino"/>
          <w:b/>
          <w:bCs/>
          <w:sz w:val="28"/>
          <w:szCs w:val="28"/>
        </w:rPr>
      </w:pPr>
      <w:r>
        <w:rPr>
          <w:rFonts w:ascii="Palatino" w:hAnsi="Palatino"/>
          <w:b/>
          <w:bCs/>
          <w:sz w:val="28"/>
          <w:szCs w:val="28"/>
        </w:rPr>
        <w:t>Spatial</w:t>
      </w:r>
      <w:r w:rsidR="00B67FE8" w:rsidRPr="0046771F">
        <w:rPr>
          <w:rFonts w:ascii="Palatino" w:hAnsi="Palatino"/>
          <w:b/>
          <w:bCs/>
          <w:sz w:val="28"/>
          <w:szCs w:val="28"/>
        </w:rPr>
        <w:t xml:space="preserve"> segregation during </w:t>
      </w:r>
      <w:r w:rsidR="00D13A38">
        <w:rPr>
          <w:rFonts w:ascii="Palatino" w:hAnsi="Palatino"/>
          <w:b/>
          <w:bCs/>
          <w:sz w:val="28"/>
          <w:szCs w:val="28"/>
        </w:rPr>
        <w:t>the non</w:t>
      </w:r>
      <w:r w:rsidR="00B67FE8" w:rsidRPr="0046771F">
        <w:rPr>
          <w:rFonts w:ascii="Palatino" w:hAnsi="Palatino"/>
          <w:b/>
          <w:bCs/>
          <w:sz w:val="28"/>
          <w:szCs w:val="28"/>
        </w:rPr>
        <w:t>-breeding</w:t>
      </w:r>
      <w:r w:rsidR="00D13A38">
        <w:rPr>
          <w:rFonts w:ascii="Palatino" w:hAnsi="Palatino"/>
          <w:b/>
          <w:bCs/>
          <w:sz w:val="28"/>
          <w:szCs w:val="28"/>
        </w:rPr>
        <w:t xml:space="preserve"> phase</w:t>
      </w:r>
      <w:r w:rsidR="00B67FE8" w:rsidRPr="0046771F">
        <w:rPr>
          <w:rFonts w:ascii="Palatino" w:hAnsi="Palatino"/>
          <w:b/>
          <w:bCs/>
          <w:sz w:val="28"/>
          <w:szCs w:val="28"/>
        </w:rPr>
        <w:t xml:space="preserve"> in two species of sympatric </w:t>
      </w:r>
      <w:r w:rsidR="00993023" w:rsidRPr="0046771F">
        <w:rPr>
          <w:rFonts w:ascii="Palatino" w:hAnsi="Palatino"/>
          <w:b/>
          <w:bCs/>
          <w:sz w:val="28"/>
          <w:szCs w:val="28"/>
        </w:rPr>
        <w:t xml:space="preserve">North Pacific </w:t>
      </w:r>
      <w:r w:rsidR="00B67FE8" w:rsidRPr="0046771F">
        <w:rPr>
          <w:rFonts w:ascii="Palatino" w:hAnsi="Palatino"/>
          <w:b/>
          <w:bCs/>
          <w:sz w:val="28"/>
          <w:szCs w:val="28"/>
        </w:rPr>
        <w:t>albatross</w:t>
      </w:r>
    </w:p>
    <w:p w14:paraId="39CCBCCA" w14:textId="3DBF0298" w:rsidR="00D2074A" w:rsidRDefault="00D2074A" w:rsidP="00A577F3">
      <w:pPr>
        <w:tabs>
          <w:tab w:val="right" w:pos="9360"/>
        </w:tabs>
        <w:rPr>
          <w:rFonts w:ascii="Palatino" w:hAnsi="Palatino"/>
          <w:b/>
          <w:bCs/>
          <w:sz w:val="22"/>
          <w:szCs w:val="22"/>
        </w:rPr>
      </w:pPr>
    </w:p>
    <w:p w14:paraId="63D34447" w14:textId="77777777" w:rsidR="00085D2A" w:rsidRDefault="00085D2A" w:rsidP="00A577F3">
      <w:pPr>
        <w:tabs>
          <w:tab w:val="right" w:pos="9360"/>
        </w:tabs>
        <w:rPr>
          <w:rFonts w:ascii="Palatino" w:hAnsi="Palatino"/>
          <w:b/>
          <w:bCs/>
          <w:sz w:val="22"/>
          <w:szCs w:val="22"/>
        </w:rPr>
      </w:pPr>
    </w:p>
    <w:p w14:paraId="4B3F00AD" w14:textId="77777777" w:rsidR="0093123A" w:rsidRDefault="0093123A" w:rsidP="00A577F3">
      <w:pPr>
        <w:tabs>
          <w:tab w:val="right" w:pos="9360"/>
        </w:tabs>
        <w:rPr>
          <w:rFonts w:ascii="Palatino" w:hAnsi="Palatino"/>
          <w:b/>
          <w:bCs/>
          <w:sz w:val="28"/>
          <w:szCs w:val="28"/>
        </w:rPr>
      </w:pPr>
    </w:p>
    <w:p w14:paraId="719F5FA3" w14:textId="75369D57" w:rsidR="00A577F3" w:rsidRPr="004A2AF4" w:rsidRDefault="00A577F3" w:rsidP="00A577F3">
      <w:pPr>
        <w:tabs>
          <w:tab w:val="right" w:pos="9360"/>
        </w:tabs>
        <w:rPr>
          <w:rFonts w:ascii="Palatino" w:hAnsi="Palatino"/>
          <w:b/>
          <w:bCs/>
          <w:sz w:val="28"/>
          <w:szCs w:val="28"/>
        </w:rPr>
      </w:pPr>
      <w:r w:rsidRPr="004A2AF4">
        <w:rPr>
          <w:rFonts w:ascii="Palatino" w:hAnsi="Palatino"/>
          <w:b/>
          <w:bCs/>
          <w:sz w:val="28"/>
          <w:szCs w:val="28"/>
        </w:rPr>
        <w:t xml:space="preserve">Introduction </w:t>
      </w:r>
    </w:p>
    <w:p w14:paraId="68157B83" w14:textId="0B246FF6" w:rsidR="00495964" w:rsidRDefault="00495964" w:rsidP="00A577F3">
      <w:pPr>
        <w:tabs>
          <w:tab w:val="right" w:pos="9360"/>
        </w:tabs>
        <w:rPr>
          <w:rFonts w:ascii="Palatino" w:hAnsi="Palatino"/>
          <w:b/>
          <w:bCs/>
        </w:rPr>
      </w:pPr>
    </w:p>
    <w:p w14:paraId="55FC923D" w14:textId="51AE05FE" w:rsidR="009D5E68" w:rsidRPr="009122B7" w:rsidRDefault="00575CE5" w:rsidP="00575CE5">
      <w:pPr>
        <w:tabs>
          <w:tab w:val="right" w:pos="9360"/>
        </w:tabs>
        <w:rPr>
          <w:rFonts w:ascii="Palatino" w:eastAsia="Times New Roman" w:hAnsi="Palatino" w:cs="Times New Roman"/>
          <w:color w:val="000000" w:themeColor="text1"/>
          <w:sz w:val="22"/>
          <w:szCs w:val="22"/>
        </w:rPr>
      </w:pPr>
      <w:r w:rsidRPr="009122B7">
        <w:rPr>
          <w:rFonts w:ascii="Palatino" w:eastAsia="Times New Roman" w:hAnsi="Palatino" w:cs="Times New Roman"/>
          <w:color w:val="000000" w:themeColor="text1"/>
          <w:sz w:val="22"/>
          <w:szCs w:val="22"/>
        </w:rPr>
        <w:t>Laysan albatrosses</w:t>
      </w:r>
      <w:r w:rsidR="00044325" w:rsidRPr="009122B7">
        <w:rPr>
          <w:rFonts w:ascii="Palatino" w:eastAsia="Times New Roman" w:hAnsi="Palatino" w:cs="Times New Roman"/>
          <w:color w:val="000000" w:themeColor="text1"/>
          <w:sz w:val="22"/>
          <w:szCs w:val="22"/>
        </w:rPr>
        <w:t xml:space="preserve"> (</w:t>
      </w:r>
      <w:proofErr w:type="spellStart"/>
      <w:r w:rsidR="00044325" w:rsidRPr="009122B7">
        <w:rPr>
          <w:rFonts w:ascii="Palatino" w:eastAsia="Times New Roman" w:hAnsi="Palatino" w:cs="Times New Roman"/>
          <w:i/>
          <w:iCs/>
          <w:color w:val="000000" w:themeColor="text1"/>
          <w:sz w:val="22"/>
          <w:szCs w:val="22"/>
        </w:rPr>
        <w:t>Phoebastria</w:t>
      </w:r>
      <w:proofErr w:type="spellEnd"/>
      <w:r w:rsidR="00044325" w:rsidRPr="009122B7">
        <w:rPr>
          <w:rFonts w:ascii="Palatino" w:eastAsia="Times New Roman" w:hAnsi="Palatino" w:cs="Times New Roman"/>
          <w:i/>
          <w:iCs/>
          <w:color w:val="000000" w:themeColor="text1"/>
          <w:sz w:val="22"/>
          <w:szCs w:val="22"/>
        </w:rPr>
        <w:t xml:space="preserve"> </w:t>
      </w:r>
      <w:proofErr w:type="spellStart"/>
      <w:r w:rsidR="00044325" w:rsidRPr="009122B7">
        <w:rPr>
          <w:rFonts w:ascii="Palatino" w:eastAsia="Times New Roman" w:hAnsi="Palatino" w:cs="Times New Roman"/>
          <w:i/>
          <w:iCs/>
          <w:color w:val="000000" w:themeColor="text1"/>
          <w:sz w:val="22"/>
          <w:szCs w:val="22"/>
        </w:rPr>
        <w:t>immutabilis</w:t>
      </w:r>
      <w:proofErr w:type="spellEnd"/>
      <w:r w:rsidR="00044325" w:rsidRPr="009122B7">
        <w:rPr>
          <w:rFonts w:ascii="Palatino" w:eastAsia="Times New Roman" w:hAnsi="Palatino" w:cs="Times New Roman"/>
          <w:color w:val="000000" w:themeColor="text1"/>
          <w:sz w:val="22"/>
          <w:szCs w:val="22"/>
        </w:rPr>
        <w:t>)</w:t>
      </w:r>
      <w:r w:rsidRPr="009122B7">
        <w:rPr>
          <w:rFonts w:ascii="Palatino" w:eastAsia="Times New Roman" w:hAnsi="Palatino" w:cs="Times New Roman"/>
          <w:color w:val="000000" w:themeColor="text1"/>
          <w:sz w:val="22"/>
          <w:szCs w:val="22"/>
        </w:rPr>
        <w:t xml:space="preserve"> and Black-footed albatrosses</w:t>
      </w:r>
      <w:r w:rsidR="00044325" w:rsidRPr="009122B7">
        <w:rPr>
          <w:rFonts w:ascii="Palatino" w:eastAsia="Times New Roman" w:hAnsi="Palatino" w:cs="Times New Roman"/>
          <w:color w:val="000000" w:themeColor="text1"/>
          <w:sz w:val="22"/>
          <w:szCs w:val="22"/>
        </w:rPr>
        <w:t xml:space="preserve"> (</w:t>
      </w:r>
      <w:r w:rsidR="00044325" w:rsidRPr="009122B7">
        <w:rPr>
          <w:rFonts w:ascii="Palatino" w:eastAsia="Times New Roman" w:hAnsi="Palatino" w:cs="Times New Roman"/>
          <w:i/>
          <w:iCs/>
          <w:color w:val="000000" w:themeColor="text1"/>
          <w:sz w:val="22"/>
          <w:szCs w:val="22"/>
        </w:rPr>
        <w:t>P. nigripes</w:t>
      </w:r>
      <w:r w:rsidR="00044325" w:rsidRPr="009122B7">
        <w:rPr>
          <w:rFonts w:ascii="Palatino" w:eastAsia="Times New Roman" w:hAnsi="Palatino" w:cs="Times New Roman"/>
          <w:color w:val="000000" w:themeColor="text1"/>
          <w:sz w:val="22"/>
          <w:szCs w:val="22"/>
        </w:rPr>
        <w:t>)</w:t>
      </w:r>
      <w:r w:rsidRPr="009122B7">
        <w:rPr>
          <w:rFonts w:ascii="Palatino" w:eastAsia="Times New Roman" w:hAnsi="Palatino" w:cs="Times New Roman"/>
          <w:color w:val="000000" w:themeColor="text1"/>
          <w:sz w:val="22"/>
          <w:szCs w:val="22"/>
        </w:rPr>
        <w:t xml:space="preserve"> are two </w:t>
      </w:r>
      <w:r w:rsidR="005B3A25" w:rsidRPr="009122B7">
        <w:rPr>
          <w:rFonts w:ascii="Palatino" w:eastAsia="Times New Roman" w:hAnsi="Palatino" w:cs="Times New Roman"/>
          <w:color w:val="000000" w:themeColor="text1"/>
          <w:sz w:val="22"/>
          <w:szCs w:val="22"/>
        </w:rPr>
        <w:t xml:space="preserve">functionally similar </w:t>
      </w:r>
      <w:r w:rsidRPr="009122B7">
        <w:rPr>
          <w:rFonts w:ascii="Palatino" w:eastAsia="Times New Roman" w:hAnsi="Palatino" w:cs="Times New Roman"/>
          <w:color w:val="000000" w:themeColor="text1"/>
          <w:sz w:val="22"/>
          <w:szCs w:val="22"/>
        </w:rPr>
        <w:t>sympatric species of seabird that range across the North Pacific.</w:t>
      </w:r>
      <w:r w:rsidR="00BA6447" w:rsidRPr="009122B7">
        <w:rPr>
          <w:rFonts w:ascii="Palatino" w:eastAsia="Times New Roman" w:hAnsi="Palatino" w:cs="Times New Roman"/>
          <w:color w:val="000000" w:themeColor="text1"/>
          <w:sz w:val="22"/>
          <w:szCs w:val="22"/>
        </w:rPr>
        <w:t xml:space="preserve"> As pelagic birds</w:t>
      </w:r>
      <w:r w:rsidR="001F62A5" w:rsidRPr="009122B7">
        <w:rPr>
          <w:rFonts w:ascii="Palatino" w:eastAsia="Times New Roman" w:hAnsi="Palatino" w:cs="Times New Roman"/>
          <w:color w:val="000000" w:themeColor="text1"/>
          <w:sz w:val="22"/>
          <w:szCs w:val="22"/>
        </w:rPr>
        <w:t xml:space="preserve"> which exclusively forage in marine environments</w:t>
      </w:r>
      <w:r w:rsidR="00BA6447" w:rsidRPr="009122B7">
        <w:rPr>
          <w:rFonts w:ascii="Palatino" w:eastAsia="Times New Roman" w:hAnsi="Palatino" w:cs="Times New Roman"/>
          <w:color w:val="000000" w:themeColor="text1"/>
          <w:sz w:val="22"/>
          <w:szCs w:val="22"/>
        </w:rPr>
        <w:t>, the</w:t>
      </w:r>
      <w:r w:rsidR="001F62A5" w:rsidRPr="009122B7">
        <w:rPr>
          <w:rFonts w:ascii="Palatino" w:eastAsia="Times New Roman" w:hAnsi="Palatino" w:cs="Times New Roman"/>
          <w:color w:val="000000" w:themeColor="text1"/>
          <w:sz w:val="22"/>
          <w:szCs w:val="22"/>
        </w:rPr>
        <w:t xml:space="preserve">ir annual cycle is defined by a breeding phase </w:t>
      </w:r>
      <w:r w:rsidR="001207D8">
        <w:rPr>
          <w:rFonts w:ascii="Palatino" w:eastAsia="Times New Roman" w:hAnsi="Palatino" w:cs="Times New Roman"/>
          <w:color w:val="000000" w:themeColor="text1"/>
          <w:sz w:val="22"/>
          <w:szCs w:val="22"/>
        </w:rPr>
        <w:t xml:space="preserve">in which they </w:t>
      </w:r>
      <w:r w:rsidR="001207D8" w:rsidRPr="009122B7">
        <w:rPr>
          <w:rFonts w:ascii="Palatino" w:eastAsia="Times New Roman" w:hAnsi="Palatino" w:cs="Times New Roman"/>
          <w:color w:val="000000" w:themeColor="text1"/>
          <w:sz w:val="22"/>
          <w:szCs w:val="22"/>
        </w:rPr>
        <w:t>incubat</w:t>
      </w:r>
      <w:r w:rsidR="001207D8">
        <w:rPr>
          <w:rFonts w:ascii="Palatino" w:eastAsia="Times New Roman" w:hAnsi="Palatino" w:cs="Times New Roman"/>
          <w:color w:val="000000" w:themeColor="text1"/>
          <w:sz w:val="22"/>
          <w:szCs w:val="22"/>
        </w:rPr>
        <w:t>e</w:t>
      </w:r>
      <w:r w:rsidR="001207D8" w:rsidRPr="009122B7">
        <w:rPr>
          <w:rFonts w:ascii="Palatino" w:eastAsia="Times New Roman" w:hAnsi="Palatino" w:cs="Times New Roman"/>
          <w:color w:val="000000" w:themeColor="text1"/>
          <w:sz w:val="22"/>
          <w:szCs w:val="22"/>
        </w:rPr>
        <w:t xml:space="preserve"> </w:t>
      </w:r>
      <w:r w:rsidR="001F62A5" w:rsidRPr="009122B7">
        <w:rPr>
          <w:rFonts w:ascii="Palatino" w:eastAsia="Times New Roman" w:hAnsi="Palatino" w:cs="Times New Roman"/>
          <w:color w:val="000000" w:themeColor="text1"/>
          <w:sz w:val="22"/>
          <w:szCs w:val="22"/>
        </w:rPr>
        <w:t xml:space="preserve">and </w:t>
      </w:r>
      <w:r w:rsidR="001207D8" w:rsidRPr="009122B7">
        <w:rPr>
          <w:rFonts w:ascii="Palatino" w:eastAsia="Times New Roman" w:hAnsi="Palatino" w:cs="Times New Roman"/>
          <w:color w:val="000000" w:themeColor="text1"/>
          <w:sz w:val="22"/>
          <w:szCs w:val="22"/>
        </w:rPr>
        <w:t xml:space="preserve">brood </w:t>
      </w:r>
      <w:r w:rsidR="001F62A5" w:rsidRPr="009122B7">
        <w:rPr>
          <w:rFonts w:ascii="Palatino" w:eastAsia="Times New Roman" w:hAnsi="Palatino" w:cs="Times New Roman"/>
          <w:color w:val="000000" w:themeColor="text1"/>
          <w:sz w:val="22"/>
          <w:szCs w:val="22"/>
        </w:rPr>
        <w:t xml:space="preserve">young on land, and a </w:t>
      </w:r>
      <w:r w:rsidR="001F640A">
        <w:rPr>
          <w:rFonts w:ascii="Palatino" w:eastAsia="Times New Roman" w:hAnsi="Palatino" w:cs="Times New Roman"/>
          <w:color w:val="000000" w:themeColor="text1"/>
          <w:sz w:val="22"/>
          <w:szCs w:val="22"/>
        </w:rPr>
        <w:t>non</w:t>
      </w:r>
      <w:r w:rsidR="001F62A5" w:rsidRPr="009122B7">
        <w:rPr>
          <w:rFonts w:ascii="Palatino" w:eastAsia="Times New Roman" w:hAnsi="Palatino" w:cs="Times New Roman"/>
          <w:color w:val="000000" w:themeColor="text1"/>
          <w:sz w:val="22"/>
          <w:szCs w:val="22"/>
        </w:rPr>
        <w:t xml:space="preserve">-breeding </w:t>
      </w:r>
      <w:r w:rsidR="00710027" w:rsidRPr="009122B7">
        <w:rPr>
          <w:rFonts w:ascii="Palatino" w:eastAsia="Times New Roman" w:hAnsi="Palatino" w:cs="Times New Roman"/>
          <w:color w:val="000000" w:themeColor="text1"/>
          <w:sz w:val="22"/>
          <w:szCs w:val="22"/>
        </w:rPr>
        <w:t>phase,</w:t>
      </w:r>
      <w:r w:rsidR="00710027">
        <w:rPr>
          <w:rFonts w:ascii="Palatino" w:eastAsia="Times New Roman" w:hAnsi="Palatino" w:cs="Times New Roman"/>
          <w:color w:val="000000" w:themeColor="text1"/>
          <w:sz w:val="22"/>
          <w:szCs w:val="22"/>
        </w:rPr>
        <w:t xml:space="preserve"> </w:t>
      </w:r>
      <w:r w:rsidR="00710027" w:rsidRPr="009122B7">
        <w:rPr>
          <w:rFonts w:ascii="Palatino" w:eastAsia="Times New Roman" w:hAnsi="Palatino" w:cs="Times New Roman"/>
          <w:color w:val="000000" w:themeColor="text1"/>
          <w:sz w:val="22"/>
          <w:szCs w:val="22"/>
        </w:rPr>
        <w:t>when</w:t>
      </w:r>
      <w:r w:rsidR="001207D8">
        <w:rPr>
          <w:rFonts w:ascii="Palatino" w:eastAsia="Times New Roman" w:hAnsi="Palatino" w:cs="Times New Roman"/>
          <w:color w:val="000000" w:themeColor="text1"/>
          <w:sz w:val="22"/>
          <w:szCs w:val="22"/>
        </w:rPr>
        <w:t xml:space="preserve"> they forage </w:t>
      </w:r>
      <w:r w:rsidR="001F62A5" w:rsidRPr="009122B7">
        <w:rPr>
          <w:rFonts w:ascii="Palatino" w:eastAsia="Times New Roman" w:hAnsi="Palatino" w:cs="Times New Roman"/>
          <w:color w:val="000000" w:themeColor="text1"/>
          <w:sz w:val="22"/>
          <w:szCs w:val="22"/>
        </w:rPr>
        <w:t>over vast areas of the North Pacific Ocean basin</w:t>
      </w:r>
      <w:r w:rsidR="00BA6447" w:rsidRPr="009122B7">
        <w:rPr>
          <w:rFonts w:ascii="Palatino" w:eastAsia="Times New Roman" w:hAnsi="Palatino" w:cs="Times New Roman"/>
          <w:color w:val="000000" w:themeColor="text1"/>
          <w:sz w:val="22"/>
          <w:szCs w:val="22"/>
        </w:rPr>
        <w:t xml:space="preserve">. </w:t>
      </w:r>
      <w:r w:rsidR="00E5429C" w:rsidRPr="009122B7">
        <w:rPr>
          <w:rFonts w:ascii="Palatino" w:eastAsia="Times New Roman" w:hAnsi="Palatino" w:cs="Times New Roman"/>
          <w:color w:val="000000" w:themeColor="text1"/>
          <w:sz w:val="22"/>
          <w:szCs w:val="22"/>
        </w:rPr>
        <w:t>Due to their vagrant nature</w:t>
      </w:r>
      <w:r w:rsidR="001207D8">
        <w:rPr>
          <w:rFonts w:ascii="Palatino" w:eastAsia="Times New Roman" w:hAnsi="Palatino" w:cs="Times New Roman"/>
          <w:color w:val="000000" w:themeColor="text1"/>
          <w:sz w:val="22"/>
          <w:szCs w:val="22"/>
        </w:rPr>
        <w:t xml:space="preserve"> and technological limitations</w:t>
      </w:r>
      <w:r w:rsidR="00E5429C" w:rsidRPr="009122B7">
        <w:rPr>
          <w:rFonts w:ascii="Palatino" w:eastAsia="Times New Roman" w:hAnsi="Palatino" w:cs="Times New Roman"/>
          <w:color w:val="000000" w:themeColor="text1"/>
          <w:sz w:val="22"/>
          <w:szCs w:val="22"/>
        </w:rPr>
        <w:t xml:space="preserve"> </w:t>
      </w:r>
      <w:r w:rsidR="001207D8">
        <w:rPr>
          <w:rFonts w:ascii="Palatino" w:eastAsia="Times New Roman" w:hAnsi="Palatino" w:cs="Times New Roman"/>
          <w:color w:val="000000" w:themeColor="text1"/>
          <w:sz w:val="22"/>
          <w:szCs w:val="22"/>
        </w:rPr>
        <w:t>outside of the breeding period (e.g., the inability to retrieve archival tags),</w:t>
      </w:r>
      <w:r w:rsidR="00E5429C" w:rsidRPr="009122B7">
        <w:rPr>
          <w:rFonts w:ascii="Palatino" w:eastAsia="Times New Roman" w:hAnsi="Palatino" w:cs="Times New Roman"/>
          <w:color w:val="000000" w:themeColor="text1"/>
          <w:sz w:val="22"/>
          <w:szCs w:val="22"/>
        </w:rPr>
        <w:t xml:space="preserve"> there is limited data about the foraging ranges and distributional patterns </w:t>
      </w:r>
      <w:r w:rsidR="001207D8" w:rsidRPr="009122B7">
        <w:rPr>
          <w:rFonts w:ascii="Palatino" w:eastAsia="Times New Roman" w:hAnsi="Palatino" w:cs="Times New Roman"/>
          <w:color w:val="000000" w:themeColor="text1"/>
          <w:sz w:val="22"/>
          <w:szCs w:val="22"/>
        </w:rPr>
        <w:t xml:space="preserve">of these albatrosses </w:t>
      </w:r>
      <w:r w:rsidR="00E5429C" w:rsidRPr="009122B7">
        <w:rPr>
          <w:rFonts w:ascii="Palatino" w:eastAsia="Times New Roman" w:hAnsi="Palatino" w:cs="Times New Roman"/>
          <w:color w:val="000000" w:themeColor="text1"/>
          <w:sz w:val="22"/>
          <w:szCs w:val="22"/>
        </w:rPr>
        <w:t xml:space="preserve">during the </w:t>
      </w:r>
      <w:r w:rsidR="001F640A">
        <w:rPr>
          <w:rFonts w:ascii="Palatino" w:eastAsia="Times New Roman" w:hAnsi="Palatino" w:cs="Times New Roman"/>
          <w:color w:val="000000" w:themeColor="text1"/>
          <w:sz w:val="22"/>
          <w:szCs w:val="22"/>
        </w:rPr>
        <w:t>non</w:t>
      </w:r>
      <w:r w:rsidR="00E5429C" w:rsidRPr="009122B7">
        <w:rPr>
          <w:rFonts w:ascii="Palatino" w:eastAsia="Times New Roman" w:hAnsi="Palatino" w:cs="Times New Roman"/>
          <w:color w:val="000000" w:themeColor="text1"/>
          <w:sz w:val="22"/>
          <w:szCs w:val="22"/>
        </w:rPr>
        <w:t>-breeding phase.</w:t>
      </w:r>
      <w:r w:rsidR="0072599C" w:rsidRPr="009122B7">
        <w:rPr>
          <w:rFonts w:ascii="Palatino" w:eastAsia="Times New Roman" w:hAnsi="Palatino" w:cs="Times New Roman"/>
          <w:color w:val="000000" w:themeColor="text1"/>
          <w:sz w:val="22"/>
          <w:szCs w:val="22"/>
        </w:rPr>
        <w:t xml:space="preserve"> </w:t>
      </w:r>
      <w:r w:rsidR="00492CF9" w:rsidRPr="009122B7">
        <w:rPr>
          <w:rFonts w:ascii="Palatino" w:eastAsia="Times New Roman" w:hAnsi="Palatino" w:cs="Times New Roman"/>
          <w:color w:val="000000" w:themeColor="text1"/>
          <w:sz w:val="22"/>
          <w:szCs w:val="22"/>
        </w:rPr>
        <w:t xml:space="preserve">This </w:t>
      </w:r>
      <w:r w:rsidR="001F640A">
        <w:rPr>
          <w:rFonts w:ascii="Palatino" w:eastAsia="Times New Roman" w:hAnsi="Palatino" w:cs="Times New Roman"/>
          <w:color w:val="000000" w:themeColor="text1"/>
          <w:sz w:val="22"/>
          <w:szCs w:val="22"/>
        </w:rPr>
        <w:t>non</w:t>
      </w:r>
      <w:r w:rsidR="00492CF9" w:rsidRPr="009122B7">
        <w:rPr>
          <w:rFonts w:ascii="Palatino" w:eastAsia="Times New Roman" w:hAnsi="Palatino" w:cs="Times New Roman"/>
          <w:color w:val="000000" w:themeColor="text1"/>
          <w:sz w:val="22"/>
          <w:szCs w:val="22"/>
        </w:rPr>
        <w:t>-breeding phase</w:t>
      </w:r>
      <w:r w:rsidR="001F640A">
        <w:rPr>
          <w:rFonts w:ascii="Palatino" w:eastAsia="Times New Roman" w:hAnsi="Palatino" w:cs="Times New Roman"/>
          <w:color w:val="000000" w:themeColor="text1"/>
          <w:sz w:val="22"/>
          <w:szCs w:val="22"/>
        </w:rPr>
        <w:t xml:space="preserve"> </w:t>
      </w:r>
      <w:r w:rsidR="00492CF9" w:rsidRPr="009122B7">
        <w:rPr>
          <w:rFonts w:ascii="Palatino" w:eastAsia="Times New Roman" w:hAnsi="Palatino" w:cs="Times New Roman"/>
          <w:color w:val="000000" w:themeColor="text1"/>
          <w:sz w:val="22"/>
          <w:szCs w:val="22"/>
        </w:rPr>
        <w:t xml:space="preserve">is a critical time period </w:t>
      </w:r>
      <w:r w:rsidR="00710027">
        <w:rPr>
          <w:rFonts w:ascii="Palatino" w:eastAsia="Times New Roman" w:hAnsi="Palatino" w:cs="Times New Roman"/>
          <w:color w:val="000000" w:themeColor="text1"/>
          <w:sz w:val="22"/>
          <w:szCs w:val="22"/>
        </w:rPr>
        <w:t xml:space="preserve">for </w:t>
      </w:r>
      <w:r w:rsidR="00492CF9" w:rsidRPr="009122B7">
        <w:rPr>
          <w:rFonts w:ascii="Palatino" w:eastAsia="Times New Roman" w:hAnsi="Palatino" w:cs="Times New Roman"/>
          <w:color w:val="000000" w:themeColor="text1"/>
          <w:sz w:val="22"/>
          <w:szCs w:val="22"/>
        </w:rPr>
        <w:t xml:space="preserve">both Laysan and Black-footed albatrosses (hereafter, LAAL and BFAL) due to the high energetic costs of molting </w:t>
      </w:r>
      <w:r w:rsidR="00492CF9" w:rsidRPr="009122B7">
        <w:rPr>
          <w:rFonts w:ascii="Palatino" w:eastAsia="Times New Roman" w:hAnsi="Palatino" w:cs="Times New Roman"/>
          <w:color w:val="000000" w:themeColor="text1"/>
          <w:sz w:val="22"/>
          <w:szCs w:val="22"/>
        </w:rPr>
        <w:fldChar w:fldCharType="begin" w:fldLock="1"/>
      </w:r>
      <w:r w:rsidR="009D5E68" w:rsidRPr="009122B7">
        <w:rPr>
          <w:rFonts w:ascii="Palatino" w:eastAsia="Times New Roman" w:hAnsi="Palatino" w:cs="Times New Roman"/>
          <w:color w:val="000000" w:themeColor="text1"/>
          <w:sz w:val="22"/>
          <w:szCs w:val="22"/>
        </w:rPr>
        <w:instrText>ADDIN CSL_CITATION {"citationItems":[{"id":"ITEM-1","itemData":{"DOI":"10.1007/978-1-4613-0425-8_6","abstract":"Reviews energetic, nutritional and physiological costs of moult. Also discusses adaptations to minimise these costs, including changes in body composition, body mass and nutrient (amino acid) storage.","author":[{"dropping-particle":"","family":"Murphy","given":"Mary E.","non-dropping-particle":"","parse-names":false,"suffix":""}],"container-title":"Avian Energetics and Nutritional Ecology","id":"ITEM-1","issued":{"date-parts":[["1996"]]},"page":"158-198","publisher":"Springer US","title":"Energetics and Nutrition of Molt","type":"chapter"},"uris":["http://www.mendeley.com/documents/?uuid=e72268c0-0a9d-38bd-8012-754c5f31a7fc"]}],"mendeley":{"formattedCitation":"(Murphy 1996)","plainTextFormattedCitation":"(Murphy 1996)","previouslyFormattedCitation":"(Murphy 1996)"},"properties":{"noteIndex":0},"schema":"https://github.com/citation-style-language/schema/raw/master/csl-citation.json"}</w:instrText>
      </w:r>
      <w:r w:rsidR="00492CF9" w:rsidRPr="009122B7">
        <w:rPr>
          <w:rFonts w:ascii="Palatino" w:eastAsia="Times New Roman" w:hAnsi="Palatino" w:cs="Times New Roman"/>
          <w:color w:val="000000" w:themeColor="text1"/>
          <w:sz w:val="22"/>
          <w:szCs w:val="22"/>
        </w:rPr>
        <w:fldChar w:fldCharType="separate"/>
      </w:r>
      <w:r w:rsidR="00492CF9" w:rsidRPr="009122B7">
        <w:rPr>
          <w:rFonts w:ascii="Palatino" w:eastAsia="Times New Roman" w:hAnsi="Palatino" w:cs="Times New Roman"/>
          <w:noProof/>
          <w:color w:val="000000" w:themeColor="text1"/>
          <w:sz w:val="22"/>
          <w:szCs w:val="22"/>
        </w:rPr>
        <w:t>(Murphy 1996)</w:t>
      </w:r>
      <w:r w:rsidR="00492CF9" w:rsidRPr="009122B7">
        <w:rPr>
          <w:rFonts w:ascii="Palatino" w:eastAsia="Times New Roman" w:hAnsi="Palatino" w:cs="Times New Roman"/>
          <w:color w:val="000000" w:themeColor="text1"/>
          <w:sz w:val="22"/>
          <w:szCs w:val="22"/>
        </w:rPr>
        <w:fldChar w:fldCharType="end"/>
      </w:r>
      <w:r w:rsidR="00492CF9" w:rsidRPr="009122B7">
        <w:rPr>
          <w:rFonts w:ascii="Palatino" w:eastAsia="Times New Roman" w:hAnsi="Palatino" w:cs="Times New Roman"/>
          <w:color w:val="000000" w:themeColor="text1"/>
          <w:sz w:val="22"/>
          <w:szCs w:val="22"/>
        </w:rPr>
        <w:t>.</w:t>
      </w:r>
      <w:r w:rsidR="00F51739" w:rsidRPr="009122B7">
        <w:rPr>
          <w:rFonts w:ascii="Palatino" w:eastAsia="Times New Roman" w:hAnsi="Palatino" w:cs="Times New Roman"/>
          <w:color w:val="000000" w:themeColor="text1"/>
          <w:sz w:val="22"/>
          <w:szCs w:val="22"/>
        </w:rPr>
        <w:t xml:space="preserve"> </w:t>
      </w:r>
      <w:r w:rsidR="001207D8">
        <w:rPr>
          <w:rFonts w:ascii="Palatino" w:eastAsia="Times New Roman" w:hAnsi="Palatino" w:cs="Times New Roman"/>
          <w:color w:val="000000" w:themeColor="text1"/>
          <w:sz w:val="22"/>
          <w:szCs w:val="22"/>
        </w:rPr>
        <w:t xml:space="preserve">Mortality due to fisheries bycatch is the primary threat to both </w:t>
      </w:r>
      <w:r w:rsidR="00492CF9" w:rsidRPr="009122B7">
        <w:rPr>
          <w:rFonts w:ascii="Palatino" w:eastAsia="Times New Roman" w:hAnsi="Palatino" w:cs="Times New Roman"/>
          <w:color w:val="000000" w:themeColor="text1"/>
          <w:sz w:val="22"/>
          <w:szCs w:val="22"/>
        </w:rPr>
        <w:t>LAAL and BFAL</w:t>
      </w:r>
      <w:r w:rsidR="001207D8">
        <w:rPr>
          <w:rFonts w:ascii="Palatino" w:eastAsia="Times New Roman" w:hAnsi="Palatino" w:cs="Times New Roman"/>
          <w:color w:val="000000" w:themeColor="text1"/>
          <w:sz w:val="22"/>
          <w:szCs w:val="22"/>
        </w:rPr>
        <w:t>, which</w:t>
      </w:r>
      <w:r w:rsidR="00D80C73" w:rsidRPr="009122B7">
        <w:rPr>
          <w:rFonts w:ascii="Palatino" w:eastAsia="Times New Roman" w:hAnsi="Palatino" w:cs="Times New Roman"/>
          <w:color w:val="000000" w:themeColor="text1"/>
          <w:sz w:val="22"/>
          <w:szCs w:val="22"/>
        </w:rPr>
        <w:t xml:space="preserve"> are currently listed as Near-Threatened by the IUCN (IUCN 2020)</w:t>
      </w:r>
      <w:r w:rsidR="0081478C">
        <w:rPr>
          <w:rFonts w:ascii="Palatino" w:eastAsia="Times New Roman" w:hAnsi="Palatino" w:cs="Times New Roman"/>
          <w:color w:val="000000" w:themeColor="text1"/>
          <w:sz w:val="22"/>
          <w:szCs w:val="22"/>
        </w:rPr>
        <w:t xml:space="preserve">. </w:t>
      </w:r>
      <w:r w:rsidR="00AB46FA">
        <w:rPr>
          <w:rFonts w:ascii="Palatino" w:eastAsia="Times New Roman" w:hAnsi="Palatino" w:cs="Times New Roman"/>
          <w:color w:val="000000" w:themeColor="text1"/>
          <w:sz w:val="22"/>
          <w:szCs w:val="22"/>
        </w:rPr>
        <w:t>On account of</w:t>
      </w:r>
      <w:r w:rsidR="002A050E">
        <w:rPr>
          <w:rFonts w:ascii="Palatino" w:eastAsia="Times New Roman" w:hAnsi="Palatino" w:cs="Times New Roman"/>
          <w:color w:val="000000" w:themeColor="text1"/>
          <w:sz w:val="22"/>
          <w:szCs w:val="22"/>
        </w:rPr>
        <w:t xml:space="preserve"> this</w:t>
      </w:r>
      <w:r w:rsidR="00FA4111" w:rsidRPr="009122B7">
        <w:rPr>
          <w:rFonts w:ascii="Palatino" w:eastAsia="Times New Roman" w:hAnsi="Palatino" w:cs="Times New Roman"/>
          <w:color w:val="000000" w:themeColor="text1"/>
          <w:sz w:val="22"/>
          <w:szCs w:val="22"/>
        </w:rPr>
        <w:t xml:space="preserve"> conservation status and their role as indicators of the marine environment </w:t>
      </w:r>
      <w:r w:rsidR="00FA4111" w:rsidRPr="009122B7">
        <w:rPr>
          <w:rFonts w:ascii="Palatino" w:eastAsia="Times New Roman" w:hAnsi="Palatino" w:cs="Times New Roman"/>
          <w:color w:val="000000" w:themeColor="text1"/>
          <w:sz w:val="22"/>
          <w:szCs w:val="22"/>
        </w:rPr>
        <w:fldChar w:fldCharType="begin" w:fldLock="1"/>
      </w:r>
      <w:r w:rsidR="00FA4111" w:rsidRPr="009122B7">
        <w:rPr>
          <w:rFonts w:ascii="Palatino" w:eastAsia="Times New Roman" w:hAnsi="Palatino" w:cs="Times New Roman"/>
          <w:color w:val="000000" w:themeColor="text1"/>
          <w:sz w:val="22"/>
          <w:szCs w:val="22"/>
        </w:rPr>
        <w:instrText>ADDIN CSL_CITATION {"citationItems":[{"id":"ITEM-1","itemData":{"DOI":"10.1093/icesjms/fsn155","ISSN":"10543139","abstract":"We report on the development of seabird indicators that support the Scottish Biodiversity Strategy. The application of high-quality monitoring data on breeding abundance and productivity in Scotland was explored in three ways: as indicators of seabird status in its own right, as indicators of the \"health\" of the marine environment, and as indicators of the food supply of vertebrate predators. Data on breeding productivity of seabirds, which responds more immediately to environmental variation than adult abundance, provided a novel supplement to indicators based solely on abundance trends. Grouping of species according to ecological guilds provided indicators of change in particular aspects of the marine environment. The role of seabird indicators in relation to policy frameworks is discussed, with a look to further developments at the UK and regional scales. © 2008 International Council for the Exploration of the Sea. Published by Oxford Journals. All rights reserved.","author":[{"dropping-particle":"","family":"Parsons","given":"Matt","non-dropping-particle":"","parse-names":false,"suffix":""},{"dropping-particle":"","family":"Mitchell","given":"Ian","non-dropping-particle":"","parse-names":false,"suffix":""},{"dropping-particle":"","family":"Butler","given":"Adam","non-dropping-particle":"","parse-names":false,"suffix":""},{"dropping-particle":"","family":"Ratcliffe","given":"Norman","non-dropping-particle":"","parse-names":false,"suffix":""},{"dropping-particle":"","family":"Frederiksen","given":"Morten","non-dropping-particle":"","parse-names":false,"suffix":""},{"dropping-particle":"","family":"Foster","given":"Simon","non-dropping-particle":"","parse-names":false,"suffix":""},{"dropping-particle":"","family":"Reid","given":"James B.","non-dropping-particle":"","parse-names":false,"suffix":""}],"container-title":"ICES Journal of Marine Science","id":"ITEM-1","issue":"8","issued":{"date-parts":[["2008","11","1"]]},"page":"1520-1526","publisher":"Oxford Academic","title":"Seabirds as indicators of the marine environment","type":"article-journal","volume":"65"},"uris":["http://www.mendeley.com/documents/?uuid=357a7605-2574-39cb-878d-bd99b59109ae"]}],"mendeley":{"formattedCitation":"(Parsons et al. 2008)","plainTextFormattedCitation":"(Parsons et al. 2008)","previouslyFormattedCitation":"(Parsons et al. 2008)"},"properties":{"noteIndex":0},"schema":"https://github.com/citation-style-language/schema/raw/master/csl-citation.json"}</w:instrText>
      </w:r>
      <w:r w:rsidR="00FA4111" w:rsidRPr="009122B7">
        <w:rPr>
          <w:rFonts w:ascii="Palatino" w:eastAsia="Times New Roman" w:hAnsi="Palatino" w:cs="Times New Roman"/>
          <w:color w:val="000000" w:themeColor="text1"/>
          <w:sz w:val="22"/>
          <w:szCs w:val="22"/>
        </w:rPr>
        <w:fldChar w:fldCharType="separate"/>
      </w:r>
      <w:r w:rsidR="00FA4111" w:rsidRPr="009122B7">
        <w:rPr>
          <w:rFonts w:ascii="Palatino" w:eastAsia="Times New Roman" w:hAnsi="Palatino" w:cs="Times New Roman"/>
          <w:noProof/>
          <w:color w:val="000000" w:themeColor="text1"/>
          <w:sz w:val="22"/>
          <w:szCs w:val="22"/>
        </w:rPr>
        <w:t>(Parsons et al. 2008)</w:t>
      </w:r>
      <w:r w:rsidR="00FA4111" w:rsidRPr="009122B7">
        <w:rPr>
          <w:rFonts w:ascii="Palatino" w:eastAsia="Times New Roman" w:hAnsi="Palatino" w:cs="Times New Roman"/>
          <w:color w:val="000000" w:themeColor="text1"/>
          <w:sz w:val="22"/>
          <w:szCs w:val="22"/>
        </w:rPr>
        <w:fldChar w:fldCharType="end"/>
      </w:r>
      <w:r w:rsidR="00FA4111" w:rsidRPr="009122B7">
        <w:rPr>
          <w:rFonts w:ascii="Palatino" w:eastAsia="Times New Roman" w:hAnsi="Palatino" w:cs="Times New Roman"/>
          <w:color w:val="000000" w:themeColor="text1"/>
          <w:sz w:val="22"/>
          <w:szCs w:val="22"/>
        </w:rPr>
        <w:t xml:space="preserve">, there is special concern for monitoring and implementing effective </w:t>
      </w:r>
      <w:r w:rsidR="006D791A">
        <w:rPr>
          <w:rFonts w:ascii="Palatino" w:eastAsia="Times New Roman" w:hAnsi="Palatino" w:cs="Times New Roman"/>
          <w:color w:val="000000" w:themeColor="text1"/>
          <w:sz w:val="22"/>
          <w:szCs w:val="22"/>
        </w:rPr>
        <w:t>management</w:t>
      </w:r>
      <w:r w:rsidR="006D791A" w:rsidRPr="009122B7">
        <w:rPr>
          <w:rFonts w:ascii="Palatino" w:eastAsia="Times New Roman" w:hAnsi="Palatino" w:cs="Times New Roman"/>
          <w:color w:val="000000" w:themeColor="text1"/>
          <w:sz w:val="22"/>
          <w:szCs w:val="22"/>
        </w:rPr>
        <w:t xml:space="preserve"> </w:t>
      </w:r>
      <w:r w:rsidR="00FA4111" w:rsidRPr="009122B7">
        <w:rPr>
          <w:rFonts w:ascii="Palatino" w:eastAsia="Times New Roman" w:hAnsi="Palatino" w:cs="Times New Roman"/>
          <w:color w:val="000000" w:themeColor="text1"/>
          <w:sz w:val="22"/>
          <w:szCs w:val="22"/>
        </w:rPr>
        <w:t>policies of BFAL and LAAL</w:t>
      </w:r>
      <w:r w:rsidR="00FA4111">
        <w:rPr>
          <w:rFonts w:ascii="Palatino" w:eastAsia="Times New Roman" w:hAnsi="Palatino" w:cs="Times New Roman"/>
          <w:color w:val="000000" w:themeColor="text1"/>
          <w:sz w:val="22"/>
          <w:szCs w:val="22"/>
        </w:rPr>
        <w:t xml:space="preserve">. </w:t>
      </w:r>
      <w:r w:rsidR="00D80C73" w:rsidRPr="009122B7">
        <w:rPr>
          <w:rFonts w:ascii="Palatino" w:eastAsia="Times New Roman" w:hAnsi="Palatino" w:cs="Times New Roman"/>
          <w:color w:val="000000" w:themeColor="text1"/>
          <w:sz w:val="22"/>
          <w:szCs w:val="22"/>
        </w:rPr>
        <w:t xml:space="preserve"> </w:t>
      </w:r>
      <w:r w:rsidR="001C62B1" w:rsidRPr="00EA71C0">
        <w:rPr>
          <w:rFonts w:ascii="Palatino" w:eastAsia="Times New Roman" w:hAnsi="Palatino" w:cs="Times New Roman"/>
          <w:color w:val="000000" w:themeColor="text1"/>
          <w:sz w:val="22"/>
          <w:szCs w:val="22"/>
        </w:rPr>
        <w:t>Th</w:t>
      </w:r>
      <w:r w:rsidR="00730520" w:rsidRPr="00EA71C0">
        <w:rPr>
          <w:rFonts w:ascii="Palatino" w:eastAsia="Times New Roman" w:hAnsi="Palatino" w:cs="Times New Roman"/>
          <w:color w:val="000000" w:themeColor="text1"/>
          <w:sz w:val="22"/>
          <w:szCs w:val="22"/>
        </w:rPr>
        <w:t>e</w:t>
      </w:r>
      <w:r w:rsidR="00F63149" w:rsidRPr="00EA71C0">
        <w:rPr>
          <w:rFonts w:ascii="Palatino" w:eastAsia="Times New Roman" w:hAnsi="Palatino" w:cs="Times New Roman"/>
          <w:color w:val="000000" w:themeColor="text1"/>
          <w:sz w:val="22"/>
          <w:szCs w:val="22"/>
        </w:rPr>
        <w:t xml:space="preserve"> </w:t>
      </w:r>
      <w:r w:rsidR="006D791A">
        <w:rPr>
          <w:rFonts w:ascii="Palatino" w:eastAsia="Times New Roman" w:hAnsi="Palatino" w:cs="Times New Roman"/>
          <w:color w:val="000000" w:themeColor="text1"/>
          <w:sz w:val="22"/>
          <w:szCs w:val="22"/>
        </w:rPr>
        <w:t>limited information</w:t>
      </w:r>
      <w:r w:rsidR="00F63149" w:rsidRPr="00EA71C0">
        <w:rPr>
          <w:rFonts w:ascii="Palatino" w:eastAsia="Times New Roman" w:hAnsi="Palatino" w:cs="Times New Roman"/>
          <w:color w:val="000000" w:themeColor="text1"/>
          <w:sz w:val="22"/>
          <w:szCs w:val="22"/>
        </w:rPr>
        <w:t xml:space="preserve"> on spatial distributions of these species during </w:t>
      </w:r>
      <w:r w:rsidR="006D791A">
        <w:rPr>
          <w:rFonts w:ascii="Palatino" w:eastAsia="Times New Roman" w:hAnsi="Palatino" w:cs="Times New Roman"/>
          <w:color w:val="000000" w:themeColor="text1"/>
          <w:sz w:val="22"/>
          <w:szCs w:val="22"/>
        </w:rPr>
        <w:t>the non-breeding period</w:t>
      </w:r>
      <w:r w:rsidR="00F63149" w:rsidRPr="00EA71C0">
        <w:rPr>
          <w:rFonts w:ascii="Palatino" w:eastAsia="Times New Roman" w:hAnsi="Palatino" w:cs="Times New Roman"/>
          <w:color w:val="000000" w:themeColor="text1"/>
          <w:sz w:val="22"/>
          <w:szCs w:val="22"/>
        </w:rPr>
        <w:t xml:space="preserve"> has hindered effective conservation and management efforts</w:t>
      </w:r>
      <w:r w:rsidR="00FA4111" w:rsidRPr="00EA71C0">
        <w:rPr>
          <w:rFonts w:ascii="Palatino" w:eastAsia="Times New Roman" w:hAnsi="Palatino" w:cs="Times New Roman"/>
          <w:color w:val="000000" w:themeColor="text1"/>
          <w:sz w:val="22"/>
          <w:szCs w:val="22"/>
        </w:rPr>
        <w:t xml:space="preserve"> to further support their recovery, and thus t</w:t>
      </w:r>
      <w:r w:rsidR="001C62B1" w:rsidRPr="00EA71C0">
        <w:rPr>
          <w:rFonts w:ascii="Palatino" w:eastAsia="Times New Roman" w:hAnsi="Palatino" w:cs="Times New Roman"/>
          <w:color w:val="000000" w:themeColor="text1"/>
          <w:sz w:val="22"/>
          <w:szCs w:val="22"/>
        </w:rPr>
        <w:t>here</w:t>
      </w:r>
      <w:r w:rsidR="00492CF9" w:rsidRPr="00EA71C0">
        <w:rPr>
          <w:rFonts w:ascii="Palatino" w:eastAsia="Times New Roman" w:hAnsi="Palatino" w:cs="Times New Roman"/>
          <w:color w:val="000000" w:themeColor="text1"/>
          <w:sz w:val="22"/>
          <w:szCs w:val="22"/>
        </w:rPr>
        <w:t xml:space="preserve"> is a need to elucidate foraging behaviors and distributional patterns </w:t>
      </w:r>
      <w:r w:rsidR="00553879" w:rsidRPr="00EA71C0">
        <w:rPr>
          <w:rFonts w:ascii="Palatino" w:eastAsia="Times New Roman" w:hAnsi="Palatino" w:cs="Times New Roman"/>
          <w:color w:val="000000" w:themeColor="text1"/>
          <w:sz w:val="22"/>
          <w:szCs w:val="22"/>
        </w:rPr>
        <w:t xml:space="preserve">of LAAL and BFAL </w:t>
      </w:r>
      <w:r w:rsidR="00492CF9" w:rsidRPr="00EA71C0">
        <w:rPr>
          <w:rFonts w:ascii="Palatino" w:eastAsia="Times New Roman" w:hAnsi="Palatino" w:cs="Times New Roman"/>
          <w:color w:val="000000" w:themeColor="text1"/>
          <w:sz w:val="22"/>
          <w:szCs w:val="22"/>
        </w:rPr>
        <w:t>during this phase</w:t>
      </w:r>
      <w:r w:rsidR="00730520" w:rsidRPr="00EA71C0">
        <w:rPr>
          <w:rFonts w:ascii="Palatino" w:eastAsia="Times New Roman" w:hAnsi="Palatino" w:cs="Times New Roman"/>
          <w:color w:val="000000" w:themeColor="text1"/>
          <w:sz w:val="22"/>
          <w:szCs w:val="22"/>
        </w:rPr>
        <w:t>.</w:t>
      </w:r>
      <w:r w:rsidR="00730520">
        <w:rPr>
          <w:rFonts w:ascii="Palatino" w:eastAsia="Times New Roman" w:hAnsi="Palatino" w:cs="Times New Roman"/>
          <w:color w:val="000000" w:themeColor="text1"/>
          <w:sz w:val="22"/>
          <w:szCs w:val="22"/>
        </w:rPr>
        <w:t xml:space="preserve"> </w:t>
      </w:r>
      <w:r w:rsidR="001E6EE0" w:rsidRPr="009122B7">
        <w:rPr>
          <w:rFonts w:ascii="Palatino" w:eastAsia="Times New Roman" w:hAnsi="Palatino" w:cs="Times New Roman"/>
          <w:color w:val="000000" w:themeColor="text1"/>
          <w:sz w:val="22"/>
          <w:szCs w:val="22"/>
        </w:rPr>
        <w:t xml:space="preserve"> </w:t>
      </w:r>
    </w:p>
    <w:p w14:paraId="725AF56B" w14:textId="26860953" w:rsidR="00F51739" w:rsidRDefault="00F51739" w:rsidP="00575CE5">
      <w:pPr>
        <w:tabs>
          <w:tab w:val="right" w:pos="9360"/>
        </w:tabs>
        <w:rPr>
          <w:rFonts w:ascii="Palatino" w:eastAsia="Times New Roman" w:hAnsi="Palatino" w:cs="Times New Roman"/>
          <w:color w:val="000000" w:themeColor="text1"/>
        </w:rPr>
      </w:pPr>
    </w:p>
    <w:p w14:paraId="7F208DF0" w14:textId="56DA5193" w:rsidR="00F51739" w:rsidRPr="009122B7" w:rsidRDefault="009B1892" w:rsidP="00575CE5">
      <w:pPr>
        <w:tabs>
          <w:tab w:val="right" w:pos="9360"/>
        </w:tabs>
        <w:rPr>
          <w:rFonts w:ascii="Palatino" w:hAnsi="Palatino"/>
          <w:sz w:val="22"/>
          <w:szCs w:val="22"/>
        </w:rPr>
      </w:pPr>
      <w:r>
        <w:rPr>
          <w:rFonts w:ascii="Palatino" w:eastAsia="Times New Roman" w:hAnsi="Palatino" w:cs="Times New Roman"/>
          <w:color w:val="000000" w:themeColor="text1"/>
          <w:sz w:val="22"/>
          <w:szCs w:val="22"/>
        </w:rPr>
        <w:t>Most tracking</w:t>
      </w:r>
      <w:r w:rsidR="00F51739" w:rsidRPr="009122B7">
        <w:rPr>
          <w:rFonts w:ascii="Palatino" w:eastAsia="Times New Roman" w:hAnsi="Palatino" w:cs="Times New Roman"/>
          <w:color w:val="000000" w:themeColor="text1"/>
          <w:sz w:val="22"/>
          <w:szCs w:val="22"/>
        </w:rPr>
        <w:t xml:space="preserve"> studies</w:t>
      </w:r>
      <w:r>
        <w:rPr>
          <w:rFonts w:ascii="Palatino" w:eastAsia="Times New Roman" w:hAnsi="Palatino" w:cs="Times New Roman"/>
          <w:color w:val="000000" w:themeColor="text1"/>
          <w:sz w:val="22"/>
          <w:szCs w:val="22"/>
        </w:rPr>
        <w:t xml:space="preserve"> of seabirds are conducted during the breeding period, when tags can easily be recovered when birds return to the nest site and considerably fewer studies </w:t>
      </w:r>
      <w:r w:rsidR="00957705">
        <w:rPr>
          <w:rFonts w:ascii="Palatino" w:eastAsia="Times New Roman" w:hAnsi="Palatino" w:cs="Times New Roman"/>
          <w:color w:val="000000" w:themeColor="text1"/>
          <w:sz w:val="22"/>
          <w:szCs w:val="22"/>
        </w:rPr>
        <w:t>have examined movement during the</w:t>
      </w:r>
      <w:r w:rsidR="00F51739" w:rsidRPr="009122B7">
        <w:rPr>
          <w:rFonts w:ascii="Palatino" w:eastAsia="Times New Roman" w:hAnsi="Palatino" w:cs="Times New Roman"/>
          <w:color w:val="000000" w:themeColor="text1"/>
          <w:sz w:val="22"/>
          <w:szCs w:val="22"/>
        </w:rPr>
        <w:t xml:space="preserve"> </w:t>
      </w:r>
      <w:r w:rsidR="001F640A">
        <w:rPr>
          <w:rFonts w:ascii="Palatino" w:eastAsia="Times New Roman" w:hAnsi="Palatino" w:cs="Times New Roman"/>
          <w:color w:val="000000" w:themeColor="text1"/>
          <w:sz w:val="22"/>
          <w:szCs w:val="22"/>
        </w:rPr>
        <w:t>non</w:t>
      </w:r>
      <w:r w:rsidR="00F51739" w:rsidRPr="009122B7">
        <w:rPr>
          <w:rFonts w:ascii="Palatino" w:eastAsia="Times New Roman" w:hAnsi="Palatino" w:cs="Times New Roman"/>
          <w:color w:val="000000" w:themeColor="text1"/>
          <w:sz w:val="22"/>
          <w:szCs w:val="22"/>
        </w:rPr>
        <w:t xml:space="preserve">-breeding </w:t>
      </w:r>
      <w:r w:rsidR="00957705">
        <w:rPr>
          <w:rFonts w:ascii="Palatino" w:eastAsia="Times New Roman" w:hAnsi="Palatino" w:cs="Times New Roman"/>
          <w:color w:val="000000" w:themeColor="text1"/>
          <w:sz w:val="22"/>
          <w:szCs w:val="22"/>
        </w:rPr>
        <w:t xml:space="preserve">period </w:t>
      </w:r>
      <w:r w:rsidR="000B60E6">
        <w:rPr>
          <w:rFonts w:ascii="Palatino" w:eastAsia="Times New Roman" w:hAnsi="Palatino" w:cs="Times New Roman"/>
          <w:color w:val="000000" w:themeColor="text1"/>
          <w:sz w:val="22"/>
          <w:szCs w:val="22"/>
        </w:rPr>
        <w:fldChar w:fldCharType="begin" w:fldLock="1"/>
      </w:r>
      <w:r w:rsidR="007D3679">
        <w:rPr>
          <w:rFonts w:ascii="Palatino" w:eastAsia="Times New Roman" w:hAnsi="Palatino" w:cs="Times New Roman"/>
          <w:color w:val="000000" w:themeColor="text1"/>
          <w:sz w:val="22"/>
          <w:szCs w:val="22"/>
        </w:rPr>
        <w:instrText xml:space="preserve">ADDIN CSL_CITATION {"citationItems":[{"id":"ITEM-1","itemData":{"DOI":"10.1186/s40462-014-0023-4","ISSN":"20513933","abstract":"Background: Animals adjust activity budgets as competing demands for limited time and energy shift across life history phases. For far-ranging migrants and especially pelagic seabirds, activity during breeding and migration are generally well studied but the \"overwinter\" phase of non-breeding has received less attention. Yet this is a critical time for recovery from breeding, plumage replacement and gaining energy stores for return migration and the next breeding attempt. We aimed to identify patterns in daily activity budgets (i.e. time in flight, floating on the water's surface and active foraging) and associated spatial distributions during overwinter for the laysan Phoebastria immutabilis and black-footed P. nigripes albatrosses using state-space models and generalized additive mixed-effects models (GAMMs). We applied these models to time-series of positional and immersion-state data from small light- and conductivity-based data loggers. Results: During overwinter, both species exhibited a consistent 'quasi-flightless' stage beginning c. 30 days after initiating migration and lasting c. 40 days, characterized by frequent long bouts of floating, very little sustained flight, and infrequent active foraging. Minimal daily movements were made within localized areas during this time; individual laysan albatross concentrated into the northwest corner of the Pacific while black-footed albatross spread widely across the North Pacific Ocean basin. Activity gradually shifted toward increased time in flight and active foraging, less time floating, and greater daily travel distances until colony return c. 155 days after initial departure. Conclusions: Our results demonstrate that these species make parallel adjustments to activity budgets at a daily time-scale within the overwinter phase of non-breeding despite different at-sea distributions and phenologies. The 'quasi-flightless' stage likely reflects compromised flight from active wing moult while the subsequent increase in activity may occur as priorities shift toward mass gain for breeding. The novel application of a GAMM-based approach used in this study offers the possibility of identifying population-level patterns in shifting activity budgets over extended periods while allowing for individual-level variation in the timing of events. The information gained can also help to elucidate the whereabouts of areas important at different times across life history phases for far-ranging migrants.","author":[{"dropping-particle":"","family":"Gutowsky","given":"Sarah E.","non-dropping-particle":"","parse-names":false,"suffix":""},{"dropping-particle":"","family":"Gutowsky","given":"Lee F.G.","non-dropping-particle":"","parse-names":false,"suffix":""},{"dropping-particle":"","family":"Jonsen","given":"Ian D.","non-dropping-particle":"","parse-names":false,"suffix":""},{"dropping-particle":"","family":"Leonard","given":"Marty L.","non-dropping-particle":"","parse-names":false,"suffix":""},{"dropping-particle":"","family":"Naughton","given":"Maura B.","non-dropping-particle":"","parse-names":false,"suffix":""},{"dropping-particle":"","family":"Romano","given":"Marc D.","non-dropping-particle":"","parse-names":false,"suffix":""},{"dropping-particle":"","family":"Shaffer","given":"Scott A.","non-dropping-particle":"","parse-names":false,"suffix":""}],"container-title":"Movement Ecology","id":"ITEM-1","issue":"1","issued":{"date-parts":[["2014"]]},"page":"1-14","title":"Daily activity budgets reveal a quasi-flightless stage during non-breeding in Hawaiian albatrosses","type":"article-journal","volume":"2"},"uris":["http://www.mendeley.com/documents/?uuid=e1bf91b5-ecbb-4d14-b60e-b90805853e03"]},{"id":"ITEM-2","itemData":{"DOI":"10.3354/meps08532","ISSN":"0171-8630","abstract":"This is the first comprehensive study of at-sea activity patterns of albatrosses during the nonbreeding period, based on data from combination geolocator-immersion loggers deployed on the wandering albatross Diomedea exulans, black-browed albatross Thalassarche melanophris, greyheaded albatross T. chrysostoma and light-mantled albatross Phoebetria palpebrata from South Georgia (54° 00' S, 38° 03' W). Differences in behaviour among species observed during the breeding season were maintained during the nonbreeding period, suggesting a high degree of foraging niche specialisation. Wandering albatrosses exhibited longer flight bouts, and spent more time on the water during daylight, than any of the smaller species. Light-mantled albatrosses were the most active nocturnally. During daylight, grey-headed albatrosses were the most aerial and black-browed albatrosses had the shortest flight bouts. Although all species still engaged in foraging behaviour predominantly during daylight, they spent a greater proportion of time on the water (presumably resting) during the nonbreeding period compared with the breeding period, suggesting that they could more readily meet their energy demands when no longer subject to central place constraints. There was no evidence from activity patterns that might suggest that wing feather moult handicaps flight capability during the nonbreeding period. Individuals of all species engaged in rapid east-west commutes, when considerably higher proportions of time were spent in flight than while resident, in particular during daylight, possibly because birds are unable to navigate effectively during complete darkness. Despite consistency in individual dispersal patterns, there were year-to-year differences in the nocturnal behaviour of black-browed albatrosses, probably attributable to prey variability. © Inter-Research 2010.","author":[{"dropping-particle":"","family":"Mackley","given":"EK","non-dropping-particle":"","parse-names":false,"suffix":""},{"dropping-particle":"","family":"Phillips","given":"RA","non-dropping-particle":"","parse-names":false,"suffix":""},{"dropping-particle":"","family":"Silk","given":"JRD","non-dropping-particle":"","parse-names":false,"suffix":""},{"dropping-particle":"","family":"Wakefield","given":"ED","non-dropping-particle":"","parse-names":false,"suffix":""},{"dropping-particle":"","family":"Afanasyev","given":"V","non-dropping-particle":"","parse-names":false,"suffix":""},{"dropping-particle":"","family":"Fox","given":"JW","non-dropping-particle":"","parse-names":false,"suffix":""},{"dropping-particle":"","family":"Furness","given":"RW","non-dropping-particle":"","parse-names":false,"suffix":""}],"container-title":"Marine Ecology Progress Series","id":"ITEM-2","issued":{"date-parts":[["2010","5","10"]]},"page":"291-303","title":"Free as a bird? Activity patterns of albatrosses during the nonbreeding period","type":"article-journal","volume":"406"},"uris":["http://www.mendeley.com/documents/?uuid=09769c7f-5e6b-3776-87dc-b0c6a8c3f22c"]},{"id":"ITEM-3","itemData":{"DOI":"10.1371/journal.pone.0026079","ISSN":"1932-6203","abstract":"Although seabirds that are trans-equatorial migrants show apparently broad overlap among populations in the non-breeding season, such large-scale pattern may conceal subtle but nevertheless key differences in migratory behaviour. These specializations could reflect adaptation to different environments during the breeding season, carry-over effects from the breeding to the nonbreeding period, or asymmetries in competitive ability of birds of different origin. We compared the migratory and wintering behaviour of Cory's shearwaters Calonectris diomedea nesting in Berlengas and in the Selvagens, two colonies in contrasting oceanographic environments, separated by ca. 1200 km. Although no differences were found in winter distribution, there was a marked divergence in timing, route and the use of staging areas during the postbreeding (autumn) migration. Birds from Berlengas typically travelled to oceanic waters in the North Atlantic for an extended stopover, whereas those from Selvagens rarely did so. In the South Atlantic, birds from Selvagens spent more time in flight, perhaps because they had higher energy and nutrient requirements for feather replacement compared to birds from Berlengas, which moult more flight feathers during breeding. Stable isotope analyses of feathers suggested that this variation in activity patterns was unrelated to trophic ecology. Differences in migration routes and stopovers may expose populations to distinct threats, and should be taken into consideration when defining units for conservation purposes and developing appropriate management strategies. © 2011 Catry et al.","author":[{"dropping-particle":"","family":"Catry","given":"Paulo","non-dropping-particle":"","parse-names":false,"suffix":""},{"dropping-particle":"","family":"Dias","given":"Maria P.","non-dropping-particle":"","parse-names":false,"suffix":""},{"dropping-particle":"","family":"Phillips","given":"Richard A.","non-dropping-particle":"","parse-names":false,"suffix":""},{"dropping-particle":"","family":"Granadeiro","given":"José P.","non-dropping-particle":"","parse-names":false,"suffix":""}],"container-title":"PLoS ONE","editor":[{"dropping-particle":"","family":"Brigham","given":"R. Mark","non-dropping-particle":"","parse-names":false,"suffix":""}],"id":"ITEM-3","issue":"10","issued":{"date-parts":[["2011","10","11"]]},"page":"e26079","publisher":"Public Library of Science","title":"Different Means to the Same End: Long-Distance Migrant Seabirds from Two Colonies Differ in Behaviour, Despite Common Wintering Grounds","type":"article-journal","volume":"6"},"uris":["http://www.mendeley.com/documents/?uuid=7bcf3746-01ae-3723-9181-dc4bf894d763"]},{"id":"ITEM-4","itemData":{"DOI":"10.3354/meps09538","ISSN":"0171-8630","abstract":"The distributions of many marine birds, particularly those that are highly pelagic, remain poorly known outside the breeding period. Here we use geolocator-immersion loggers to study trans-equatorial migration, activity patterns and habitat use of sooty shearwaters Puffinus griseus from Kidney Island, Falkland Islands, during the 2008 and 2009 nonbreeding seasons. Between mid March and mid April, adults commenced a </w:instrText>
      </w:r>
      <w:r w:rsidR="007D3679">
        <w:rPr>
          <w:rFonts w:ascii="Cambria Math" w:eastAsia="Times New Roman" w:hAnsi="Cambria Math" w:cs="Cambria Math"/>
          <w:color w:val="000000" w:themeColor="text1"/>
          <w:sz w:val="22"/>
          <w:szCs w:val="22"/>
        </w:rPr>
        <w:instrText>∼</w:instrText>
      </w:r>
      <w:r w:rsidR="007D3679">
        <w:rPr>
          <w:rFonts w:ascii="Palatino" w:eastAsia="Times New Roman" w:hAnsi="Palatino" w:cs="Times New Roman"/>
          <w:color w:val="000000" w:themeColor="text1"/>
          <w:sz w:val="22"/>
          <w:szCs w:val="22"/>
        </w:rPr>
        <w:instrText>3 wk, &gt;15 000 km northward migration. Most birds (72%) staged in the northwest Atlantic from late April to early June in deep, warm and relatively productive waters west of the Mid-Atlantic Ridge (</w:instrText>
      </w:r>
      <w:r w:rsidR="007D3679">
        <w:rPr>
          <w:rFonts w:ascii="Cambria Math" w:eastAsia="Times New Roman" w:hAnsi="Cambria Math" w:cs="Cambria Math"/>
          <w:color w:val="000000" w:themeColor="text1"/>
          <w:sz w:val="22"/>
          <w:szCs w:val="22"/>
        </w:rPr>
        <w:instrText>∼</w:instrText>
      </w:r>
      <w:r w:rsidR="007D3679">
        <w:rPr>
          <w:rFonts w:ascii="Palatino" w:eastAsia="Times New Roman" w:hAnsi="Palatino" w:cs="Times New Roman"/>
          <w:color w:val="000000" w:themeColor="text1"/>
          <w:sz w:val="22"/>
          <w:szCs w:val="22"/>
        </w:rPr>
        <w:instrText xml:space="preserve">43-55° N, </w:instrText>
      </w:r>
      <w:r w:rsidR="007D3679">
        <w:rPr>
          <w:rFonts w:ascii="Cambria Math" w:eastAsia="Times New Roman" w:hAnsi="Cambria Math" w:cs="Cambria Math"/>
          <w:color w:val="000000" w:themeColor="text1"/>
          <w:sz w:val="22"/>
          <w:szCs w:val="22"/>
        </w:rPr>
        <w:instrText>∼</w:instrText>
      </w:r>
      <w:r w:rsidR="007D3679">
        <w:rPr>
          <w:rFonts w:ascii="Palatino" w:eastAsia="Times New Roman" w:hAnsi="Palatino" w:cs="Times New Roman"/>
          <w:color w:val="000000" w:themeColor="text1"/>
          <w:sz w:val="22"/>
          <w:szCs w:val="22"/>
        </w:rPr>
        <w:instrText xml:space="preserve">32-43° W) in what we speculate is an important moulting area. Primary feathers grown during the moult had average </w:instrText>
      </w:r>
      <w:r w:rsidR="007D3679">
        <w:rPr>
          <w:rFonts w:ascii="Palatino" w:eastAsia="Times New Roman" w:hAnsi="Palatino" w:cs="Times New Roman" w:hint="eastAsia"/>
          <w:color w:val="000000" w:themeColor="text1"/>
          <w:sz w:val="22"/>
          <w:szCs w:val="22"/>
        </w:rPr>
        <w:instrText>δ</w:instrText>
      </w:r>
      <w:r w:rsidR="007D3679">
        <w:rPr>
          <w:rFonts w:ascii="Palatino" w:eastAsia="Times New Roman" w:hAnsi="Palatino" w:cs="Times New Roman"/>
          <w:color w:val="000000" w:themeColor="text1"/>
          <w:sz w:val="22"/>
          <w:szCs w:val="22"/>
        </w:rPr>
        <w:instrText xml:space="preserve"> 15N and </w:instrText>
      </w:r>
      <w:r w:rsidR="007D3679">
        <w:rPr>
          <w:rFonts w:ascii="Palatino" w:eastAsia="Times New Roman" w:hAnsi="Palatino" w:cs="Times New Roman" w:hint="eastAsia"/>
          <w:color w:val="000000" w:themeColor="text1"/>
          <w:sz w:val="22"/>
          <w:szCs w:val="22"/>
        </w:rPr>
        <w:instrText>δ</w:instrText>
      </w:r>
      <w:r w:rsidR="007D3679">
        <w:rPr>
          <w:rFonts w:ascii="Palatino" w:eastAsia="Times New Roman" w:hAnsi="Palatino" w:cs="Times New Roman"/>
          <w:color w:val="000000" w:themeColor="text1"/>
          <w:sz w:val="22"/>
          <w:szCs w:val="22"/>
        </w:rPr>
        <w:instrText xml:space="preserve"> 13C values of 13.4 ± 1.8 and -18.9 ± 0.5‰, respectively. Shearwaters moved into shallow, warm continental shelf waters of the eastern Canadian Grand Bank in mid June and resided there for the northern summer. Migrant Puffinus shearwaters from the southern hemisphere are the primary avian consumers of fish within this ecosystem in summer. During migration birds flew for 78% of the day and 59% of the night, whereas when resident in the northern hemisphere they spent much of their time on the water (70% daylight, 90% darkness). Shearwaters moved south late August to mid September, completing the </w:instrText>
      </w:r>
      <w:r w:rsidR="007D3679">
        <w:rPr>
          <w:rFonts w:ascii="Cambria Math" w:eastAsia="Times New Roman" w:hAnsi="Cambria Math" w:cs="Cambria Math"/>
          <w:color w:val="000000" w:themeColor="text1"/>
          <w:sz w:val="22"/>
          <w:szCs w:val="22"/>
        </w:rPr>
        <w:instrText>∼</w:instrText>
      </w:r>
      <w:r w:rsidR="007D3679">
        <w:rPr>
          <w:rFonts w:ascii="Palatino" w:eastAsia="Times New Roman" w:hAnsi="Palatino" w:cs="Times New Roman"/>
          <w:color w:val="000000" w:themeColor="text1"/>
          <w:sz w:val="22"/>
          <w:szCs w:val="22"/>
        </w:rPr>
        <w:instrText xml:space="preserve">30 000 km figure-of-eight round trip migration in </w:instrText>
      </w:r>
      <w:r w:rsidR="007D3679">
        <w:rPr>
          <w:rFonts w:ascii="Cambria Math" w:eastAsia="Times New Roman" w:hAnsi="Cambria Math" w:cs="Cambria Math"/>
          <w:color w:val="000000" w:themeColor="text1"/>
          <w:sz w:val="22"/>
          <w:szCs w:val="22"/>
        </w:rPr>
        <w:instrText>∼</w:instrText>
      </w:r>
      <w:r w:rsidR="007D3679">
        <w:rPr>
          <w:rFonts w:ascii="Palatino" w:eastAsia="Times New Roman" w:hAnsi="Palatino" w:cs="Times New Roman"/>
          <w:color w:val="000000" w:themeColor="text1"/>
          <w:sz w:val="22"/>
          <w:szCs w:val="22"/>
        </w:rPr>
        <w:instrText xml:space="preserve">2 to 3 wk. The Northern Patagonian Shelf and Argentine Basin were used as a terminal stopover site, where most (79%) shearwaters spent </w:instrText>
      </w:r>
      <w:r w:rsidR="007D3679">
        <w:rPr>
          <w:rFonts w:ascii="Cambria Math" w:eastAsia="Times New Roman" w:hAnsi="Cambria Math" w:cs="Cambria Math"/>
          <w:color w:val="000000" w:themeColor="text1"/>
          <w:sz w:val="22"/>
          <w:szCs w:val="22"/>
        </w:rPr>
        <w:instrText>∼</w:instrText>
      </w:r>
      <w:r w:rsidR="007D3679">
        <w:rPr>
          <w:rFonts w:ascii="Palatino" w:eastAsia="Times New Roman" w:hAnsi="Palatino" w:cs="Times New Roman"/>
          <w:color w:val="000000" w:themeColor="text1"/>
          <w:sz w:val="22"/>
          <w:szCs w:val="22"/>
        </w:rPr>
        <w:instrText>1 wk before first returning to the breeding colony for the season. Year-round tracking of seabirds aids the identification of important marine areas and highlights regions where conservation efforts need to be focused. © 2012 Inter-Research.","author":[{"dropping-particle":"","family":"Hedd","given":"A","non-dropping-particle":"","parse-names":false,"suffix":""},{"dropping-particle":"","family":"Montevecchi","given":"WA","non-dropping-particle":"","parse-names":false,"suffix":""},{"dropping-particle":"","family":"Otley","given":"H","non-dropping-particle":"","parse-names":false,"suffix":""},{"dropping-particle":"","family":"Phillips","given":"RA","non-dropping-particle":"","parse-names":false,"suffix":""},{"dropping-particle":"","family":"Fifield","given":"DA","non-dropping-particle":"","parse-names":false,"suffix":""}],"container-title":"Marine Ecology Progress Series","id":"ITEM-4","issued":{"date-parts":[["2012","3","8"]]},"page":"277-290","title":"Trans-equatorial migration and habitat use by sooty shearwaters Puffinus griseus from the South Atlantic during the nonbreeding season","type":"article-journal","volume":"449"},"uris":["http://www.mendeley.com/documents/?uuid=3094047e-dab9-3dec-b790-0bda71fa0149"]},{"id":"ITEM-5","itemData":{"DOI":"10.1016/j.biocon.2007.03.015","ISSN":"00063207","abstract":"We conducted a satellite tracking study of the endangered short-tailed albatross (Phoebastria albatrus) to determine post-breeding season distribution, the amount of time spent within exclusive economic zones of Pacific Rim countries, and assess factors affecting spatial and temporal overlap with commercial fisheries in Alaska. We obtained 6709 locations for 14 albatrosses (131-808 locations and 51-138 days of tracking per bird). Albatrosses ranged widely throughout the North Pacific Rim, spending the majority of time within the exclusive economics zones of Japan, Russia (Kuril Islands and Kamchatka Peninsula), and the United States (Aleutian Islands and Bering Sea, Alaska). We found evidence for gender and age-related differences in distribution and, therefore, potential interaction with regional fisheries. Overall, albatrosses spent the greatest proportion of time within the Alaska exclusive economic zone. Within Alaska, albatrosses occurred most frequently in fishery management zones that encompassed the Aleutian Islands, Bering Sea, and south of the Alaska Peninsula. Short-tailed albatrosses had the greatest potential overlap with fisheries that occurred along continental shelf break and slope regions, e.g., longlining for sablefish (Anoplopoma fimbria), where albatrosses occurred most often. Some birds, however, also made frequent excursions onto the extensive Bering Sea shelf, suggesting significant potential for interactions with the large-scale walleye pollock (Theragra chalcogramma) and Pacific cod (Gadus macrocephalus) fisheries. Alaskan longline fishing fleets have been proactive in using seabird deterrent devices, however, our data further emphasize that such efforts beyond the Alaska exclusive economic zone would provide a greater conservation benefit for this species.","author":[{"dropping-particle":"","family":"Suryan","given":"Robert M.","non-dropping-particle":"","parse-names":false,"suffix":""},{"dropping-particle":"","family":"Dietrich","given":"Kimberly S.","non-dropping-particle":"","parse-names":false,"suffix":""},{"dropping-particle":"","family":"Melvin","given":"Edward F.","non-dropping-particle":"","parse-names":false,"suffix":""},{"dropping-particle":"","family":"Balogh","given":"Gregory R.","non-dropping-particle":"","parse-names":false,"suffix":""},{"dropping-particle":"","family":"Sato","given":"Fumio","non-dropping-particle":"","parse-names":false,"suffix":""},{"dropping-particle":"","family":"Ozaki","given":"Kiyoaki","non-dropping-particle":"","parse-names":false,"suffix":""}],"container-title":"Biological Conservation","id":"ITEM-5","issue":"3","issued":{"date-parts":[["2007","7","1"]]},"page":"450-460","publisher":"Elsevier","title":"Migratory routes of short-tailed albatrosses: Use of exclusive economic zones of North Pacific Rim countries and spatial overlap with commercial fisheries in Alaska","type":"article-journal","volume":"137"},"uris":["http://www.mendeley.com/documents/?uuid=6445a343-73cc-3a7e-b3ad-3a79ad61b440"]},{"id":"ITEM-6","itemData":{"DOI":"10.1016/j.seares.2014.02.006","ISSN":"13851101","abstract":"Incidental mortality in fisheries is the main at-sea threat albatrosses are facing nowadays. In this study we used remote sensing techniques to model the degree of spatial overlapping between the Black-browed albatross ( Thalassarche melanophris) and Argentine fisheries, assuming this as a proxy of risk for albatrosses. Eleven tags were deployed on albatrosses during the non-breeding seasons 2011 and 2012 in the Patagonian Shelf. Their distribution overlapped to different extents with the two coastal trawl, three offshore trawl and one demersal longline fisheries. The overlap index showed highest values with both coastal fleets, followed by the ice-chilling trawl fleet. These intersections were located in the Argentinean-Uruguayan Common Fishing Zone, in coastal areas of the SE of Buenos Aires province, El Rincón estuary and over the shelf break. The analysis of intersections of focal areas from albatrosses and all fisheries allowed the identification of thirty-four fishing management units (1° by 1° grid within the Argentine EEZ) classified as of medium, high or very high conservation priority. Very high priority units were placed between 35 and 38°S in the external mouth of Rio de la Plata, and between 45 and 47°S in neighboring waters East to the hake fishing closure. Although there were possible biases due to the limited number of tracked birds and the locations where albatrosses were captured and instrumented, the information presented in this study provides a comprehensive picture of important areas of overlapping during winter that could be used by the fishery administration to prioritize conservation actions under limited resource scenarios. © 2014 Elsevier B.V.","author":[{"dropping-particle":"","family":"Copello","given":"Sofía","non-dropping-particle":"","parse-names":false,"suffix":""},{"dropping-particle":"","family":"Seco Pon","given":"Juan Pablo","non-dropping-particle":"","parse-names":false,"suffix":""},{"dropping-particle":"","family":"Favero","given":"Marco","non-dropping-particle":"","parse-names":false,"suffix":""}],"container-title":"Journal of Sea Research","id":"ITEM-6","issued":{"date-parts":[["2014","5","1"]]},"page":"44-51","publisher":"Elsevier","title":"Spatial overlap of Black-browed albatrosses with longline and trawl fisheries in the Patagonian Shelf during the non-breeding season","type":"article-journal","volume":"89"},"uris":["http://www.mendeley.com/documents/?uuid=742e3a34-ddff-30aa-924f-c39b873cc963"]},{"id":"ITEM-7","itemData":{"DOI":"10.1016/j.biocon.2013.06.006","ISSN":"00063207","abstract":"Populations of flesh-footed shearwaters on Lord Howe Island, Tasman Sea, have declined recently, with mortality in longline fisheries likely to be one of the major causes. It is therefore imperative to increase our understanding of their distribution at sea, especially during winter. Although they are known to migrate to the north Pacific Ocean, until this study there was very little information available on timing of movements, distribution and habitat use of individuals. Ten to 16 flesh-footed shearwaters (37 in total) were tracked from Lord Howe Island in each of three winter seasons (2005, 2007 and 2008). All birds migrated to the north-west Pacific Ocean, with approximately 70% wintering to the east of Japan in the Kurashio and Oyashio currents, around the Bonin Islands in the north Philippine Sea, or in the eastern Sea of Japan. Others spent a varying amount of time in the Yellow and East China seas, or in the western Sea of Japan. These waters already support intensive fisheries and demand for seafood is likely to rise in tandem with the increasing human populations of East Asia. Consequently, results presented here show that members of the largest population of flesh-footed shearwaters winter exclusively in the north-west Pacific Ocean around Japan and East Asia, in areas they are likely to overlap extensively with a number of fisheries; it is therefore imperative to obtain more information on current and projected levels of bird bycatch and effort in these fisheries in order to developing management strategies for the conservation of the east Australian and New Zealand populations of the flesh-footed shearwater. © 2013 Elsevier Ltd.","author":[{"dropping-particle":"","family":"Reid","given":"Tim A.","non-dropping-particle":"","parse-names":false,"suffix":""},{"dropping-particle":"","family":"Tuck","given":"Geoffrey N.","non-dropping-particle":"","parse-names":false,"suffix":""},{"dropping-particle":"","family":"Hindell","given":"Mark A.","non-dropping-particle":"","parse-names":false,"suffix":""},{"dropping-particle":"","family":"Thalmann","given":"Sam","non-dropping-particle":"","parse-names":false,"suffix":""},{"dropping-particle":"","family":"Phillips","given":"Richard A.","non-dropping-particle":"","parse-names":false,"suffix":""},{"dropping-particle":"","family":"Wilcox","given":"Chris","non-dropping-particle":"","parse-names":false,"suffix":""}],"container-title":"Biological Conservation","id":"ITEM-7","issued":{"date-parts":[["2013","10"]]},"page":"3-10","title":"Nonbreeding distribution of flesh-footed shearwaters and the potential for overlap with north Pacific fisheries","type":"article-journal","volume":"166"},"uris":["http://www.mendeley.com/documents/?uuid=dee0a2b0-d5b5-3d8f-8be6-f4e30b724268"]}],"mendeley":{"formattedCitation":"(Gutowsky, Gutowsky, et al. 2014; Mackley et al. 2010; Catry et al. 2011; Hedd et al. 2012; Suryan et al. 2007; Copello, Seco Pon, and Favero 2014; Reid et al. 2013)","manualFormatting":"(Gutowsky et al. 2014; Mackley et al. 2010; Catry et al. 2011; Hedd et al. 2012; Suryan et al. 2007; Copello et al. 2014; Reid et al. 2013)","plainTextFormattedCitation":"(Gutowsky, Gutowsky, et al. 2014; Mackley et al. 2010; Catry et al. 2011; Hedd et al. 2012; Suryan et al. 2007; Copello, Seco Pon, and Favero 2014; Reid et al. 2013)","previouslyFormattedCitation":"(Gutowsky, Gutowsky, et al. 2014; Mackley et al. 2010; Catry et al. 2011; Hedd et al. 2012; Suryan et al. 2007; Copello, Seco Pon, and Favero 2014; Reid et al. 2013)"},"properties":{"noteIndex":0},"schema":"https://github.com/citation-style-language/schema/raw/master/csl-citation.json"}</w:instrText>
      </w:r>
      <w:r w:rsidR="000B60E6">
        <w:rPr>
          <w:rFonts w:ascii="Palatino" w:eastAsia="Times New Roman" w:hAnsi="Palatino" w:cs="Times New Roman"/>
          <w:color w:val="000000" w:themeColor="text1"/>
          <w:sz w:val="22"/>
          <w:szCs w:val="22"/>
        </w:rPr>
        <w:fldChar w:fldCharType="separate"/>
      </w:r>
      <w:r w:rsidR="000B60E6" w:rsidRPr="000B60E6">
        <w:rPr>
          <w:rFonts w:ascii="Palatino" w:eastAsia="Times New Roman" w:hAnsi="Palatino" w:cs="Times New Roman"/>
          <w:noProof/>
          <w:color w:val="000000" w:themeColor="text1"/>
          <w:sz w:val="22"/>
          <w:szCs w:val="22"/>
        </w:rPr>
        <w:t>(Gutowsky</w:t>
      </w:r>
      <w:r w:rsidR="000B60E6">
        <w:rPr>
          <w:rFonts w:ascii="Palatino" w:eastAsia="Times New Roman" w:hAnsi="Palatino" w:cs="Times New Roman"/>
          <w:noProof/>
          <w:color w:val="000000" w:themeColor="text1"/>
          <w:sz w:val="22"/>
          <w:szCs w:val="22"/>
        </w:rPr>
        <w:t xml:space="preserve"> </w:t>
      </w:r>
      <w:r w:rsidR="000B60E6" w:rsidRPr="000B60E6">
        <w:rPr>
          <w:rFonts w:ascii="Palatino" w:eastAsia="Times New Roman" w:hAnsi="Palatino" w:cs="Times New Roman"/>
          <w:noProof/>
          <w:color w:val="000000" w:themeColor="text1"/>
          <w:sz w:val="22"/>
          <w:szCs w:val="22"/>
        </w:rPr>
        <w:t>et al. 2014; Mackley et al. 2010; Catry et al. 2011; Hedd et al. 2012; Suryan et al. 2007; Copello</w:t>
      </w:r>
      <w:r w:rsidR="000B60E6">
        <w:rPr>
          <w:rFonts w:ascii="Palatino" w:eastAsia="Times New Roman" w:hAnsi="Palatino" w:cs="Times New Roman"/>
          <w:noProof/>
          <w:color w:val="000000" w:themeColor="text1"/>
          <w:sz w:val="22"/>
          <w:szCs w:val="22"/>
        </w:rPr>
        <w:t xml:space="preserve"> et al. </w:t>
      </w:r>
      <w:r w:rsidR="000B60E6" w:rsidRPr="000B60E6">
        <w:rPr>
          <w:rFonts w:ascii="Palatino" w:eastAsia="Times New Roman" w:hAnsi="Palatino" w:cs="Times New Roman"/>
          <w:noProof/>
          <w:color w:val="000000" w:themeColor="text1"/>
          <w:sz w:val="22"/>
          <w:szCs w:val="22"/>
        </w:rPr>
        <w:t>2014; Reid et al. 2013)</w:t>
      </w:r>
      <w:r w:rsidR="000B60E6">
        <w:rPr>
          <w:rFonts w:ascii="Palatino" w:eastAsia="Times New Roman" w:hAnsi="Palatino" w:cs="Times New Roman"/>
          <w:color w:val="000000" w:themeColor="text1"/>
          <w:sz w:val="22"/>
          <w:szCs w:val="22"/>
        </w:rPr>
        <w:fldChar w:fldCharType="end"/>
      </w:r>
      <w:r w:rsidR="000B60E6">
        <w:rPr>
          <w:rFonts w:ascii="Palatino" w:eastAsia="Times New Roman" w:hAnsi="Palatino" w:cs="Times New Roman"/>
          <w:color w:val="000000" w:themeColor="text1"/>
          <w:sz w:val="22"/>
          <w:szCs w:val="22"/>
        </w:rPr>
        <w:t>. S</w:t>
      </w:r>
      <w:r w:rsidR="00957705">
        <w:rPr>
          <w:rFonts w:ascii="Palatino" w:eastAsia="Times New Roman" w:hAnsi="Palatino" w:cs="Times New Roman"/>
          <w:color w:val="000000" w:themeColor="text1"/>
          <w:sz w:val="22"/>
          <w:szCs w:val="22"/>
        </w:rPr>
        <w:t xml:space="preserve">tudies of North Pacific albatrosses </w:t>
      </w:r>
      <w:r w:rsidR="00F51739" w:rsidRPr="009122B7">
        <w:rPr>
          <w:rFonts w:ascii="Palatino" w:eastAsia="Times New Roman" w:hAnsi="Palatino" w:cs="Times New Roman"/>
          <w:color w:val="000000" w:themeColor="text1"/>
          <w:sz w:val="22"/>
          <w:szCs w:val="22"/>
        </w:rPr>
        <w:t>have been limited to</w:t>
      </w:r>
      <w:r w:rsidR="00090650" w:rsidRPr="009122B7">
        <w:rPr>
          <w:rFonts w:ascii="Palatino" w:eastAsia="Times New Roman" w:hAnsi="Palatino" w:cs="Times New Roman"/>
          <w:color w:val="000000" w:themeColor="text1"/>
          <w:sz w:val="22"/>
          <w:szCs w:val="22"/>
        </w:rPr>
        <w:t xml:space="preserve"> single year analysis</w:t>
      </w:r>
      <w:r w:rsidR="008709B8" w:rsidRPr="009122B7">
        <w:rPr>
          <w:rFonts w:ascii="Palatino" w:eastAsia="Times New Roman" w:hAnsi="Palatino" w:cs="Times New Roman"/>
          <w:color w:val="000000" w:themeColor="text1"/>
          <w:sz w:val="22"/>
          <w:szCs w:val="22"/>
        </w:rPr>
        <w:t xml:space="preserve"> </w:t>
      </w:r>
      <w:r w:rsidR="008709B8" w:rsidRPr="009122B7">
        <w:rPr>
          <w:rFonts w:ascii="Palatino" w:eastAsia="Times New Roman" w:hAnsi="Palatino" w:cs="Times New Roman"/>
          <w:color w:val="000000" w:themeColor="text1"/>
          <w:sz w:val="22"/>
          <w:szCs w:val="22"/>
        </w:rPr>
        <w:fldChar w:fldCharType="begin" w:fldLock="1"/>
      </w:r>
      <w:r w:rsidR="00681C07">
        <w:rPr>
          <w:rFonts w:ascii="Palatino" w:eastAsia="Times New Roman" w:hAnsi="Palatino" w:cs="Times New Roman"/>
          <w:color w:val="000000" w:themeColor="text1"/>
          <w:sz w:val="22"/>
          <w:szCs w:val="22"/>
        </w:rPr>
        <w:instrText>ADDIN CSL_CITATION {"citationItems":[{"id":"ITEM-1","itemData":{"DOI":"10.1016/j.dsr2.2006.01.012","ISSN":"09670645","abstract":"We used satellite telemetry, remotely sensed data (bathymetry, chlorophyll a (chl a), sea-surface temperature (SST), wind speed) and first-passage time (FPT) analysis to determine the distribution, movement patterns, and habitat associations of short-tailed albatrosses (Phoebastria albatrus) during the non-breeding season, 2002 and 2003. Satellite transmitters were deployed on birds immediately prior to their departure from a breeding colony at Torishima, Japan (n = 11), or at-sea in the Aleutian Islands (n = 3). Tracking durations ranged from 51 to 138 days for a total of 6709 locations after filtering (131 - 808 per bird). FPT (time required to transit a circle of given radius) revealed the location and spatial scale of area-restricted search (ARS) patterns along flight paths. On average, ARS occurred within 70 km radii. Consequently, the fit of the habitat use models increased at spatial scales beyond a 40 km FPT radius (R2 = 0.31) and stabilized for scales of 70 km and larger (R2=0.40- 0.51). At all scales, wind speed, depth or depth gradient, and chl a or chl a gradient had a significant effect on FPT (i.e., residence time). FPT increased within regions of higher gradients of depth and chl a. In contrast, FPT decreased within regions of greater depth and wind speed, with a significant interaction of wind speed and depth at some scales. Sea-surface temperature or its interactions were only significant at large spatial scales (≥160 km FPT radius). Albatrosses engaged in ARS activities primarily over the shelf break and slope, including Kuroshio and Oyashio regions off the western subarctic gyre. Occasionally, birds transited the northern boundary of the Kuroshio Extension while in-route to the Aleutian Islands and Bering Sea, but overall spent little time in the western gyre. In the Aleutian Islands, ARS occurred within straits, particularly along the central and western part of the archipelago. In the Bering Sea, ARS occurred along the northern continental shelf break, the Kamchatka Current region, and east of the Commander Islands. Non-breeding short-tailed albatross concentrate foraging in oceanic areas characterized by gradients in topography and water column productivity. This study provides an understanding of the foraging ecology for a highly migratory, imperiled seabird, and confirms the importance of shelf break and slope regions as hot spots for a variety of top marine predators in the North Pacific.","author":[{"dropping-particle":"","family":"Suryan","given":"Robert M.","non-dropping-particle":"","parse-names":false,"suffix":""},{"dropping-particle":"","family":"Sato","given":"Fumio","non-dropping-particle":"","parse-names":false,"suffix":""},{"dropping-particle":"","family":"Balogh","given":"Gregory R.","non-dropping-particle":"","parse-names":false,"suffix":""},{"dropping-particle":"","family":"David Hyrenbach","given":"K.","non-dropping-particle":"","parse-names":false,"suffix":""},{"dropping-particle":"","family":"Sievert","given":"Paul R.","non-dropping-particle":"","parse-names":false,"suffix":""},{"dropping-particle":"","family":"Ozaki","given":"Kiyoaki","non-dropping-particle":"","parse-names":false,"suffix":""}],"container-title":"Deep-Sea Research Part II: Topical Studies in Oceanography","id":"ITEM-1","issue":"3-4","issued":{"date-parts":[["2006","2","1"]]},"page":"370-386","publisher":"Pergamon","title":"Foraging destinations and marine habitat use of short-tailed albatrosses: A multi-scale approach using first-passage time analysis","type":"article-journal","volume":"53"},"uris":["http://www.mendeley.com/documents/?uuid=62be7057-9b8f-3b71-81e1-abff3cbefdd1"]},{"id":"ITEM-2","itemData":{"DOI":"10.1038/srep29932","ISSN":"20452322","abstract":"Many animals partition resources to avoid competition, and in colonially-breeding species this often leads to divergent space or habitat use. During the non-breeding season, foraging constraints are relaxed, yet the patterns and drivers of segregation both between and within populations are poorly understood. We modelled habitat preference to examine how extrinsic (habitat availability and intra-specific competition) and intrinsic factors (population, sex and breeding outcome) influence the distributions of non-breeding grey-headed albatrosses Thalassarche chrysostoma tracked from two major populations, South Georgia (Atlantic Ocean) and the Prince Edward Islands (Indian Ocean). Spatial segregation was greater than expected, reflecting distinct seasonal differences in habitat selection and accessibility, and avoidance of intra-specific competition with local breeders. Previously failed birds segregated spatially from successful birds during summer, when they used less productive waters, suggesting a link between breeding outcome and subsequent habitat selection. In contrast, we found weak evidence of sexual segregation, which did not reflect a difference in habitat use. Our results indicate that the large-scale spatial structuring of albatross distributions results from interactions between extrinsic and intrinsic factors, with important implications for population dynamics. As habitat preferences differed substantially between colonies, populations should be considered independently when identifying critical areas for protection.","author":[{"dropping-particle":"","family":"Clay","given":"Thomas A.","non-dropping-particle":"","parse-names":false,"suffix":""},{"dropping-particle":"","family":"Manica","given":"Andrea","non-dropping-particle":"","parse-names":false,"suffix":""},{"dropping-particle":"","family":"Ryan","given":"Peter G.","non-dropping-particle":"","parse-names":false,"suffix":""},{"dropping-particle":"","family":"Silk","given":"Janet R.D.","non-dropping-particle":"","parse-names":false,"suffix":""},{"dropping-particle":"","family":"Croxall","given":"John P.","non-dropping-particle":"","parse-names":false,"suffix":""},{"dropping-particle":"","family":"Ireland","given":"Louise","non-dropping-particle":"","parse-names":false,"suffix":""},{"dropping-particle":"","family":"Phillips","given":"Richard A.","non-dropping-particle":"","parse-names":false,"suffix":""}],"container-title":"Scientific Reports","id":"ITEM-2","issue":"1","issued":{"date-parts":[["2016","7","21"]]},"page":"1-13","publisher":"Nature Publishing Group","title":"Proximate drivers of spatial segregation in non-breeding albatrosses","type":"article-journal","volume":"6"},"uris":["http://www.mendeley.com/documents/?uuid=e364ef8e-762d-37ae-962f-d9dc6b2061f7"]}],"mendeley":{"formattedCitation":"(Suryan et al. 2006; Clay et al. 2016)","manualFormatting":"(Suryan et al. 2006)","plainTextFormattedCitation":"(Suryan et al. 2006; Clay et al. 2016)","previouslyFormattedCitation":"(Suryan et al. 2006; Clay et al. 2016)"},"properties":{"noteIndex":0},"schema":"https://github.com/citation-style-language/schema/raw/master/csl-citation.json"}</w:instrText>
      </w:r>
      <w:r w:rsidR="008709B8" w:rsidRPr="009122B7">
        <w:rPr>
          <w:rFonts w:ascii="Palatino" w:eastAsia="Times New Roman" w:hAnsi="Palatino" w:cs="Times New Roman"/>
          <w:color w:val="000000" w:themeColor="text1"/>
          <w:sz w:val="22"/>
          <w:szCs w:val="22"/>
        </w:rPr>
        <w:fldChar w:fldCharType="separate"/>
      </w:r>
      <w:r w:rsidR="008709B8" w:rsidRPr="009122B7">
        <w:rPr>
          <w:rFonts w:ascii="Palatino" w:eastAsia="Times New Roman" w:hAnsi="Palatino" w:cs="Times New Roman"/>
          <w:noProof/>
          <w:color w:val="000000" w:themeColor="text1"/>
          <w:sz w:val="22"/>
          <w:szCs w:val="22"/>
        </w:rPr>
        <w:t>(Suryan et al. 2006)</w:t>
      </w:r>
      <w:r w:rsidR="008709B8" w:rsidRPr="009122B7">
        <w:rPr>
          <w:rFonts w:ascii="Palatino" w:eastAsia="Times New Roman" w:hAnsi="Palatino" w:cs="Times New Roman"/>
          <w:color w:val="000000" w:themeColor="text1"/>
          <w:sz w:val="22"/>
          <w:szCs w:val="22"/>
        </w:rPr>
        <w:fldChar w:fldCharType="end"/>
      </w:r>
      <w:r w:rsidR="00090650" w:rsidRPr="009122B7">
        <w:rPr>
          <w:rFonts w:ascii="Palatino" w:eastAsia="Times New Roman" w:hAnsi="Palatino" w:cs="Times New Roman"/>
          <w:color w:val="000000" w:themeColor="text1"/>
          <w:sz w:val="22"/>
          <w:szCs w:val="22"/>
        </w:rPr>
        <w:t>,</w:t>
      </w:r>
      <w:r w:rsidR="00F51739" w:rsidRPr="009122B7">
        <w:rPr>
          <w:rFonts w:ascii="Palatino" w:eastAsia="Times New Roman" w:hAnsi="Palatino" w:cs="Times New Roman"/>
          <w:color w:val="000000" w:themeColor="text1"/>
          <w:sz w:val="22"/>
          <w:szCs w:val="22"/>
        </w:rPr>
        <w:t xml:space="preserve"> comparisons of age classes </w:t>
      </w:r>
      <w:r w:rsidR="00F51739" w:rsidRPr="009122B7">
        <w:rPr>
          <w:rFonts w:ascii="Palatino" w:eastAsia="Times New Roman" w:hAnsi="Palatino" w:cs="Times New Roman"/>
          <w:color w:val="000000" w:themeColor="text1"/>
          <w:sz w:val="22"/>
          <w:szCs w:val="22"/>
        </w:rPr>
        <w:fldChar w:fldCharType="begin" w:fldLock="1"/>
      </w:r>
      <w:r w:rsidR="000B60E6">
        <w:rPr>
          <w:rFonts w:ascii="Palatino" w:eastAsia="Times New Roman" w:hAnsi="Palatino" w:cs="Times New Roman"/>
          <w:color w:val="000000" w:themeColor="text1"/>
          <w:sz w:val="22"/>
          <w:szCs w:val="22"/>
        </w:rPr>
        <w:instrText>ADDIN CSL_CITATION {"citationItems":[{"id":"ITEM-1","itemData":{"DOI":"10.1111/ibi.12119","ISSN":"0019-1019","abstract":"Past tracking studies of marine animals have primarily targeted adults, biasing our understanding of at-sea habitat use toward older life stages. Anthropogenic threats persist throughout the at-sea ranges of all life stages and it is therefore of interest to population ecologists and managers alike to understand spatiotemporal distributions and possible niche differentiation between age-classes. In albatrosses, particularly little is known about the juvenile life stage when fledglings depart the colonies and venture to sea with no prior experience or parental guidance. We compared the dispersal of 22 fledgling Black-footed Albatross Phoebastria nigripes between 2006 and 2008 using satellite telemetry and 16 adults between 2008 and 2009 using geolocaters from Midway Atoll National Wildlife Refuge, Northwest Hawaiian Islands. Following tag deployment, all fledglings spent several days within the calm atoll waters, then travelled northward until reaching 750?900 km from the colony. At this point, fledgling distributions approached the productive North Pacific Transition Zone (NPTZ). Rather than reaching the high chlorophyll a densities on the leading edge of this zone, however, fledglings remained in areas of low productivity in the subtropical gyre. In contrast, adult albatrosses from the same breeding colony did not utilize the NPTZ at this time of year but rather ranged throughout the highly productive northern periphery of the Pacific Ocean Basin among the shelf regions off Japan and the Aleutian Islands. The dichotomy in habitat use between fledglings and adults from Midway Atoll results in complete spatial segregation between age-classes and suggests ontogenetic niche separation in this species. This research fills a large knowledge gap in at-sea habitat use during a little known yet critical life stage of albatrosses, and contributes to a more comprehensive understanding of differential mortality pressure between age-classes and overall conservation status for the vulnerable Black-footed Albatross.","author":[{"dropping-particle":"","family":"Gutowsky","given":"Sarah E","non-dropping-particle":"","parse-names":false,"suffix":""},{"dropping-particle":"","family":"Tremblay","given":"Yann","non-dropping-particle":"","parse-names":false,"suffix":""},{"dropping-particle":"","family":"Kappes","given":"Michelle A","non-dropping-particle":"","parse-names":false,"suffix":""},{"dropping-particle":"","family":"Flint","given":"Elizabeth N","non-dropping-particle":"","parse-names":false,"suffix":""},{"dropping-particle":"","family":"Klavitter","given":"John","non-dropping-particle":"","parse-names":false,"suffix":""},{"dropping-particle":"","family":"Laniawe","given":"Leona","non-dropping-particle":"","parse-names":false,"suffix":""},{"dropping-particle":"","family":"Costa","given":"Dan P","non-dropping-particle":"","parse-names":false,"suffix":""},{"dropping-particle":"","family":"Naughton","given":"Maura B","non-dropping-particle":"","parse-names":false,"suffix":""},{"dropping-particle":"","family":"Romano","given":"Marc D","non-dropping-particle":"","parse-names":false,"suffix":""},{"dropping-particle":"","family":"Shaffer","given":"Scott A","non-dropping-particle":"","parse-names":false,"suffix":""}],"container-title":"Ibis","id":"ITEM-1","issue":"1","issued":{"date-parts":[["2014","1","1"]]},"note":"doi: 10.1111/ibi.12119","page":"60-72","publisher":"John Wiley &amp; Sons, Ltd","title":"Divergent post-breeding distribution and habitat associations of fledgling and adult Black-footed Albatrosses Phoebastria nigripes in the North Pacific","type":"article-journal","volume":"156"},"uris":["http://www.mendeley.com/documents/?uuid=78480a9a-51ab-4360-bf93-507df397108f"]}],"mendeley":{"formattedCitation":"(Gutowsky, Tremblay, et al. 2014)","manualFormatting":"(Gutowsky et al. 2014)","plainTextFormattedCitation":"(Gutowsky, Tremblay, et al. 2014)","previouslyFormattedCitation":"(Gutowsky, Tremblay, et al. 2014)"},"properties":{"noteIndex":0},"schema":"https://github.com/citation-style-language/schema/raw/master/csl-citation.json"}</w:instrText>
      </w:r>
      <w:r w:rsidR="00F51739" w:rsidRPr="009122B7">
        <w:rPr>
          <w:rFonts w:ascii="Palatino" w:eastAsia="Times New Roman" w:hAnsi="Palatino" w:cs="Times New Roman"/>
          <w:color w:val="000000" w:themeColor="text1"/>
          <w:sz w:val="22"/>
          <w:szCs w:val="22"/>
        </w:rPr>
        <w:fldChar w:fldCharType="separate"/>
      </w:r>
      <w:r w:rsidR="004B3EBA" w:rsidRPr="004B3EBA">
        <w:rPr>
          <w:rFonts w:ascii="Palatino" w:eastAsia="Times New Roman" w:hAnsi="Palatino" w:cs="Times New Roman"/>
          <w:noProof/>
          <w:color w:val="000000" w:themeColor="text1"/>
          <w:sz w:val="22"/>
          <w:szCs w:val="22"/>
        </w:rPr>
        <w:t>(Gutowsky et al. 2014)</w:t>
      </w:r>
      <w:r w:rsidR="00F51739" w:rsidRPr="009122B7">
        <w:rPr>
          <w:rFonts w:ascii="Palatino" w:eastAsia="Times New Roman" w:hAnsi="Palatino" w:cs="Times New Roman"/>
          <w:color w:val="000000" w:themeColor="text1"/>
          <w:sz w:val="22"/>
          <w:szCs w:val="22"/>
        </w:rPr>
        <w:fldChar w:fldCharType="end"/>
      </w:r>
      <w:r w:rsidR="00090650" w:rsidRPr="009122B7">
        <w:rPr>
          <w:rFonts w:ascii="Palatino" w:eastAsia="Times New Roman" w:hAnsi="Palatino" w:cs="Times New Roman"/>
          <w:color w:val="000000" w:themeColor="text1"/>
          <w:sz w:val="22"/>
          <w:szCs w:val="22"/>
        </w:rPr>
        <w:t>,</w:t>
      </w:r>
      <w:r w:rsidR="00F51739" w:rsidRPr="009122B7">
        <w:rPr>
          <w:rFonts w:ascii="Palatino" w:eastAsia="Times New Roman" w:hAnsi="Palatino" w:cs="Times New Roman"/>
          <w:color w:val="000000" w:themeColor="text1"/>
          <w:sz w:val="22"/>
          <w:szCs w:val="22"/>
        </w:rPr>
        <w:t xml:space="preserve"> sexes </w:t>
      </w:r>
      <w:r w:rsidR="00F51739" w:rsidRPr="009122B7">
        <w:rPr>
          <w:rFonts w:ascii="Palatino" w:eastAsia="Times New Roman" w:hAnsi="Palatino" w:cs="Times New Roman"/>
          <w:color w:val="000000" w:themeColor="text1"/>
          <w:sz w:val="22"/>
          <w:szCs w:val="22"/>
        </w:rPr>
        <w:fldChar w:fldCharType="begin" w:fldLock="1"/>
      </w:r>
      <w:r w:rsidR="00F51739" w:rsidRPr="009122B7">
        <w:rPr>
          <w:rFonts w:ascii="Palatino" w:eastAsia="Times New Roman" w:hAnsi="Palatino" w:cs="Times New Roman"/>
          <w:color w:val="000000" w:themeColor="text1"/>
          <w:sz w:val="22"/>
          <w:szCs w:val="22"/>
        </w:rPr>
        <w:instrText>ADDIN CSL_CITATION {"citationItems":[{"id":"ITEM-1","itemData":{"DOI":"https://doi.org/10.1016/S0065-2881(08)00002-3","ISBN":"0065-2881","abstract":"Sexual segregation occurs when members of a species separate such that the sexes live apart, either singly or in single</w:instrText>
      </w:r>
      <w:r w:rsidR="00F51739" w:rsidRPr="009122B7">
        <w:rPr>
          <w:rFonts w:ascii="Cambria Math" w:eastAsia="Times New Roman" w:hAnsi="Cambria Math" w:cs="Cambria Math"/>
          <w:color w:val="000000" w:themeColor="text1"/>
          <w:sz w:val="22"/>
          <w:szCs w:val="22"/>
        </w:rPr>
        <w:instrText>‐</w:instrText>
      </w:r>
      <w:r w:rsidR="00F51739" w:rsidRPr="009122B7">
        <w:rPr>
          <w:rFonts w:ascii="Palatino" w:eastAsia="Times New Roman" w:hAnsi="Palatino" w:cs="Times New Roman"/>
          <w:color w:val="000000" w:themeColor="text1"/>
          <w:sz w:val="22"/>
          <w:szCs w:val="22"/>
        </w:rPr>
        <w:instrText>sex groups. It can be broadly categorised into two types: habitat segregation and social segregation. Sexual segregation is a behavioural phenomenon that is widespread in the animal kingdom yet the underlying causes remain poorly understood. Sexual segregation has been widely studied among terrestrial mammals such as ungulates, but it has been less well documented in the marine environment. This chapter clarifies terms and concepts which have emerged from the investigation of sexual segregation in terrestrial ecology and examines how a similar methodological approach may be complicated by differences of marine species. Here we discuss the behavioural patterns of sexual segregation among marine fish, reptile, bird and mammal species. Five hypotheses have been forwarded to account for sexual segregation, largely emerging from investigation of sexual segregation in terrestrial ungulates: the predation risk, forage selection, activity budget, thermal niche–fecundity and social factors hypotheses. These mechanisms are reviewed following careful assessment of their applicability to marine vertebrate species and case studies of marine vertebrates which support each mechanism recounted. Rigorous testing of all hypotheses is lacking from both the terrestrial and marine vertebrate literature and those analyses which have been attempted are often confounded by factors such as sexual body</w:instrText>
      </w:r>
      <w:r w:rsidR="00F51739" w:rsidRPr="009122B7">
        <w:rPr>
          <w:rFonts w:ascii="Cambria Math" w:eastAsia="Times New Roman" w:hAnsi="Cambria Math" w:cs="Cambria Math"/>
          <w:color w:val="000000" w:themeColor="text1"/>
          <w:sz w:val="22"/>
          <w:szCs w:val="22"/>
        </w:rPr>
        <w:instrText>‐</w:instrText>
      </w:r>
      <w:r w:rsidR="00F51739" w:rsidRPr="009122B7">
        <w:rPr>
          <w:rFonts w:ascii="Palatino" w:eastAsia="Times New Roman" w:hAnsi="Palatino" w:cs="Times New Roman"/>
          <w:color w:val="000000" w:themeColor="text1"/>
          <w:sz w:val="22"/>
          <w:szCs w:val="22"/>
        </w:rPr>
        <w:instrText>size dimorphism. In this context, we indicate the value of studying model species which are monomorphic with respect to body size and discuss possible underlying causes for sexual segregation in this species. We also discuss why it is important to understand sexual segregation, for example, by illustrating how differential exploitation of the sexes by humans can lead to population decline.","author":[{"dropping-particle":"","family":"Wearmouth","given":"Victoria J","non-dropping-particle":"","parse-names":false,"suffix":""},{"dropping-particle":"","family":"Sims","given":"David W B T - Advances in Marine Biology","non-dropping-particle":"","parse-names":false,"suffix":""}],"id":"ITEM-1","issued":{"date-parts":[["2008"]]},"page":"107-170","publisher":"Academic Press","title":"Chapter 2 Sexual Segregation in Marine Fish, Reptiles, Birds and Mammals: Behaviour Patterns, Mechanisms and Conservation Implications","type":"chapter","volume":"54"},"uris":["http://www.mendeley.com/documents/?uuid=c534369e-00e3-4d04-9ba1-7cbd5be9aa3d"]}],"mendeley":{"formattedCitation":"(Wearmouth and Sims 2008)","plainTextFormattedCitation":"(Wearmouth and Sims 2008)","previouslyFormattedCitation":"(Wearmouth and Sims 2008)"},"properties":{"noteIndex":0},"schema":"https://github.com/citation-style-language/schema/raw/master/csl-citation.json"}</w:instrText>
      </w:r>
      <w:r w:rsidR="00F51739" w:rsidRPr="009122B7">
        <w:rPr>
          <w:rFonts w:ascii="Palatino" w:eastAsia="Times New Roman" w:hAnsi="Palatino" w:cs="Times New Roman"/>
          <w:color w:val="000000" w:themeColor="text1"/>
          <w:sz w:val="22"/>
          <w:szCs w:val="22"/>
        </w:rPr>
        <w:fldChar w:fldCharType="separate"/>
      </w:r>
      <w:r w:rsidR="00F51739" w:rsidRPr="009122B7">
        <w:rPr>
          <w:rFonts w:ascii="Palatino" w:eastAsia="Times New Roman" w:hAnsi="Palatino" w:cs="Times New Roman"/>
          <w:noProof/>
          <w:color w:val="000000" w:themeColor="text1"/>
          <w:sz w:val="22"/>
          <w:szCs w:val="22"/>
        </w:rPr>
        <w:t>(Wearmouth and Sims 2008)</w:t>
      </w:r>
      <w:r w:rsidR="00F51739" w:rsidRPr="009122B7">
        <w:rPr>
          <w:rFonts w:ascii="Palatino" w:eastAsia="Times New Roman" w:hAnsi="Palatino" w:cs="Times New Roman"/>
          <w:color w:val="000000" w:themeColor="text1"/>
          <w:sz w:val="22"/>
          <w:szCs w:val="22"/>
        </w:rPr>
        <w:fldChar w:fldCharType="end"/>
      </w:r>
      <w:r w:rsidR="00F51739" w:rsidRPr="009122B7">
        <w:rPr>
          <w:rFonts w:ascii="Palatino" w:eastAsia="Times New Roman" w:hAnsi="Palatino" w:cs="Times New Roman"/>
          <w:color w:val="000000" w:themeColor="text1"/>
          <w:sz w:val="22"/>
          <w:szCs w:val="22"/>
        </w:rPr>
        <w:t xml:space="preserve">, and individuals </w:t>
      </w:r>
      <w:r w:rsidR="00211A3E">
        <w:rPr>
          <w:rFonts w:ascii="Palatino" w:eastAsia="Times New Roman" w:hAnsi="Palatino" w:cs="Times New Roman"/>
          <w:color w:val="000000" w:themeColor="text1"/>
          <w:sz w:val="22"/>
          <w:szCs w:val="22"/>
        </w:rPr>
        <w:t xml:space="preserve">of different species </w:t>
      </w:r>
      <w:r w:rsidR="00F51739" w:rsidRPr="009122B7">
        <w:rPr>
          <w:rFonts w:ascii="Palatino" w:eastAsia="Times New Roman" w:hAnsi="Palatino" w:cs="Times New Roman"/>
          <w:color w:val="000000" w:themeColor="text1"/>
          <w:sz w:val="22"/>
          <w:szCs w:val="22"/>
        </w:rPr>
        <w:t xml:space="preserve">from unknown breeding locations </w:t>
      </w:r>
      <w:r w:rsidR="00BB5780">
        <w:rPr>
          <w:rFonts w:ascii="Palatino" w:eastAsia="Times New Roman" w:hAnsi="Palatino" w:cs="Times New Roman"/>
          <w:color w:val="000000" w:themeColor="text1"/>
          <w:sz w:val="22"/>
          <w:szCs w:val="22"/>
        </w:rPr>
        <w:fldChar w:fldCharType="begin" w:fldLock="1"/>
      </w:r>
      <w:r w:rsidR="00BB5780">
        <w:rPr>
          <w:rFonts w:ascii="Palatino" w:eastAsia="Times New Roman" w:hAnsi="Palatino" w:cs="Times New Roman"/>
          <w:color w:val="000000" w:themeColor="text1"/>
          <w:sz w:val="22"/>
          <w:szCs w:val="22"/>
        </w:rPr>
        <w:instrText>ADDIN CSL_CITATION {"citationItems":[{"id":"ITEM-1","itemData":{"DOI":"10.1016/j.biocon.2008.12.007","ISSN":"00063207","abstract":"We integrated satellite-tracking data from black-footed albatrosses (Phoebastria nigripes; n = 7) and Laysan albatrosses captured in Alaska (Phoebastria immutabilis; n = 18) with data on fishing effort and distribution from commercial fisheries in the North Pacific in order to assess potential risk from bycatch. Albatrosses were satellite-tagged at-sea in the Central Aleutian Islands, Alaska, and tracked during the post-breeding season, July-October 2005 and 2006. In Alaskan waters, fishing effort occurred almost exclusively within continental shelf and slope waters. Potential fishery interaction for black-footed albatrosses, which most often frequented shelf-slope waters, was greatest with sablefish (Anoplopoma fimbria) longline and pot fisheries and with the Pacific halibut (Hippoglossus stenolepsis) longline fishery. In contrast, Laysan albatrosses spent as much time over oceanic waters beyond the continental shelf and slope, thereby overlapping less with fisheries in Alaska than black-footed albatrosses. Regionally, Laysan albatrosses had the greatest potential fishery interaction with the Atka mackerel (Pleurogrammus monopterygius) trawl fishery in the Western Aleutian Islands and the sablefish pot fishery in the Central Aleutian Islands. Black-footed albatrosses ranged further beyond Alaskan waters than Laysan albatrosses, overlapping west coast Canada fisheries and pelagic longline fisheries in the subarctic transition domain; Laysan albatrosses remained north of these pelagic fisheries. Due to inter-specific differences in oceanic distribution and habitat use, the overlap of fisheries with the post-breeding distribution of black-footed albatrosses is greater than that for Laysan albatrosses, highlighting inter-specific differences in potential vulnerability to bycatch and risk of population-level impacts from fisheries. © 2008 Elsevier Ltd.","author":[{"dropping-particle":"","family":"Fischer","given":"Karen N.","non-dropping-particle":"","parse-names":false,"suffix":""},{"dropping-particle":"","family":"Suryan","given":"Robert M.","non-dropping-particle":"","parse-names":false,"suffix":""},{"dropping-particle":"","family":"Roby","given":"Daniel D.","non-dropping-particle":"","parse-names":false,"suffix":""},{"dropping-particle":"","family":"Balogh","given":"Gregory R.","non-dropping-particle":"","parse-names":false,"suffix":""}],"container-title":"Biological Conservation","id":"ITEM-1","issue":"4","issued":{"date-parts":[["2009"]]},"page":"751-760","publisher":"Elsevier Ltd","title":"Post-breeding season distribution of black-footed and Laysan albatrosses satellite-tagged in Alaska: Inter-specific differences in spatial overlap with North Pacific fisheries","type":"article-journal","volume":"142"},"uris":["http://www.mendeley.com/documents/?uuid=15704f3a-6a1c-495b-b9aa-d07f79378f43"]}],"mendeley":{"formattedCitation":"(Fischer et al. 2009)","plainTextFormattedCitation":"(Fischer et al. 2009)","previouslyFormattedCitation":"(Fischer et al. 2009)"},"properties":{"noteIndex":0},"schema":"https://github.com/citation-style-language/schema/raw/master/csl-citation.json"}</w:instrText>
      </w:r>
      <w:r w:rsidR="00BB5780">
        <w:rPr>
          <w:rFonts w:ascii="Palatino" w:eastAsia="Times New Roman" w:hAnsi="Palatino" w:cs="Times New Roman"/>
          <w:color w:val="000000" w:themeColor="text1"/>
          <w:sz w:val="22"/>
          <w:szCs w:val="22"/>
        </w:rPr>
        <w:fldChar w:fldCharType="separate"/>
      </w:r>
      <w:r w:rsidR="00BB5780" w:rsidRPr="00BB5780">
        <w:rPr>
          <w:rFonts w:ascii="Palatino" w:eastAsia="Times New Roman" w:hAnsi="Palatino" w:cs="Times New Roman"/>
          <w:noProof/>
          <w:color w:val="000000" w:themeColor="text1"/>
          <w:sz w:val="22"/>
          <w:szCs w:val="22"/>
        </w:rPr>
        <w:t>(Fischer et al. 2009)</w:t>
      </w:r>
      <w:r w:rsidR="00BB5780">
        <w:rPr>
          <w:rFonts w:ascii="Palatino" w:eastAsia="Times New Roman" w:hAnsi="Palatino" w:cs="Times New Roman"/>
          <w:color w:val="000000" w:themeColor="text1"/>
          <w:sz w:val="22"/>
          <w:szCs w:val="22"/>
        </w:rPr>
        <w:fldChar w:fldCharType="end"/>
      </w:r>
      <w:r w:rsidR="00BB5780">
        <w:rPr>
          <w:rFonts w:ascii="Palatino" w:eastAsia="Times New Roman" w:hAnsi="Palatino" w:cs="Times New Roman"/>
          <w:color w:val="000000" w:themeColor="text1"/>
          <w:sz w:val="22"/>
          <w:szCs w:val="22"/>
        </w:rPr>
        <w:t>.</w:t>
      </w:r>
      <w:r w:rsidR="00F51739" w:rsidRPr="009122B7">
        <w:rPr>
          <w:rFonts w:ascii="Palatino" w:eastAsia="Times New Roman" w:hAnsi="Palatino" w:cs="Times New Roman"/>
          <w:color w:val="000000" w:themeColor="text1"/>
          <w:sz w:val="22"/>
          <w:szCs w:val="22"/>
        </w:rPr>
        <w:t xml:space="preserve"> </w:t>
      </w:r>
      <w:r w:rsidR="00DB02CD" w:rsidRPr="009122B7">
        <w:rPr>
          <w:rFonts w:ascii="Palatino" w:eastAsia="Times New Roman" w:hAnsi="Palatino" w:cs="Times New Roman"/>
          <w:color w:val="000000" w:themeColor="text1"/>
          <w:sz w:val="22"/>
          <w:szCs w:val="22"/>
        </w:rPr>
        <w:t>The goal</w:t>
      </w:r>
      <w:r w:rsidR="00E651DC" w:rsidRPr="009122B7">
        <w:rPr>
          <w:rFonts w:ascii="Palatino" w:eastAsia="Times New Roman" w:hAnsi="Palatino" w:cs="Times New Roman"/>
          <w:color w:val="000000" w:themeColor="text1"/>
          <w:sz w:val="22"/>
          <w:szCs w:val="22"/>
        </w:rPr>
        <w:t xml:space="preserve"> and overall objective</w:t>
      </w:r>
      <w:r w:rsidR="00DB02CD" w:rsidRPr="009122B7">
        <w:rPr>
          <w:rFonts w:ascii="Palatino" w:eastAsia="Times New Roman" w:hAnsi="Palatino" w:cs="Times New Roman"/>
          <w:color w:val="000000" w:themeColor="text1"/>
          <w:sz w:val="22"/>
          <w:szCs w:val="22"/>
        </w:rPr>
        <w:t xml:space="preserve"> of this study is to </w:t>
      </w:r>
      <w:r w:rsidR="00957705">
        <w:rPr>
          <w:rFonts w:ascii="Palatino" w:eastAsia="Times New Roman" w:hAnsi="Palatino" w:cs="Times New Roman"/>
          <w:color w:val="000000" w:themeColor="text1"/>
          <w:sz w:val="22"/>
          <w:szCs w:val="22"/>
        </w:rPr>
        <w:t>use data from geolocation tags deployed over multiple years to compare the non-breeding distribution of</w:t>
      </w:r>
      <w:r w:rsidR="00DB02CD" w:rsidRPr="009122B7">
        <w:rPr>
          <w:rFonts w:ascii="Palatino" w:eastAsia="Times New Roman" w:hAnsi="Palatino" w:cs="Times New Roman"/>
          <w:color w:val="000000" w:themeColor="text1"/>
          <w:sz w:val="22"/>
          <w:szCs w:val="22"/>
        </w:rPr>
        <w:t xml:space="preserve"> LAAL and BFAL</w:t>
      </w:r>
      <w:r w:rsidR="00957705">
        <w:rPr>
          <w:rFonts w:ascii="Palatino" w:eastAsia="Times New Roman" w:hAnsi="Palatino" w:cs="Times New Roman"/>
          <w:color w:val="000000" w:themeColor="text1"/>
          <w:sz w:val="22"/>
          <w:szCs w:val="22"/>
        </w:rPr>
        <w:t xml:space="preserve"> within and </w:t>
      </w:r>
      <w:r w:rsidR="00752227">
        <w:rPr>
          <w:rFonts w:ascii="Palatino" w:eastAsia="Times New Roman" w:hAnsi="Palatino" w:cs="Times New Roman"/>
          <w:color w:val="000000" w:themeColor="text1"/>
          <w:sz w:val="22"/>
          <w:szCs w:val="22"/>
        </w:rPr>
        <w:t>between years</w:t>
      </w:r>
      <w:r w:rsidR="00DB02CD" w:rsidRPr="009122B7">
        <w:rPr>
          <w:rFonts w:ascii="Palatino" w:eastAsia="Times New Roman" w:hAnsi="Palatino" w:cs="Times New Roman"/>
          <w:color w:val="000000" w:themeColor="text1"/>
          <w:sz w:val="22"/>
          <w:szCs w:val="22"/>
        </w:rPr>
        <w:t>. My</w:t>
      </w:r>
      <w:r w:rsidR="00A94D33" w:rsidRPr="009122B7">
        <w:rPr>
          <w:rFonts w:ascii="Palatino" w:hAnsi="Palatino"/>
          <w:sz w:val="22"/>
          <w:szCs w:val="22"/>
        </w:rPr>
        <w:t xml:space="preserve"> long-term </w:t>
      </w:r>
      <w:r w:rsidR="00DB02CD" w:rsidRPr="009122B7">
        <w:rPr>
          <w:rFonts w:ascii="Palatino" w:hAnsi="Palatino"/>
          <w:sz w:val="22"/>
          <w:szCs w:val="22"/>
        </w:rPr>
        <w:t xml:space="preserve">goal is to </w:t>
      </w:r>
      <w:r w:rsidR="00F27B5E" w:rsidRPr="009122B7">
        <w:rPr>
          <w:rFonts w:ascii="Palatino" w:hAnsi="Palatino"/>
          <w:sz w:val="22"/>
          <w:szCs w:val="22"/>
        </w:rPr>
        <w:t xml:space="preserve">further our understanding of what influences where these albatrosses forage during the </w:t>
      </w:r>
      <w:r w:rsidR="001F640A">
        <w:rPr>
          <w:rFonts w:ascii="Palatino" w:hAnsi="Palatino"/>
          <w:sz w:val="22"/>
          <w:szCs w:val="22"/>
        </w:rPr>
        <w:t>non</w:t>
      </w:r>
      <w:r w:rsidR="00F27B5E" w:rsidRPr="009122B7">
        <w:rPr>
          <w:rFonts w:ascii="Palatino" w:hAnsi="Palatino"/>
          <w:sz w:val="22"/>
          <w:szCs w:val="22"/>
        </w:rPr>
        <w:t>-breeding season</w:t>
      </w:r>
      <w:r w:rsidR="00027A58" w:rsidRPr="009122B7">
        <w:rPr>
          <w:rFonts w:ascii="Palatino" w:hAnsi="Palatino"/>
          <w:sz w:val="22"/>
          <w:szCs w:val="22"/>
        </w:rPr>
        <w:t xml:space="preserve"> in order to better inform our conservation </w:t>
      </w:r>
      <w:r w:rsidR="009C11C2">
        <w:rPr>
          <w:rFonts w:ascii="Palatino" w:hAnsi="Palatino"/>
          <w:sz w:val="22"/>
          <w:szCs w:val="22"/>
        </w:rPr>
        <w:t>efforts</w:t>
      </w:r>
      <w:r w:rsidR="009C11C2" w:rsidRPr="009122B7">
        <w:rPr>
          <w:rFonts w:ascii="Palatino" w:hAnsi="Palatino"/>
          <w:sz w:val="22"/>
          <w:szCs w:val="22"/>
        </w:rPr>
        <w:t xml:space="preserve"> </w:t>
      </w:r>
      <w:r w:rsidR="00027A58" w:rsidRPr="009122B7">
        <w:rPr>
          <w:rFonts w:ascii="Palatino" w:hAnsi="Palatino"/>
          <w:sz w:val="22"/>
          <w:szCs w:val="22"/>
        </w:rPr>
        <w:t xml:space="preserve">for these species. </w:t>
      </w:r>
    </w:p>
    <w:p w14:paraId="65A63DD7" w14:textId="77777777" w:rsidR="00CD29F2" w:rsidRDefault="00CD29F2" w:rsidP="006854DD">
      <w:pPr>
        <w:tabs>
          <w:tab w:val="right" w:pos="9360"/>
        </w:tabs>
        <w:rPr>
          <w:rFonts w:ascii="Palatino" w:hAnsi="Palatino"/>
          <w:b/>
          <w:bCs/>
          <w:sz w:val="28"/>
          <w:szCs w:val="28"/>
        </w:rPr>
      </w:pPr>
    </w:p>
    <w:p w14:paraId="6BB3F119" w14:textId="12230C94" w:rsidR="006854DD" w:rsidRPr="00AD74AF" w:rsidRDefault="006854DD" w:rsidP="006854DD">
      <w:pPr>
        <w:tabs>
          <w:tab w:val="right" w:pos="9360"/>
        </w:tabs>
        <w:rPr>
          <w:rFonts w:ascii="Palatino" w:hAnsi="Palatino"/>
          <w:b/>
          <w:bCs/>
          <w:sz w:val="28"/>
          <w:szCs w:val="28"/>
        </w:rPr>
      </w:pPr>
      <w:r w:rsidRPr="00AD74AF">
        <w:rPr>
          <w:rFonts w:ascii="Palatino" w:hAnsi="Palatino"/>
          <w:b/>
          <w:bCs/>
          <w:sz w:val="28"/>
          <w:szCs w:val="28"/>
        </w:rPr>
        <w:t>Background</w:t>
      </w:r>
    </w:p>
    <w:p w14:paraId="71354577" w14:textId="1964CF9E" w:rsidR="006854DD" w:rsidRDefault="006854DD" w:rsidP="006854DD">
      <w:pPr>
        <w:tabs>
          <w:tab w:val="right" w:pos="9360"/>
        </w:tabs>
        <w:rPr>
          <w:rFonts w:ascii="Palatino" w:hAnsi="Palatino"/>
          <w:b/>
          <w:bCs/>
        </w:rPr>
      </w:pPr>
    </w:p>
    <w:p w14:paraId="4B7DB2BF" w14:textId="59A6F4C1" w:rsidR="00651EBB" w:rsidRDefault="00651EBB" w:rsidP="006854DD">
      <w:pPr>
        <w:tabs>
          <w:tab w:val="right" w:pos="9360"/>
        </w:tabs>
        <w:rPr>
          <w:rFonts w:ascii="Palatino" w:hAnsi="Palatino"/>
          <w:i/>
          <w:iCs/>
        </w:rPr>
      </w:pPr>
      <w:r w:rsidRPr="00651EBB">
        <w:rPr>
          <w:rFonts w:ascii="Palatino" w:hAnsi="Palatino"/>
          <w:i/>
          <w:iCs/>
        </w:rPr>
        <w:t>Breeding phenology</w:t>
      </w:r>
      <w:r w:rsidR="006D5E11">
        <w:rPr>
          <w:rFonts w:ascii="Palatino" w:hAnsi="Palatino"/>
          <w:i/>
          <w:iCs/>
        </w:rPr>
        <w:t xml:space="preserve"> and annual cycle</w:t>
      </w:r>
    </w:p>
    <w:p w14:paraId="3D5C52C8" w14:textId="19E08CFD" w:rsidR="00651EBB" w:rsidRDefault="00651EBB" w:rsidP="006854DD">
      <w:pPr>
        <w:tabs>
          <w:tab w:val="right" w:pos="9360"/>
        </w:tabs>
        <w:rPr>
          <w:rFonts w:ascii="Palatino" w:hAnsi="Palatino"/>
          <w:i/>
          <w:iCs/>
        </w:rPr>
      </w:pPr>
    </w:p>
    <w:p w14:paraId="7C01B8C1" w14:textId="1CB8B139" w:rsidR="00651EBB" w:rsidRPr="009122B7" w:rsidRDefault="00651EBB" w:rsidP="006854DD">
      <w:pPr>
        <w:tabs>
          <w:tab w:val="right" w:pos="9360"/>
        </w:tabs>
        <w:rPr>
          <w:rFonts w:ascii="Palatino" w:hAnsi="Palatino"/>
          <w:sz w:val="22"/>
          <w:szCs w:val="22"/>
        </w:rPr>
      </w:pPr>
      <w:r w:rsidRPr="009122B7">
        <w:rPr>
          <w:rFonts w:ascii="Palatino" w:hAnsi="Palatino"/>
          <w:sz w:val="22"/>
          <w:szCs w:val="22"/>
        </w:rPr>
        <w:t>Laysan and Black-footed albatrosses</w:t>
      </w:r>
      <w:r w:rsidR="00653C76" w:rsidRPr="009122B7">
        <w:rPr>
          <w:rFonts w:ascii="Palatino" w:hAnsi="Palatino"/>
          <w:sz w:val="22"/>
          <w:szCs w:val="22"/>
        </w:rPr>
        <w:t xml:space="preserve"> are distributed throughout the North Pacific Ocean and nest on tropical and sub-tropical islands from Mexico to Japan</w:t>
      </w:r>
      <w:r w:rsidR="006B3B2D">
        <w:rPr>
          <w:rFonts w:ascii="Palatino" w:hAnsi="Palatino"/>
          <w:sz w:val="22"/>
          <w:szCs w:val="22"/>
        </w:rPr>
        <w:t>, though the vast majority nest in the Northwest Hawaiian Islands (Arata et al. 2009)</w:t>
      </w:r>
      <w:r w:rsidR="005834E9" w:rsidRPr="009122B7">
        <w:rPr>
          <w:rFonts w:ascii="Palatino" w:hAnsi="Palatino"/>
          <w:sz w:val="22"/>
          <w:szCs w:val="22"/>
        </w:rPr>
        <w:t xml:space="preserve">. </w:t>
      </w:r>
      <w:r w:rsidR="00394EC7" w:rsidRPr="009122B7">
        <w:rPr>
          <w:rFonts w:ascii="Palatino" w:hAnsi="Palatino"/>
          <w:sz w:val="22"/>
          <w:szCs w:val="22"/>
        </w:rPr>
        <w:t xml:space="preserve">Both species have well-defined and consistent breeding cycles, initiating courtship and nesting in mid-November and subsequently </w:t>
      </w:r>
      <w:r w:rsidR="00367875" w:rsidRPr="009122B7">
        <w:rPr>
          <w:rFonts w:ascii="Palatino" w:hAnsi="Palatino"/>
          <w:sz w:val="22"/>
          <w:szCs w:val="22"/>
        </w:rPr>
        <w:t>incubating their eggs (incubation</w:t>
      </w:r>
      <w:r w:rsidR="00F1043B" w:rsidRPr="009122B7">
        <w:rPr>
          <w:rFonts w:ascii="Palatino" w:hAnsi="Palatino"/>
          <w:sz w:val="22"/>
          <w:szCs w:val="22"/>
        </w:rPr>
        <w:t>, approximately 50 days</w:t>
      </w:r>
      <w:r w:rsidR="00367875" w:rsidRPr="009122B7">
        <w:rPr>
          <w:rFonts w:ascii="Palatino" w:hAnsi="Palatino"/>
          <w:sz w:val="22"/>
          <w:szCs w:val="22"/>
        </w:rPr>
        <w:t>), then brooding their young after hatch (brooding or guard phase</w:t>
      </w:r>
      <w:r w:rsidR="00F1043B" w:rsidRPr="009122B7">
        <w:rPr>
          <w:rFonts w:ascii="Palatino" w:hAnsi="Palatino"/>
          <w:sz w:val="22"/>
          <w:szCs w:val="22"/>
        </w:rPr>
        <w:t>, approximately one month</w:t>
      </w:r>
      <w:r w:rsidR="00367875" w:rsidRPr="009122B7">
        <w:rPr>
          <w:rFonts w:ascii="Palatino" w:hAnsi="Palatino"/>
          <w:sz w:val="22"/>
          <w:szCs w:val="22"/>
        </w:rPr>
        <w:t xml:space="preserve">), and finally </w:t>
      </w:r>
      <w:r w:rsidR="00394EC7" w:rsidRPr="009122B7">
        <w:rPr>
          <w:rFonts w:ascii="Palatino" w:hAnsi="Palatino"/>
          <w:sz w:val="22"/>
          <w:szCs w:val="22"/>
        </w:rPr>
        <w:t xml:space="preserve">rearing chicks for </w:t>
      </w:r>
      <w:r w:rsidR="00394EC7" w:rsidRPr="009122B7">
        <w:rPr>
          <w:rFonts w:ascii="Palatino" w:hAnsi="Palatino"/>
          <w:sz w:val="22"/>
          <w:szCs w:val="22"/>
        </w:rPr>
        <w:lastRenderedPageBreak/>
        <w:t xml:space="preserve">several months until chicks fledge </w:t>
      </w:r>
      <w:r w:rsidR="00367875" w:rsidRPr="009122B7">
        <w:rPr>
          <w:rFonts w:ascii="Palatino" w:hAnsi="Palatino"/>
          <w:sz w:val="22"/>
          <w:szCs w:val="22"/>
        </w:rPr>
        <w:t>(rearing</w:t>
      </w:r>
      <w:r w:rsidR="00F1043B" w:rsidRPr="009122B7">
        <w:rPr>
          <w:rFonts w:ascii="Palatino" w:hAnsi="Palatino"/>
          <w:sz w:val="22"/>
          <w:szCs w:val="22"/>
        </w:rPr>
        <w:t>, during which the adult only returns to land to feed the chicks</w:t>
      </w:r>
      <w:r w:rsidR="00E2351E" w:rsidRPr="009122B7">
        <w:rPr>
          <w:rFonts w:ascii="Palatino" w:hAnsi="Palatino"/>
          <w:sz w:val="22"/>
          <w:szCs w:val="22"/>
        </w:rPr>
        <w:t>)</w:t>
      </w:r>
      <w:r w:rsidR="00367875" w:rsidRPr="009122B7">
        <w:rPr>
          <w:rFonts w:ascii="Palatino" w:hAnsi="Palatino"/>
          <w:sz w:val="22"/>
          <w:szCs w:val="22"/>
        </w:rPr>
        <w:t xml:space="preserve"> </w:t>
      </w:r>
      <w:r w:rsidR="00394EC7" w:rsidRPr="009122B7">
        <w:rPr>
          <w:rFonts w:ascii="Palatino" w:hAnsi="Palatino"/>
          <w:sz w:val="22"/>
          <w:szCs w:val="22"/>
        </w:rPr>
        <w:t>(</w:t>
      </w:r>
      <w:r w:rsidR="00831A1F">
        <w:rPr>
          <w:rFonts w:ascii="Palatino" w:hAnsi="Palatino"/>
          <w:sz w:val="22"/>
          <w:szCs w:val="22"/>
        </w:rPr>
        <w:t xml:space="preserve">approximate </w:t>
      </w:r>
      <w:r w:rsidR="00F1043B" w:rsidRPr="009122B7">
        <w:rPr>
          <w:rFonts w:ascii="Palatino" w:hAnsi="Palatino"/>
          <w:sz w:val="22"/>
          <w:szCs w:val="22"/>
        </w:rPr>
        <w:t xml:space="preserve">total </w:t>
      </w:r>
      <w:r w:rsidR="00394EC7" w:rsidRPr="009122B7">
        <w:rPr>
          <w:rFonts w:ascii="Palatino" w:hAnsi="Palatino"/>
          <w:i/>
          <w:iCs/>
          <w:sz w:val="22"/>
          <w:szCs w:val="22"/>
        </w:rPr>
        <w:t>t</w:t>
      </w:r>
      <w:r w:rsidR="00394EC7" w:rsidRPr="009122B7">
        <w:rPr>
          <w:rFonts w:ascii="Palatino" w:hAnsi="Palatino"/>
          <w:sz w:val="22"/>
          <w:szCs w:val="22"/>
        </w:rPr>
        <w:t xml:space="preserve"> = 165 days for LAAL; </w:t>
      </w:r>
      <w:r w:rsidR="00394EC7" w:rsidRPr="009122B7">
        <w:rPr>
          <w:rFonts w:ascii="Palatino" w:hAnsi="Palatino"/>
          <w:i/>
          <w:iCs/>
          <w:sz w:val="22"/>
          <w:szCs w:val="22"/>
        </w:rPr>
        <w:t>t</w:t>
      </w:r>
      <w:r w:rsidR="00394EC7" w:rsidRPr="009122B7">
        <w:rPr>
          <w:rFonts w:ascii="Palatino" w:hAnsi="Palatino"/>
          <w:sz w:val="22"/>
          <w:szCs w:val="22"/>
        </w:rPr>
        <w:t xml:space="preserve"> = 150 days for BFAL). After this </w:t>
      </w:r>
      <w:r w:rsidR="005834E9" w:rsidRPr="009122B7">
        <w:rPr>
          <w:rFonts w:ascii="Palatino" w:hAnsi="Palatino"/>
          <w:sz w:val="22"/>
          <w:szCs w:val="22"/>
        </w:rPr>
        <w:t xml:space="preserve">breeding </w:t>
      </w:r>
      <w:r w:rsidR="00394EC7" w:rsidRPr="009122B7">
        <w:rPr>
          <w:rFonts w:ascii="Palatino" w:hAnsi="Palatino"/>
          <w:sz w:val="22"/>
          <w:szCs w:val="22"/>
        </w:rPr>
        <w:t xml:space="preserve">period, </w:t>
      </w:r>
      <w:r w:rsidR="005834E9" w:rsidRPr="009122B7">
        <w:rPr>
          <w:rFonts w:ascii="Palatino" w:hAnsi="Palatino"/>
          <w:sz w:val="22"/>
          <w:szCs w:val="22"/>
        </w:rPr>
        <w:t xml:space="preserve">fledglings </w:t>
      </w:r>
      <w:r w:rsidR="00394EC7" w:rsidRPr="009122B7">
        <w:rPr>
          <w:rFonts w:ascii="Palatino" w:hAnsi="Palatino"/>
          <w:sz w:val="22"/>
          <w:szCs w:val="22"/>
        </w:rPr>
        <w:t xml:space="preserve">and adults leave the breeding sites and </w:t>
      </w:r>
      <w:r w:rsidR="009F25DC" w:rsidRPr="009122B7">
        <w:rPr>
          <w:rFonts w:ascii="Palatino" w:hAnsi="Palatino"/>
          <w:sz w:val="22"/>
          <w:szCs w:val="22"/>
        </w:rPr>
        <w:t>forage from late-July to late-October</w:t>
      </w:r>
      <w:r w:rsidR="005834E9" w:rsidRPr="009122B7">
        <w:rPr>
          <w:rFonts w:ascii="Palatino" w:hAnsi="Palatino"/>
          <w:sz w:val="22"/>
          <w:szCs w:val="22"/>
        </w:rPr>
        <w:t xml:space="preserve"> (</w:t>
      </w:r>
      <w:r w:rsidR="001F640A">
        <w:rPr>
          <w:rFonts w:ascii="Palatino" w:hAnsi="Palatino"/>
          <w:sz w:val="22"/>
          <w:szCs w:val="22"/>
        </w:rPr>
        <w:t>non</w:t>
      </w:r>
      <w:r w:rsidR="005834E9" w:rsidRPr="009122B7">
        <w:rPr>
          <w:rFonts w:ascii="Palatino" w:hAnsi="Palatino"/>
          <w:sz w:val="22"/>
          <w:szCs w:val="22"/>
        </w:rPr>
        <w:t xml:space="preserve">-breeding phase). During this time, </w:t>
      </w:r>
      <w:r w:rsidR="006B3B2D">
        <w:rPr>
          <w:rFonts w:ascii="Palatino" w:hAnsi="Palatino"/>
          <w:sz w:val="22"/>
          <w:szCs w:val="22"/>
        </w:rPr>
        <w:t>birds range widely while foraging in</w:t>
      </w:r>
      <w:r w:rsidR="00D82C96" w:rsidRPr="009122B7">
        <w:rPr>
          <w:rFonts w:ascii="Palatino" w:hAnsi="Palatino"/>
          <w:sz w:val="22"/>
          <w:szCs w:val="22"/>
        </w:rPr>
        <w:t xml:space="preserve"> productive waters</w:t>
      </w:r>
      <w:r w:rsidR="005834E9" w:rsidRPr="009122B7">
        <w:rPr>
          <w:rFonts w:ascii="Palatino" w:hAnsi="Palatino"/>
          <w:sz w:val="22"/>
          <w:szCs w:val="22"/>
        </w:rPr>
        <w:t xml:space="preserve"> and </w:t>
      </w:r>
      <w:r w:rsidR="006B3B2D">
        <w:rPr>
          <w:rFonts w:ascii="Palatino" w:hAnsi="Palatino"/>
          <w:sz w:val="22"/>
          <w:szCs w:val="22"/>
        </w:rPr>
        <w:t>molt their feathers</w:t>
      </w:r>
      <w:r w:rsidR="005834E9" w:rsidRPr="009122B7">
        <w:rPr>
          <w:rFonts w:ascii="Palatino" w:hAnsi="Palatino"/>
          <w:sz w:val="22"/>
          <w:szCs w:val="22"/>
        </w:rPr>
        <w:t xml:space="preserve"> before breeding adults return to </w:t>
      </w:r>
      <w:r w:rsidR="006B3B2D">
        <w:rPr>
          <w:rFonts w:ascii="Palatino" w:hAnsi="Palatino"/>
          <w:sz w:val="22"/>
          <w:szCs w:val="22"/>
        </w:rPr>
        <w:t>breeding colonies</w:t>
      </w:r>
      <w:r w:rsidR="005834E9" w:rsidRPr="009122B7">
        <w:rPr>
          <w:rFonts w:ascii="Palatino" w:hAnsi="Palatino"/>
          <w:sz w:val="22"/>
          <w:szCs w:val="22"/>
        </w:rPr>
        <w:t xml:space="preserve"> in late-October (annually for Laysan albatrosses; possibly semi-annually for Black-footed albatrosses)</w:t>
      </w:r>
      <w:r w:rsidR="009F25DC" w:rsidRPr="009122B7">
        <w:rPr>
          <w:rFonts w:ascii="Palatino" w:hAnsi="Palatino"/>
          <w:sz w:val="22"/>
          <w:szCs w:val="22"/>
        </w:rPr>
        <w:t xml:space="preserve"> </w:t>
      </w:r>
      <w:r w:rsidR="005834E9" w:rsidRPr="009122B7">
        <w:rPr>
          <w:rFonts w:ascii="Palatino" w:hAnsi="Palatino"/>
          <w:sz w:val="22"/>
          <w:szCs w:val="22"/>
        </w:rPr>
        <w:fldChar w:fldCharType="begin" w:fldLock="1"/>
      </w:r>
      <w:r w:rsidR="00B24C3C" w:rsidRPr="009122B7">
        <w:rPr>
          <w:rFonts w:ascii="Palatino" w:hAnsi="Palatino"/>
          <w:sz w:val="22"/>
          <w:szCs w:val="22"/>
        </w:rPr>
        <w:instrText>ADDIN CSL_CITATION {"citationItems":[{"id":"ITEM-1","itemData":{"author":[{"dropping-particle":"","family":"Arata, J.A., Sievert, P.R., and Naughton","given":"M.B.","non-dropping-particle":"","parse-names":false,"suffix":""}],"id":"ITEM-1","issued":{"date-parts":[["2009"]]},"page":"1923-2005","title":"Status Assessment of Laysan and Black-Footed Albatrosses , North Pacific Ocean , 1923 – 2005 Scientific Investigations Report 2009-5131","type":"article-journal"},"uris":["http://www.mendeley.com/documents/?uuid=fac83855-2b37-3d13-b71d-4c417f8cc95b"]}],"mendeley":{"formattedCitation":"(Arata, J.A., Sievert, P.R., and Naughton 2009)","manualFormatting":"(Arata, Sievert, and Naughton 2009)","plainTextFormattedCitation":"(Arata, J.A., Sievert, P.R., and Naughton 2009)","previouslyFormattedCitation":"(Arata, J.A., Sievert, P.R., and Naughton 2009)"},"properties":{"noteIndex":0},"schema":"https://github.com/citation-style-language/schema/raw/master/csl-citation.json"}</w:instrText>
      </w:r>
      <w:r w:rsidR="005834E9" w:rsidRPr="009122B7">
        <w:rPr>
          <w:rFonts w:ascii="Palatino" w:hAnsi="Palatino"/>
          <w:sz w:val="22"/>
          <w:szCs w:val="22"/>
        </w:rPr>
        <w:fldChar w:fldCharType="separate"/>
      </w:r>
      <w:r w:rsidR="005834E9" w:rsidRPr="009122B7">
        <w:rPr>
          <w:rFonts w:ascii="Palatino" w:hAnsi="Palatino"/>
          <w:noProof/>
          <w:sz w:val="22"/>
          <w:szCs w:val="22"/>
        </w:rPr>
        <w:t>(Arata, Sievert, and Naughton 2009)</w:t>
      </w:r>
      <w:r w:rsidR="005834E9" w:rsidRPr="009122B7">
        <w:rPr>
          <w:rFonts w:ascii="Palatino" w:hAnsi="Palatino"/>
          <w:sz w:val="22"/>
          <w:szCs w:val="22"/>
        </w:rPr>
        <w:fldChar w:fldCharType="end"/>
      </w:r>
      <w:r w:rsidR="005834E9" w:rsidRPr="009122B7">
        <w:rPr>
          <w:rFonts w:ascii="Palatino" w:hAnsi="Palatino"/>
          <w:sz w:val="22"/>
          <w:szCs w:val="22"/>
        </w:rPr>
        <w:t>.</w:t>
      </w:r>
    </w:p>
    <w:p w14:paraId="55C5B9CB" w14:textId="1D757258" w:rsidR="004663F7" w:rsidRDefault="004663F7" w:rsidP="006854DD">
      <w:pPr>
        <w:tabs>
          <w:tab w:val="right" w:pos="9360"/>
        </w:tabs>
        <w:rPr>
          <w:rFonts w:ascii="Palatino" w:hAnsi="Palatino"/>
        </w:rPr>
      </w:pPr>
    </w:p>
    <w:p w14:paraId="343B0AAD" w14:textId="77DB956E" w:rsidR="004663F7" w:rsidRPr="004663F7" w:rsidRDefault="001F5787" w:rsidP="004663F7">
      <w:pPr>
        <w:tabs>
          <w:tab w:val="right" w:pos="9360"/>
        </w:tabs>
        <w:rPr>
          <w:rFonts w:ascii="Palatino" w:hAnsi="Palatino"/>
          <w:i/>
          <w:iCs/>
        </w:rPr>
      </w:pPr>
      <w:r>
        <w:rPr>
          <w:rFonts w:ascii="Palatino" w:hAnsi="Palatino"/>
          <w:i/>
          <w:iCs/>
        </w:rPr>
        <w:t>Light level geolocators</w:t>
      </w:r>
    </w:p>
    <w:p w14:paraId="58155A39" w14:textId="77777777" w:rsidR="004663F7" w:rsidRDefault="004663F7" w:rsidP="004663F7">
      <w:pPr>
        <w:tabs>
          <w:tab w:val="right" w:pos="9360"/>
        </w:tabs>
        <w:rPr>
          <w:rFonts w:ascii="Palatino" w:hAnsi="Palatino" w:cs="Times New Roman"/>
        </w:rPr>
      </w:pPr>
    </w:p>
    <w:p w14:paraId="3DB06C64" w14:textId="5F38A678" w:rsidR="004663F7" w:rsidRPr="009122B7" w:rsidRDefault="004663F7" w:rsidP="006854DD">
      <w:pPr>
        <w:tabs>
          <w:tab w:val="right" w:pos="9360"/>
        </w:tabs>
        <w:rPr>
          <w:rFonts w:ascii="Palatino" w:hAnsi="Palatino"/>
          <w:sz w:val="22"/>
          <w:szCs w:val="22"/>
        </w:rPr>
      </w:pPr>
      <w:r w:rsidRPr="009122B7">
        <w:rPr>
          <w:rFonts w:ascii="Palatino" w:hAnsi="Palatino" w:cs="Times New Roman"/>
          <w:sz w:val="22"/>
          <w:szCs w:val="22"/>
        </w:rPr>
        <w:t xml:space="preserve">Tagging and tracking methods are </w:t>
      </w:r>
      <w:r w:rsidR="00837657">
        <w:rPr>
          <w:rFonts w:ascii="Palatino" w:hAnsi="Palatino" w:cs="Times New Roman"/>
          <w:sz w:val="22"/>
          <w:szCs w:val="22"/>
        </w:rPr>
        <w:t>important tools used</w:t>
      </w:r>
      <w:r w:rsidRPr="009122B7">
        <w:rPr>
          <w:rFonts w:ascii="Palatino" w:hAnsi="Palatino" w:cs="Times New Roman"/>
          <w:sz w:val="22"/>
          <w:szCs w:val="22"/>
        </w:rPr>
        <w:t xml:space="preserve"> to study </w:t>
      </w:r>
      <w:r w:rsidR="00837657">
        <w:rPr>
          <w:rFonts w:ascii="Palatino" w:hAnsi="Palatino" w:cs="Times New Roman"/>
          <w:sz w:val="22"/>
          <w:szCs w:val="22"/>
        </w:rPr>
        <w:t xml:space="preserve">the </w:t>
      </w:r>
      <w:r w:rsidRPr="009122B7">
        <w:rPr>
          <w:rFonts w:ascii="Palatino" w:hAnsi="Palatino" w:cs="Times New Roman"/>
          <w:sz w:val="22"/>
          <w:szCs w:val="22"/>
        </w:rPr>
        <w:t>behavioral and foraging patterns of vagile s</w:t>
      </w:r>
      <w:r w:rsidR="00837657">
        <w:rPr>
          <w:rFonts w:ascii="Palatino" w:hAnsi="Palatino" w:cs="Times New Roman"/>
          <w:sz w:val="22"/>
          <w:szCs w:val="22"/>
        </w:rPr>
        <w:t xml:space="preserve">eabird species </w:t>
      </w:r>
      <w:r w:rsidR="004B3EBA">
        <w:rPr>
          <w:rFonts w:ascii="Palatino" w:hAnsi="Palatino" w:cs="Times New Roman"/>
          <w:sz w:val="22"/>
          <w:szCs w:val="22"/>
        </w:rPr>
        <w:fldChar w:fldCharType="begin" w:fldLock="1"/>
      </w:r>
      <w:r w:rsidR="00911286">
        <w:rPr>
          <w:rFonts w:ascii="Palatino" w:hAnsi="Palatino" w:cs="Times New Roman"/>
          <w:sz w:val="22"/>
          <w:szCs w:val="22"/>
        </w:rPr>
        <w:instrText>ADDIN CSL_CITATION {"citationItems":[{"id":"ITEM-1","itemData":{"DOI":"10.1525/auk.2008.1408","ISSN":"0004-8038","abstract":"Seabirds are the most conspicuous and mobile of all pelagic marine organisms. Because most species breed colonially, researchers can study statistically large samples with relative ease. These attributes have long made seabirds valuable for interpreting conditions in the surrounding oceans (Furness and Camphuysen 1997, Boyd et al. 2006, Piatt et al. 2007). Until recently, such studies were usually based on data obtained at breeding colonies or from vessels, but in the past two decades, advances in electronic technology have greatly changed the way we study seabirds, providing unprecedented insights into their locomotion, physiology, foraging behavior, migration, demographics, and exposure to anthropogenic risks at sea. In oceans that are rapidly changing as a result of human activities and global climate change, this information from tagged birds is timely and essential for developing conservation and management strategies for such wide-ranging organisms. In addition, seabirds are increasingly being viewed as tools for oceanography and climatology—capable of providing essential physical and biological information on the sea itself. Here, we highlight some of the exciting new techniques and data that are emerging, discuss some current and future applications, illustrate the roles that seabirds might play in monitoring this watery planet, and discuss the application of new technology in the conservation and management of seabirds. We focus here on La Grangian approaches, concerned with a sequence of data values at points occupied by an individual organism (Schneider 199994), in contrast to studies of populations or communities made at colonies or from vessels or aircraft.","author":[{"dropping-particle":"","family":"Burger","given":"Alan E.","non-dropping-particle":"","parse-names":false,"suffix":""},{"dropping-particle":"","family":"Shaffer","given":"Scott A.","non-dropping-particle":"","parse-names":false,"suffix":""}],"container-title":"The Auk","id":"ITEM-1","issue":"2","issued":{"date-parts":[["2008","4","1"]]},"page":"253-264","publisher":"Oxford University Press (OUP)","title":"Application of Tracking and Data-Logging Technology in Research and Conservation of Seabirds","type":"article-journal","volume":"125"},"uris":["http://www.mendeley.com/documents/?uuid=10e002a6-7578-352e-abae-6048d87cb5f0"]},{"id":"ITEM-2","itemData":{"DOI":"10.3354/meps08203","ISSN":"0171-8630","abstract":"Colonial seabirds are relatively easy to observe, count, measure and manipulate, and consequently have long been used as models for testing ecological hypotheses. A combination of animal tracking and satellite imagery has the potential to greatly inform such efforts, by allowing seabird-environment interactions to be observed remotely. We review how this can be achieved by applying innovative statistical techniques to quantify habitat use and preferences. Seabird movements are now observable at scales of meters using GPS loggers, and up to several years using lightbased geolocation, while satellite remote sensing systems, at resolutions of km, are capable of characterizing the millions of km2 of habitat that are accessible to seabirds. Physical forcing and biological processes result in a hierarchical, patchy distribution of prey. Hence, analyses of seabird movements should be conducted at appropriate scales. Variation in habitat accessibility should also be considered: this declines with distance from the colony during the breeding season, when seabirds are central place foragers, and may be limited in the nonbreeding period by migration corridors that are defined by wind patterns. Intraspecific competition can further modify spatial usage, leading to spatial segregation of birds foraging from different colonies. We recommend that spatial usage be modeled as a function of habitat preference, accessibility and, potentially, competition. At the population level, this is currently best achieved using an empirical approach (e.g. using mixed-effects generalized additive models). At the individual level, more mechanistic models (e.g. state-space models) are more appropriate and have the advantage of modeling location errors explicitly.","author":[{"dropping-particle":"","family":"Wakefield","given":"ED","non-dropping-particle":"","parse-names":false,"suffix":""},{"dropping-particle":"","family":"Phillips","given":"RA","non-dropping-particle":"","parse-names":false,"suffix":""},{"dropping-particle":"","family":"Matthiopoulos","given":"J","non-dropping-particle":"","parse-names":false,"suffix":""}],"container-title":"Marine Ecology Progress Series","id":"ITEM-2","issued":{"date-parts":[["2009","9","28"]]},"page":"165-182","title":"Quantifying habitat use and preferences of pelagic seabirds using individual movement data: a review","type":"article-journal","volume":"391"},"uris":["http://www.mendeley.com/documents/?uuid=64b3f7b8-809f-34e2-ab8f-55a52014c9f8"]},{"id":"ITEM-3","itemData":{"DOI":"10.3354/meps228241","ISSN":"0171-8630","abstract":"We examined how seabirds might be used to study marine environmental variables, which necessitates knowing location and the value of the variable to be studied. Five systems can potentially be used for determination of location: VHF (Very High Frequency) telemetry, PTT (Platform Terminal Transmitters) telemetry, GLS (Global Location Service) geolocation methods, dead reckoning and GPS (Global Positioning System), each with its own advantages with respect to accuracy, potential number of fixes and size. Temperature and light were used to illustrate potential difficulties in recording environmental variables. Systems currently used on seabirds for measurement of temperature respond slowly to environmental changes; thus, they may not measure sea surface temperature adequately when contact periods with water bodies are too short. Light can be easily measured for light extinction studies, but sensor orientation plays a large role in determining recorded values. Both problems can be corrected. The foraging behaviour of seabirds was also examined in order to identify those features which would be useful for determination of marine environmental variables at a variety of spatial and temporal scales. Area coverage by birds is highly dependent on breeding phase and tends to be concentrated in areas where prey acquisition is particularly enhanced. The identification of these sites may be of particular interest to marine biologists. 'Plungers' and 'divers' are potentially most useful for assessment of variables deeper within the water column, with some divers spending up to 90% of their time sub-surface. Few seabirds exploit the water column deeper than 20 m, although some divers regularly exceed 50 m (primarily penguins and auks), while 2 species dive in excess of 300 m. The wide-ranging behaviour of seabirds coupled, in many instances, with their substantial body size makes them potentially excellent carriers of sophisticated environmental measuring technology; however, the ethical question of how much the well-being of birds can, and should, be compromised by such an approach needs to be carefully considered.","author":[{"dropping-particle":"","family":"Wilson","given":"R P","non-dropping-particle":"","parse-names":false,"suffix":""},{"dropping-particle":"","family":"Grémillet","given":"D","non-dropping-particle":"","parse-names":false,"suffix":""},{"dropping-particle":"","family":"Syder","given":"J","non-dropping-particle":"","parse-names":false,"suffix":""},{"dropping-particle":"","family":"Kierspel","given":"MAM","non-dropping-particle":"","parse-names":false,"suffix":""},{"dropping-particle":"","family":"Garthe","given":"S","non-dropping-particle":"","parse-names":false,"suffix":""},{"dropping-particle":"","family":"Weimerskirch","given":"H","non-dropping-particle":"","parse-names":false,"suffix":""},{"dropping-particle":"","family":"Schäfer-Neth","given":"C","non-dropping-particle":"","parse-names":false,"suffix":""},{"dropping-particle":"","family":"Scolaro","given":"JA","non-dropping-particle":"","parse-names":false,"suffix":""},{"dropping-particle":"","family":"Bost","given":"CA","non-dropping-particle":"","parse-names":false,"suffix":""},{"dropping-particle":"","family":"Plötz","given":"J","non-dropping-particle":"","parse-names":false,"suffix":""},{"dropping-particle":"","family":"Nel","given":"D","non-dropping-particle":"","parse-names":false,"suffix":""}],"container-title":"Marine Ecology Progress Series","id":"ITEM-3","issued":{"date-parts":[["2002","3","6"]]},"page":"241-261","publisher":"Inter-Research","title":"Remote-sensing systems and seabirds: their use, abuse and potential for measuring marine environmental variables","type":"article-journal","volume":"228"},"uris":["http://www.mendeley.com/documents/?uuid=292b8f42-d7d6-3e74-a7ef-870edd220b3a"]},{"id":"ITEM-4","itemData":{"DOI":"10.2307/3677067","ISSN":"09088857","abstract":"A miniature foot-attached water temperature logger for deployment on large seabirds is described. This unit was tested on 5 breeding Wandering Albatrosses and indicated flight or resting on water behaviours with a resolution to within a few seconds. Device-fitted birds were also equipped with satellite transmitters for determination of position. Combination of data on water temperature from the logger together with position from the transmitter enabled us to examine sea surface temperatures in the albatross foraging areas.","author":[{"dropping-particle":"","family":"Wilson","given":"Rory P.","non-dropping-particle":"","parse-names":false,"suffix":""},{"dropping-particle":"","family":"Weimerskirch","given":"Henri","non-dropping-particle":"","parse-names":false,"suffix":""},{"dropping-particle":"","family":"Lys","given":"Patrice","non-dropping-particle":"","parse-names":false,"suffix":""}],"container-title":"Journal of Avian Biology","id":"ITEM-4","issue":"2","issued":{"date-parts":[["1995","6"]]},"page":"172","publisher":"JSTOR","title":"A Device for Measuring Seabird Activity at Sea","type":"article-journal","volume":"26"},"uris":["http://www.mendeley.com/documents/?uuid=15731298-a3e0-34a5-8487-931840fcca1e"]}],"mendeley":{"formattedCitation":"(Burger and Shaffer 2008; Wakefield, Phillips, and Matthiopoulos 2009; R P Wilson et al. 2002; Rory P. Wilson, Weimerskirch, and Lys 1995)","manualFormatting":"(Burger and Shaffer 2008; Wakefield et al. 2009; Wilson et al. 2002; Wilson, Weimerskirch, and Lys 1995)","plainTextFormattedCitation":"(Burger and Shaffer 2008; Wakefield, Phillips, and Matthiopoulos 2009; R P Wilson et al. 2002; Rory P. Wilson, Weimerskirch, and Lys 1995)","previouslyFormattedCitation":"(Burger and Shaffer 2008; Wakefield, Phillips, and Matthiopoulos 2009; R P Wilson et al. 2002; Rory P. Wilson, Weimerskirch, and Lys 1995)"},"properties":{"noteIndex":0},"schema":"https://github.com/citation-style-language/schema/raw/master/csl-citation.json"}</w:instrText>
      </w:r>
      <w:r w:rsidR="004B3EBA">
        <w:rPr>
          <w:rFonts w:ascii="Palatino" w:hAnsi="Palatino" w:cs="Times New Roman"/>
          <w:sz w:val="22"/>
          <w:szCs w:val="22"/>
        </w:rPr>
        <w:fldChar w:fldCharType="separate"/>
      </w:r>
      <w:r w:rsidR="004B3EBA" w:rsidRPr="004B3EBA">
        <w:rPr>
          <w:rFonts w:ascii="Palatino" w:hAnsi="Palatino" w:cs="Times New Roman"/>
          <w:noProof/>
          <w:sz w:val="22"/>
          <w:szCs w:val="22"/>
        </w:rPr>
        <w:t>(Burger and Shaffer 2008; Wakefield</w:t>
      </w:r>
      <w:r w:rsidR="004B3EBA">
        <w:rPr>
          <w:rFonts w:ascii="Palatino" w:hAnsi="Palatino" w:cs="Times New Roman"/>
          <w:noProof/>
          <w:sz w:val="22"/>
          <w:szCs w:val="22"/>
        </w:rPr>
        <w:t xml:space="preserve"> et al.</w:t>
      </w:r>
      <w:r w:rsidR="004B3EBA" w:rsidRPr="004B3EBA">
        <w:rPr>
          <w:rFonts w:ascii="Palatino" w:hAnsi="Palatino" w:cs="Times New Roman"/>
          <w:noProof/>
          <w:sz w:val="22"/>
          <w:szCs w:val="22"/>
        </w:rPr>
        <w:t xml:space="preserve"> 2009; Wilson et al. 2002; Wilson, Weimerskirch, and Lys 1995)</w:t>
      </w:r>
      <w:r w:rsidR="004B3EBA">
        <w:rPr>
          <w:rFonts w:ascii="Palatino" w:hAnsi="Palatino" w:cs="Times New Roman"/>
          <w:sz w:val="22"/>
          <w:szCs w:val="22"/>
        </w:rPr>
        <w:fldChar w:fldCharType="end"/>
      </w:r>
      <w:r w:rsidR="005D58C4">
        <w:rPr>
          <w:rFonts w:ascii="Palatino" w:hAnsi="Palatino" w:cs="Times New Roman"/>
          <w:sz w:val="22"/>
          <w:szCs w:val="22"/>
        </w:rPr>
        <w:t xml:space="preserve">. </w:t>
      </w:r>
      <w:r w:rsidRPr="009122B7">
        <w:rPr>
          <w:rFonts w:ascii="Palatino" w:hAnsi="Palatino"/>
          <w:sz w:val="22"/>
          <w:szCs w:val="22"/>
        </w:rPr>
        <w:t xml:space="preserve">While satellite telemetry and other active sensing methods are frequently used to track and analyze </w:t>
      </w:r>
      <w:r w:rsidR="00837657">
        <w:rPr>
          <w:rFonts w:ascii="Palatino" w:hAnsi="Palatino"/>
          <w:sz w:val="22"/>
          <w:szCs w:val="22"/>
        </w:rPr>
        <w:t>the movements of highly mobile species</w:t>
      </w:r>
      <w:r w:rsidRPr="009122B7">
        <w:rPr>
          <w:rFonts w:ascii="Palatino" w:hAnsi="Palatino"/>
          <w:sz w:val="22"/>
          <w:szCs w:val="22"/>
        </w:rPr>
        <w:t>, these devices are often large, costly,</w:t>
      </w:r>
      <w:r w:rsidR="00752227">
        <w:rPr>
          <w:rFonts w:ascii="Palatino" w:hAnsi="Palatino"/>
          <w:sz w:val="22"/>
          <w:szCs w:val="22"/>
        </w:rPr>
        <w:t xml:space="preserve"> </w:t>
      </w:r>
      <w:r w:rsidR="00BD0FB8">
        <w:rPr>
          <w:rFonts w:ascii="Palatino" w:hAnsi="Palatino"/>
          <w:sz w:val="22"/>
          <w:szCs w:val="22"/>
        </w:rPr>
        <w:t>may</w:t>
      </w:r>
      <w:r w:rsidRPr="009122B7">
        <w:rPr>
          <w:rFonts w:ascii="Palatino" w:hAnsi="Palatino"/>
          <w:sz w:val="22"/>
          <w:szCs w:val="22"/>
        </w:rPr>
        <w:t xml:space="preserve"> have limited batteries, and collect data over a limited time frame. The development of light level geolocators (also called global location sensors, or GLS</w:t>
      </w:r>
      <w:r w:rsidR="00837657">
        <w:rPr>
          <w:rFonts w:ascii="Palatino" w:hAnsi="Palatino"/>
          <w:sz w:val="22"/>
          <w:szCs w:val="22"/>
        </w:rPr>
        <w:t xml:space="preserve"> tags</w:t>
      </w:r>
      <w:r w:rsidRPr="009122B7">
        <w:rPr>
          <w:rFonts w:ascii="Palatino" w:hAnsi="Palatino"/>
          <w:sz w:val="22"/>
          <w:szCs w:val="22"/>
        </w:rPr>
        <w:t xml:space="preserve">) in the 1990s and subsequent advancements in miniaturization </w:t>
      </w:r>
      <w:r w:rsidR="00837657">
        <w:rPr>
          <w:rFonts w:ascii="Palatino" w:hAnsi="Palatino"/>
          <w:sz w:val="22"/>
          <w:szCs w:val="22"/>
        </w:rPr>
        <w:t>during</w:t>
      </w:r>
      <w:r w:rsidR="00837657" w:rsidRPr="009122B7">
        <w:rPr>
          <w:rFonts w:ascii="Palatino" w:hAnsi="Palatino"/>
          <w:sz w:val="22"/>
          <w:szCs w:val="22"/>
        </w:rPr>
        <w:t xml:space="preserve"> </w:t>
      </w:r>
      <w:r w:rsidRPr="009122B7">
        <w:rPr>
          <w:rFonts w:ascii="Palatino" w:hAnsi="Palatino"/>
          <w:sz w:val="22"/>
          <w:szCs w:val="22"/>
        </w:rPr>
        <w:t>the following decade have allowed for passive remote data collection and the ability to study animal behaviors that were previously unobservable</w:t>
      </w:r>
      <w:r w:rsidR="00955ABE">
        <w:rPr>
          <w:rFonts w:ascii="Palatino" w:hAnsi="Palatino"/>
          <w:sz w:val="22"/>
          <w:szCs w:val="22"/>
        </w:rPr>
        <w:t xml:space="preserve"> </w:t>
      </w:r>
      <w:r w:rsidR="00911286">
        <w:rPr>
          <w:rFonts w:ascii="Palatino" w:hAnsi="Palatino"/>
          <w:sz w:val="22"/>
          <w:szCs w:val="22"/>
        </w:rPr>
        <w:fldChar w:fldCharType="begin" w:fldLock="1"/>
      </w:r>
      <w:r w:rsidR="00A7501E">
        <w:rPr>
          <w:rFonts w:ascii="Palatino" w:hAnsi="Palatino"/>
          <w:sz w:val="22"/>
          <w:szCs w:val="22"/>
        </w:rPr>
        <w:instrText>ADDIN CSL_CITATION {"citationItems":[{"id":"ITEM-1","itemData":{"abstract":"To date, position and movement of small objects (e.g. drifter buoys, migrating animals) have been determined using radio or satellite telemetry. While the range achieved by radiotelemetry is restricted, satellite telemetry offers worldwide coverage. The satellite transmitters, however, are relatively large, heavy and expensive. Furthermore, users have to pay high costs for the reception and processing of their data by satellite and ground stations. There is thus a need for a small, cheap, animal-attached system that can be used to determine animal position (e.g. Hunter et al. 1986, Smith &amp; Goodman 1986), which functions over relatively long periods and gives global coverage. We have developed such a unit which enables calculation of animal position by recording changes in the ambient light intensity as a function of real time: the light intensity impinging on particular places on the earth's surface depends primarily on the time of year, time of day and the locality. The recorder is recovered at the end of a specified period, and two fixes per 24-h period are calculated from the stored data. The unit (the global location sensor, GLS) does not achieve the high accuracy of radio or satellite telemetry, but is accurate to approximately 150 km and is adequate for the study of migratory animals such as albatrosses or polar bears, which can cover large distances and which are absent for several months. Costs are about $200 (US) per GLS (approximately one-tenth the price of a satellite transmitter) and no additional expenses are incurred for data acquisition or processing as in satellite tracking (currently at about $600 (US) per month).","author":[{"dropping-particle":"","family":"Wilson","given":"R P","non-dropping-particle":"","parse-names":false,"suffix":""},{"dropping-particle":"","family":"Ducamp","given":"J J","non-dropping-particle":"","parse-names":false,"suffix":""},{"dropping-particle":"","family":"Rees","given":"W G","non-dropping-particle":"","parse-names":false,"suffix":""},{"dropping-particle":"","family":"Culik","given":"B M","non-dropping-particle":"","parse-names":false,"suffix":""},{"dropping-particle":"","family":"Niekamp","given":"K","non-dropping-particle":"","parse-names":false,"suffix":""}],"container-title":"Wildlife telemetry: remote monitoring and tracking of animals","id":"ITEM-1","issue":"December 2015","issued":{"date-parts":[["1992"]]},"page":"131-134","publisher":"Ellis Horwood","title":"Estimation of location: global coverage using light intensity","type":"article-journal"},"uris":["http://www.mendeley.com/documents/?uuid=18460afe-f9ca-3091-9cc0-3f5bab136824"]},{"id":"ITEM-2","itemData":{"DOI":"10.3354/meps266265","ISSN":"0171-8630","abstract":"Geolocation (Global Location Sensing or GLS logging) using archival light-recording tags offers considerable potential for tracking animal movements, yet few studies of flying seabirds have exploited this technology. Our study evaluated its effectiveness for determining foraging ranges of black-browed albatrosses Thalassarche melanophrys fitted simultaneously with GLS loggers and satellite-transmitters (Platform Terminal Transmitters, PTTs). After some preliminary validation, the position of an albatross could be determined by geolocation with a mean error ± SD of 186 ± 114 km (SDs of 1.66° and 1.82° of latitude and longitude, respectively). Errors from identical static loggers were lower (mean ± SD of 85 ± 47 km, with overall SDs of 0.61° and 0.99° of latitude and longitude, respectively) and less variable, with the difference attributable to variation in sensor orientation, intermittent shading by plumage, and the difficulty of correcting for extensive, potentially non-linear movements of flying birds. Iterative smoothing reduced both the mean error and the inflation of kernel ranges derived from GLS data, but over-smoothing contracted the extremes of the range. This reduced the overlap with radial cores apparent in the control data, and should be avoided for multinuclear GLS fix distributions. The accuracy of GLS tags is more than adequate for tracking migration and breeding-season foraging ranges of pelagic species, and for identifying broad-scale habitat preferences, overlap and potential conflict with commercial fisheries.","author":[{"dropping-particle":"","family":"Phillips","given":"RA","non-dropping-particle":"","parse-names":false,"suffix":""},{"dropping-particle":"","family":"Silk","given":"JRD","non-dropping-particle":"","parse-names":false,"suffix":""},{"dropping-particle":"","family":"Croxall","given":"JP","non-dropping-particle":"","parse-names":false,"suffix":""},{"dropping-particle":"","family":"Afanasyev","given":"V","non-dropping-particle":"","parse-names":false,"suffix":""},{"dropping-particle":"","family":"Briggs","given":"DR","non-dropping-particle":"","parse-names":false,"suffix":""}],"container-title":"Marine Ecology Progress Series","id":"ITEM-2","issued":{"date-parts":[["2004","1","30"]]},"page":"265-272","publisher":"Inter-Research","title":"Accuracy of geolocation estimates for flying seabirds","type":"article-journal","volume":"266"},"uris":["http://www.mendeley.com/documents/?uuid=4212a5f8-2c9e-35a5-b326-9bed4e6c49e8"]}],"mendeley":{"formattedCitation":"(R P Wilson et al. 1992; Phillips et al. 2004)","manualFormatting":"(Wilson et al. 1992; Phillips et al. 2004)","plainTextFormattedCitation":"(R P Wilson et al. 1992; Phillips et al. 2004)","previouslyFormattedCitation":"(R P Wilson et al. 1992; Phillips et al. 2004)"},"properties":{"noteIndex":0},"schema":"https://github.com/citation-style-language/schema/raw/master/csl-citation.json"}</w:instrText>
      </w:r>
      <w:r w:rsidR="00911286">
        <w:rPr>
          <w:rFonts w:ascii="Palatino" w:hAnsi="Palatino"/>
          <w:sz w:val="22"/>
          <w:szCs w:val="22"/>
        </w:rPr>
        <w:fldChar w:fldCharType="separate"/>
      </w:r>
      <w:r w:rsidR="00911286" w:rsidRPr="00911286">
        <w:rPr>
          <w:rFonts w:ascii="Palatino" w:hAnsi="Palatino"/>
          <w:noProof/>
          <w:sz w:val="22"/>
          <w:szCs w:val="22"/>
        </w:rPr>
        <w:t>(Wilson et al. 1992; Phillips et al. 2004)</w:t>
      </w:r>
      <w:r w:rsidR="00911286">
        <w:rPr>
          <w:rFonts w:ascii="Palatino" w:hAnsi="Palatino"/>
          <w:sz w:val="22"/>
          <w:szCs w:val="22"/>
        </w:rPr>
        <w:fldChar w:fldCharType="end"/>
      </w:r>
      <w:r w:rsidR="00911286">
        <w:rPr>
          <w:rFonts w:ascii="Palatino" w:hAnsi="Palatino"/>
          <w:sz w:val="22"/>
          <w:szCs w:val="22"/>
        </w:rPr>
        <w:t>.</w:t>
      </w:r>
      <w:r w:rsidRPr="009122B7">
        <w:rPr>
          <w:rFonts w:ascii="Palatino" w:hAnsi="Palatino"/>
          <w:sz w:val="22"/>
          <w:szCs w:val="22"/>
        </w:rPr>
        <w:t xml:space="preserve"> </w:t>
      </w:r>
      <w:r w:rsidR="00752F6A">
        <w:rPr>
          <w:rFonts w:ascii="Palatino" w:eastAsia="Times New Roman" w:hAnsi="Palatino" w:cs="Times New Roman"/>
          <w:color w:val="000000" w:themeColor="text1"/>
          <w:sz w:val="22"/>
          <w:szCs w:val="22"/>
        </w:rPr>
        <w:t>L</w:t>
      </w:r>
      <w:r w:rsidR="00591DDC" w:rsidRPr="009F2954">
        <w:rPr>
          <w:rFonts w:ascii="Palatino" w:eastAsia="Times New Roman" w:hAnsi="Palatino" w:cs="Times New Roman"/>
          <w:color w:val="000000" w:themeColor="text1"/>
          <w:sz w:val="22"/>
          <w:szCs w:val="22"/>
        </w:rPr>
        <w:t>ight</w:t>
      </w:r>
      <w:r w:rsidR="00A82C48">
        <w:rPr>
          <w:rFonts w:ascii="Palatino" w:eastAsia="Times New Roman" w:hAnsi="Palatino" w:cs="Times New Roman"/>
          <w:color w:val="000000" w:themeColor="text1"/>
          <w:sz w:val="22"/>
          <w:szCs w:val="22"/>
        </w:rPr>
        <w:t xml:space="preserve"> </w:t>
      </w:r>
      <w:r w:rsidR="00591DDC" w:rsidRPr="009F2954">
        <w:rPr>
          <w:rFonts w:ascii="Palatino" w:eastAsia="Times New Roman" w:hAnsi="Palatino" w:cs="Times New Roman"/>
          <w:color w:val="000000" w:themeColor="text1"/>
          <w:sz w:val="22"/>
          <w:szCs w:val="22"/>
        </w:rPr>
        <w:t>level geolocators record</w:t>
      </w:r>
      <w:r w:rsidR="00752F6A">
        <w:rPr>
          <w:rFonts w:ascii="Palatino" w:eastAsia="Times New Roman" w:hAnsi="Palatino" w:cs="Times New Roman"/>
          <w:color w:val="000000" w:themeColor="text1"/>
          <w:sz w:val="22"/>
          <w:szCs w:val="22"/>
        </w:rPr>
        <w:t xml:space="preserve"> </w:t>
      </w:r>
      <w:r w:rsidR="00591DDC" w:rsidRPr="009F2954">
        <w:rPr>
          <w:rFonts w:ascii="Palatino" w:eastAsia="Times New Roman" w:hAnsi="Palatino" w:cs="Times New Roman"/>
          <w:color w:val="000000" w:themeColor="text1"/>
          <w:sz w:val="22"/>
          <w:szCs w:val="22"/>
        </w:rPr>
        <w:t>light intensities and time.</w:t>
      </w:r>
      <w:r w:rsidR="00EA71C0">
        <w:rPr>
          <w:rFonts w:ascii="Palatino" w:eastAsia="Times New Roman" w:hAnsi="Palatino" w:cs="Times New Roman"/>
          <w:color w:val="000000" w:themeColor="text1"/>
          <w:sz w:val="22"/>
          <w:szCs w:val="22"/>
        </w:rPr>
        <w:t xml:space="preserve"> Data on level of light intensity</w:t>
      </w:r>
      <w:r w:rsidR="009A56B1">
        <w:rPr>
          <w:rFonts w:ascii="Palatino" w:eastAsia="Times New Roman" w:hAnsi="Palatino" w:cs="Times New Roman"/>
          <w:color w:val="000000" w:themeColor="text1"/>
          <w:sz w:val="22"/>
          <w:szCs w:val="22"/>
        </w:rPr>
        <w:t xml:space="preserve"> </w:t>
      </w:r>
      <w:r w:rsidR="00EA71C0">
        <w:rPr>
          <w:rFonts w:ascii="Palatino" w:eastAsia="Times New Roman" w:hAnsi="Palatino" w:cs="Times New Roman"/>
          <w:color w:val="000000" w:themeColor="text1"/>
          <w:sz w:val="22"/>
          <w:szCs w:val="22"/>
        </w:rPr>
        <w:t>and the corresponding time allows detection of “twilight events” (sunrise/sunset)</w:t>
      </w:r>
      <w:r w:rsidR="009A56B1">
        <w:rPr>
          <w:rFonts w:ascii="Palatino" w:eastAsia="Times New Roman" w:hAnsi="Palatino" w:cs="Times New Roman"/>
          <w:color w:val="000000" w:themeColor="text1"/>
          <w:sz w:val="22"/>
          <w:szCs w:val="22"/>
        </w:rPr>
        <w:t xml:space="preserve"> as well as the</w:t>
      </w:r>
      <w:r w:rsidR="00EA71C0">
        <w:rPr>
          <w:rFonts w:ascii="Palatino" w:eastAsia="Times New Roman" w:hAnsi="Palatino" w:cs="Times New Roman"/>
          <w:color w:val="000000" w:themeColor="text1"/>
          <w:sz w:val="22"/>
          <w:szCs w:val="22"/>
        </w:rPr>
        <w:t xml:space="preserve"> duration of these events. Time of twilight events and date is used to calculate longitude, while the time between and duration of twilight events are used to calculate latitude</w:t>
      </w:r>
      <w:r w:rsidR="00591DDC" w:rsidRPr="003F5F52">
        <w:rPr>
          <w:rFonts w:ascii="Palatino" w:eastAsia="Times New Roman" w:hAnsi="Palatino" w:cs="Times New Roman"/>
          <w:color w:val="000000" w:themeColor="text1"/>
          <w:sz w:val="22"/>
          <w:szCs w:val="22"/>
        </w:rPr>
        <w:t>. In</w:t>
      </w:r>
      <w:r w:rsidR="00591DDC">
        <w:rPr>
          <w:rFonts w:ascii="Palatino" w:eastAsia="Times New Roman" w:hAnsi="Palatino" w:cs="Times New Roman"/>
          <w:color w:val="000000" w:themeColor="text1"/>
          <w:sz w:val="22"/>
          <w:szCs w:val="22"/>
        </w:rPr>
        <w:t xml:space="preserve"> contrast to active sensors such as satellite telemetry tags, which constantly transmit a signal, light</w:t>
      </w:r>
      <w:r w:rsidR="009A56B1">
        <w:rPr>
          <w:rFonts w:ascii="Palatino" w:eastAsia="Times New Roman" w:hAnsi="Palatino" w:cs="Times New Roman"/>
          <w:color w:val="000000" w:themeColor="text1"/>
          <w:sz w:val="22"/>
          <w:szCs w:val="22"/>
        </w:rPr>
        <w:t xml:space="preserve"> </w:t>
      </w:r>
      <w:r w:rsidR="00591DDC">
        <w:rPr>
          <w:rFonts w:ascii="Palatino" w:eastAsia="Times New Roman" w:hAnsi="Palatino" w:cs="Times New Roman"/>
          <w:color w:val="000000" w:themeColor="text1"/>
          <w:sz w:val="22"/>
          <w:szCs w:val="22"/>
        </w:rPr>
        <w:t>level geolocators</w:t>
      </w:r>
      <w:r w:rsidR="00837657">
        <w:rPr>
          <w:rFonts w:ascii="Palatino" w:eastAsia="Times New Roman" w:hAnsi="Palatino" w:cs="Times New Roman"/>
          <w:color w:val="000000" w:themeColor="text1"/>
          <w:sz w:val="22"/>
          <w:szCs w:val="22"/>
        </w:rPr>
        <w:t>, hereafter GLS tags,</w:t>
      </w:r>
      <w:r w:rsidR="00591DDC">
        <w:rPr>
          <w:rFonts w:ascii="Palatino" w:eastAsia="Times New Roman" w:hAnsi="Palatino" w:cs="Times New Roman"/>
          <w:color w:val="000000" w:themeColor="text1"/>
          <w:sz w:val="22"/>
          <w:szCs w:val="22"/>
        </w:rPr>
        <w:t xml:space="preserve"> collect data passively and consume small amounts of battery to record data. Thus, they have a markedly long lifespan. </w:t>
      </w:r>
      <w:r w:rsidRPr="009122B7">
        <w:rPr>
          <w:rFonts w:ascii="Palatino" w:hAnsi="Palatino"/>
          <w:sz w:val="22"/>
          <w:szCs w:val="22"/>
        </w:rPr>
        <w:t xml:space="preserve">These devices have been of particular benefit to marine ornithology and the study of pelagic birds such as BFAL and LAAL, which return to land </w:t>
      </w:r>
      <w:r w:rsidR="006A2ED4">
        <w:rPr>
          <w:rFonts w:ascii="Palatino" w:hAnsi="Palatino"/>
          <w:sz w:val="22"/>
          <w:szCs w:val="22"/>
        </w:rPr>
        <w:t xml:space="preserve">only </w:t>
      </w:r>
      <w:r w:rsidRPr="009122B7">
        <w:rPr>
          <w:rFonts w:ascii="Palatino" w:hAnsi="Palatino"/>
          <w:sz w:val="22"/>
          <w:szCs w:val="22"/>
        </w:rPr>
        <w:t xml:space="preserve">to breed. Laysan and Black-footed albatrosses, like most seabirds, show high levels of </w:t>
      </w:r>
      <w:r w:rsidR="0044207C" w:rsidRPr="009122B7">
        <w:rPr>
          <w:rFonts w:ascii="Palatino" w:hAnsi="Palatino"/>
          <w:sz w:val="22"/>
          <w:szCs w:val="22"/>
        </w:rPr>
        <w:t>nesting</w:t>
      </w:r>
      <w:r w:rsidRPr="009122B7">
        <w:rPr>
          <w:rFonts w:ascii="Palatino" w:hAnsi="Palatino"/>
          <w:sz w:val="22"/>
          <w:szCs w:val="22"/>
        </w:rPr>
        <w:t xml:space="preserve"> site fidelity, returning annually to the same locations to breed. By deploying </w:t>
      </w:r>
      <w:r w:rsidR="00837657">
        <w:rPr>
          <w:rFonts w:ascii="Palatino" w:hAnsi="Palatino"/>
          <w:sz w:val="22"/>
          <w:szCs w:val="22"/>
        </w:rPr>
        <w:t>GLS tags</w:t>
      </w:r>
      <w:r w:rsidRPr="009122B7">
        <w:rPr>
          <w:rFonts w:ascii="Palatino" w:hAnsi="Palatino"/>
          <w:sz w:val="22"/>
          <w:szCs w:val="22"/>
        </w:rPr>
        <w:t xml:space="preserve"> during the breeding </w:t>
      </w:r>
      <w:r w:rsidR="0044207C" w:rsidRPr="009122B7">
        <w:rPr>
          <w:rFonts w:ascii="Palatino" w:hAnsi="Palatino"/>
          <w:sz w:val="22"/>
          <w:szCs w:val="22"/>
        </w:rPr>
        <w:t>phase</w:t>
      </w:r>
      <w:r w:rsidRPr="009122B7">
        <w:rPr>
          <w:rFonts w:ascii="Palatino" w:hAnsi="Palatino"/>
          <w:sz w:val="22"/>
          <w:szCs w:val="22"/>
        </w:rPr>
        <w:t xml:space="preserve"> and retrieving the data loggers when individuals return the following season, it is possible to obtain a long time-series of location data from the </w:t>
      </w:r>
      <w:r w:rsidR="001F640A">
        <w:rPr>
          <w:rFonts w:ascii="Palatino" w:hAnsi="Palatino"/>
          <w:sz w:val="22"/>
          <w:szCs w:val="22"/>
        </w:rPr>
        <w:t>non</w:t>
      </w:r>
      <w:r w:rsidRPr="009122B7">
        <w:rPr>
          <w:rFonts w:ascii="Palatino" w:hAnsi="Palatino"/>
          <w:sz w:val="22"/>
          <w:szCs w:val="22"/>
        </w:rPr>
        <w:t xml:space="preserve">-breeding period of LAAL and BFAL’s annual cycle when they are away from land. </w:t>
      </w:r>
    </w:p>
    <w:p w14:paraId="5D4D482E" w14:textId="78D6E98B" w:rsidR="00F4107D" w:rsidRDefault="00F4107D" w:rsidP="006854DD">
      <w:pPr>
        <w:tabs>
          <w:tab w:val="right" w:pos="9360"/>
        </w:tabs>
        <w:rPr>
          <w:rFonts w:ascii="Palatino" w:hAnsi="Palatino"/>
        </w:rPr>
      </w:pPr>
    </w:p>
    <w:p w14:paraId="67CA7BB8" w14:textId="159305B0" w:rsidR="00F4107D" w:rsidRDefault="00F4107D" w:rsidP="006854DD">
      <w:pPr>
        <w:tabs>
          <w:tab w:val="right" w:pos="9360"/>
        </w:tabs>
        <w:rPr>
          <w:rFonts w:ascii="Palatino" w:hAnsi="Palatino"/>
        </w:rPr>
      </w:pPr>
      <w:r>
        <w:rPr>
          <w:rFonts w:ascii="Palatino" w:hAnsi="Palatino"/>
          <w:i/>
          <w:iCs/>
        </w:rPr>
        <w:t>Constraints of central place foraging</w:t>
      </w:r>
    </w:p>
    <w:p w14:paraId="444DEC95" w14:textId="7C79DA14" w:rsidR="00F4107D" w:rsidRDefault="00F4107D" w:rsidP="006854DD">
      <w:pPr>
        <w:tabs>
          <w:tab w:val="right" w:pos="9360"/>
        </w:tabs>
        <w:rPr>
          <w:rFonts w:ascii="Palatino" w:hAnsi="Palatino"/>
        </w:rPr>
      </w:pPr>
    </w:p>
    <w:p w14:paraId="69B03C2E" w14:textId="3DDD72B8" w:rsidR="00F4107D" w:rsidRPr="009122B7" w:rsidRDefault="00F051D3" w:rsidP="006854DD">
      <w:pPr>
        <w:tabs>
          <w:tab w:val="right" w:pos="9360"/>
        </w:tabs>
        <w:rPr>
          <w:rFonts w:ascii="Palatino" w:hAnsi="Palatino"/>
          <w:sz w:val="22"/>
          <w:szCs w:val="22"/>
        </w:rPr>
      </w:pPr>
      <w:r w:rsidRPr="009122B7">
        <w:rPr>
          <w:rFonts w:ascii="Palatino" w:eastAsia="Times New Roman" w:hAnsi="Palatino" w:cs="Times New Roman"/>
          <w:color w:val="000000" w:themeColor="text1"/>
          <w:sz w:val="22"/>
          <w:szCs w:val="22"/>
        </w:rPr>
        <w:t xml:space="preserve">For most </w:t>
      </w:r>
      <w:r w:rsidR="00EB5F15" w:rsidRPr="009122B7">
        <w:rPr>
          <w:rFonts w:ascii="Palatino" w:eastAsia="Times New Roman" w:hAnsi="Palatino" w:cs="Times New Roman"/>
          <w:color w:val="000000" w:themeColor="text1"/>
          <w:sz w:val="22"/>
          <w:szCs w:val="22"/>
        </w:rPr>
        <w:t>pelagic birds</w:t>
      </w:r>
      <w:r w:rsidRPr="009122B7">
        <w:rPr>
          <w:rFonts w:ascii="Palatino" w:eastAsia="Times New Roman" w:hAnsi="Palatino" w:cs="Times New Roman"/>
          <w:color w:val="000000" w:themeColor="text1"/>
          <w:sz w:val="22"/>
          <w:szCs w:val="22"/>
        </w:rPr>
        <w:t xml:space="preserve">, </w:t>
      </w:r>
      <w:r w:rsidR="002F06DC" w:rsidRPr="009122B7">
        <w:rPr>
          <w:rFonts w:ascii="Palatino" w:eastAsia="Times New Roman" w:hAnsi="Palatino" w:cs="Times New Roman"/>
          <w:color w:val="000000" w:themeColor="text1"/>
          <w:sz w:val="22"/>
          <w:szCs w:val="22"/>
        </w:rPr>
        <w:t xml:space="preserve">space-limited breeding habitat often </w:t>
      </w:r>
      <w:r w:rsidR="00837657">
        <w:rPr>
          <w:rFonts w:ascii="Palatino" w:eastAsia="Times New Roman" w:hAnsi="Palatino" w:cs="Times New Roman"/>
          <w:color w:val="000000" w:themeColor="text1"/>
          <w:sz w:val="22"/>
          <w:szCs w:val="22"/>
        </w:rPr>
        <w:t>leads to</w:t>
      </w:r>
      <w:r w:rsidR="00837657" w:rsidRPr="009122B7">
        <w:rPr>
          <w:rFonts w:ascii="Palatino" w:eastAsia="Times New Roman" w:hAnsi="Palatino" w:cs="Times New Roman"/>
          <w:color w:val="000000" w:themeColor="text1"/>
          <w:sz w:val="22"/>
          <w:szCs w:val="22"/>
        </w:rPr>
        <w:t xml:space="preserve"> </w:t>
      </w:r>
      <w:r w:rsidR="002F06DC" w:rsidRPr="009122B7">
        <w:rPr>
          <w:rFonts w:ascii="Palatino" w:eastAsia="Times New Roman" w:hAnsi="Palatino" w:cs="Times New Roman"/>
          <w:color w:val="000000" w:themeColor="text1"/>
          <w:sz w:val="22"/>
          <w:szCs w:val="22"/>
        </w:rPr>
        <w:t>sympatric breeding by multiple species</w:t>
      </w:r>
      <w:r w:rsidR="00090650" w:rsidRPr="009122B7">
        <w:rPr>
          <w:rFonts w:ascii="Palatino" w:eastAsia="Times New Roman" w:hAnsi="Palatino" w:cs="Times New Roman"/>
          <w:color w:val="000000" w:themeColor="text1"/>
          <w:sz w:val="22"/>
          <w:szCs w:val="22"/>
        </w:rPr>
        <w:t xml:space="preserve">, resulting in dense aggregations of breeding pairs that can number in the thousands. </w:t>
      </w:r>
      <w:r w:rsidR="002F06DC" w:rsidRPr="009122B7">
        <w:rPr>
          <w:rFonts w:ascii="Palatino" w:hAnsi="Palatino"/>
          <w:sz w:val="22"/>
          <w:szCs w:val="22"/>
        </w:rPr>
        <w:t>Albatrosses access vast areas for foraging</w:t>
      </w:r>
      <w:r w:rsidR="009800A3">
        <w:rPr>
          <w:rFonts w:ascii="Palatino" w:hAnsi="Palatino"/>
          <w:sz w:val="22"/>
          <w:szCs w:val="22"/>
        </w:rPr>
        <w:t xml:space="preserve"> when not breeding</w:t>
      </w:r>
      <w:r w:rsidR="002F06DC" w:rsidRPr="009122B7">
        <w:rPr>
          <w:rFonts w:ascii="Palatino" w:hAnsi="Palatino"/>
          <w:sz w:val="22"/>
          <w:szCs w:val="22"/>
        </w:rPr>
        <w:t>, spanning entire ocean basins in a single foraging trip</w:t>
      </w:r>
      <w:r w:rsidR="006D5E11" w:rsidRPr="009122B7">
        <w:rPr>
          <w:rFonts w:ascii="Palatino" w:hAnsi="Palatino"/>
          <w:sz w:val="22"/>
          <w:szCs w:val="22"/>
        </w:rPr>
        <w:t xml:space="preserve"> </w:t>
      </w:r>
      <w:r w:rsidR="006D5E11" w:rsidRPr="009122B7">
        <w:rPr>
          <w:rFonts w:ascii="Palatino" w:hAnsi="Palatino"/>
          <w:sz w:val="22"/>
          <w:szCs w:val="22"/>
        </w:rPr>
        <w:fldChar w:fldCharType="begin" w:fldLock="1"/>
      </w:r>
      <w:r w:rsidR="00090650" w:rsidRPr="009122B7">
        <w:rPr>
          <w:rFonts w:ascii="Palatino" w:hAnsi="Palatino"/>
          <w:sz w:val="22"/>
          <w:szCs w:val="22"/>
        </w:rPr>
        <w:instrText>ADDIN CSL_CITATION {"citationItems":[{"id":"ITEM-1","itemData":{"ISBN":"0300087411","author":[{"dropping-particle":"","family":"Tickell","given":"W L N","non-dropping-particle":"","parse-names":false,"suffix":""}],"id":"ITEM-1","issued":{"date-parts":[["2000"]]},"publisher":"Yale University Press","title":"Albatrosses","type":"book"},"uris":["http://www.mendeley.com/documents/?uuid=e1babe6f-70ad-4111-9e66-f45e4b759c2f"]}],"mendeley":{"formattedCitation":"(Tickell 2000)","plainTextFormattedCitation":"(Tickell 2000)","previouslyFormattedCitation":"(Tickell 2000)"},"properties":{"noteIndex":0},"schema":"https://github.com/citation-style-language/schema/raw/master/csl-citation.json"}</w:instrText>
      </w:r>
      <w:r w:rsidR="006D5E11" w:rsidRPr="009122B7">
        <w:rPr>
          <w:rFonts w:ascii="Palatino" w:hAnsi="Palatino"/>
          <w:sz w:val="22"/>
          <w:szCs w:val="22"/>
        </w:rPr>
        <w:fldChar w:fldCharType="separate"/>
      </w:r>
      <w:r w:rsidR="006D5E11" w:rsidRPr="009122B7">
        <w:rPr>
          <w:rFonts w:ascii="Palatino" w:hAnsi="Palatino"/>
          <w:noProof/>
          <w:sz w:val="22"/>
          <w:szCs w:val="22"/>
        </w:rPr>
        <w:t>(Tickell 2000)</w:t>
      </w:r>
      <w:r w:rsidR="006D5E11" w:rsidRPr="009122B7">
        <w:rPr>
          <w:rFonts w:ascii="Palatino" w:hAnsi="Palatino"/>
          <w:sz w:val="22"/>
          <w:szCs w:val="22"/>
        </w:rPr>
        <w:fldChar w:fldCharType="end"/>
      </w:r>
      <w:r w:rsidR="00963C3E" w:rsidRPr="009122B7">
        <w:rPr>
          <w:rFonts w:ascii="Palatino" w:hAnsi="Palatino"/>
          <w:sz w:val="22"/>
          <w:szCs w:val="22"/>
        </w:rPr>
        <w:t xml:space="preserve">, </w:t>
      </w:r>
      <w:r w:rsidR="00090650" w:rsidRPr="009122B7">
        <w:rPr>
          <w:rFonts w:ascii="Palatino" w:hAnsi="Palatino"/>
          <w:sz w:val="22"/>
          <w:szCs w:val="22"/>
        </w:rPr>
        <w:t>limiting competitive interactions between individuals</w:t>
      </w:r>
      <w:r w:rsidR="00963C3E" w:rsidRPr="009122B7">
        <w:rPr>
          <w:rFonts w:ascii="Palatino" w:hAnsi="Palatino"/>
          <w:sz w:val="22"/>
          <w:szCs w:val="22"/>
        </w:rPr>
        <w:t>.</w:t>
      </w:r>
      <w:r w:rsidR="00090650" w:rsidRPr="009122B7">
        <w:rPr>
          <w:rFonts w:ascii="Palatino" w:hAnsi="Palatino"/>
          <w:sz w:val="22"/>
          <w:szCs w:val="22"/>
        </w:rPr>
        <w:t xml:space="preserve"> </w:t>
      </w:r>
      <w:r w:rsidR="00CC446A" w:rsidRPr="009122B7">
        <w:rPr>
          <w:rFonts w:ascii="Palatino" w:hAnsi="Palatino"/>
          <w:sz w:val="22"/>
          <w:szCs w:val="22"/>
        </w:rPr>
        <w:t>In contrast, d</w:t>
      </w:r>
      <w:r w:rsidR="00BA63EC" w:rsidRPr="009122B7">
        <w:rPr>
          <w:rFonts w:ascii="Palatino" w:hAnsi="Palatino"/>
          <w:sz w:val="22"/>
          <w:szCs w:val="22"/>
        </w:rPr>
        <w:t>uring</w:t>
      </w:r>
      <w:r w:rsidR="00DF3142" w:rsidRPr="009122B7">
        <w:rPr>
          <w:rFonts w:ascii="Palatino" w:hAnsi="Palatino"/>
          <w:sz w:val="22"/>
          <w:szCs w:val="22"/>
        </w:rPr>
        <w:t xml:space="preserve"> the breeding phase, they practice </w:t>
      </w:r>
      <w:r w:rsidR="00DF3142" w:rsidRPr="00EF533A">
        <w:rPr>
          <w:rFonts w:ascii="Palatino" w:hAnsi="Palatino"/>
          <w:sz w:val="22"/>
          <w:szCs w:val="22"/>
        </w:rPr>
        <w:t>central place foraging</w:t>
      </w:r>
      <w:r w:rsidR="00D82C96" w:rsidRPr="009122B7">
        <w:rPr>
          <w:rFonts w:ascii="Palatino" w:hAnsi="Palatino"/>
          <w:sz w:val="22"/>
          <w:szCs w:val="22"/>
        </w:rPr>
        <w:t xml:space="preserve"> (</w:t>
      </w:r>
      <w:r w:rsidR="00FB1453" w:rsidRPr="009122B7">
        <w:rPr>
          <w:rFonts w:ascii="Palatino" w:hAnsi="Palatino"/>
          <w:sz w:val="22"/>
          <w:szCs w:val="22"/>
        </w:rPr>
        <w:t>foraging from a central location</w:t>
      </w:r>
      <w:r w:rsidR="00D82C96" w:rsidRPr="009122B7">
        <w:rPr>
          <w:rFonts w:ascii="Palatino" w:hAnsi="Palatino"/>
          <w:sz w:val="22"/>
          <w:szCs w:val="22"/>
        </w:rPr>
        <w:t>)</w:t>
      </w:r>
      <w:r w:rsidR="00DF3142" w:rsidRPr="009122B7">
        <w:rPr>
          <w:rFonts w:ascii="Palatino" w:hAnsi="Palatino"/>
          <w:sz w:val="22"/>
          <w:szCs w:val="22"/>
        </w:rPr>
        <w:t xml:space="preserve"> as</w:t>
      </w:r>
      <w:r w:rsidR="00963C3E" w:rsidRPr="009122B7">
        <w:rPr>
          <w:rFonts w:ascii="Palatino" w:hAnsi="Palatino"/>
          <w:sz w:val="22"/>
          <w:szCs w:val="22"/>
        </w:rPr>
        <w:t xml:space="preserve"> t</w:t>
      </w:r>
      <w:r w:rsidR="002F06DC" w:rsidRPr="009122B7">
        <w:rPr>
          <w:rFonts w:ascii="Palatino" w:hAnsi="Palatino"/>
          <w:sz w:val="22"/>
          <w:szCs w:val="22"/>
        </w:rPr>
        <w:t>hey are constrained</w:t>
      </w:r>
      <w:r w:rsidR="00AF5493" w:rsidRPr="009122B7">
        <w:rPr>
          <w:rFonts w:ascii="Palatino" w:hAnsi="Palatino"/>
          <w:sz w:val="22"/>
          <w:szCs w:val="22"/>
        </w:rPr>
        <w:t xml:space="preserve"> to return to </w:t>
      </w:r>
      <w:r w:rsidR="000A3196" w:rsidRPr="009122B7">
        <w:rPr>
          <w:rFonts w:ascii="Palatino" w:hAnsi="Palatino"/>
          <w:sz w:val="22"/>
          <w:szCs w:val="22"/>
        </w:rPr>
        <w:t xml:space="preserve">their nests </w:t>
      </w:r>
      <w:r w:rsidR="00DF3142" w:rsidRPr="009122B7">
        <w:rPr>
          <w:rFonts w:ascii="Palatino" w:hAnsi="Palatino"/>
          <w:sz w:val="22"/>
          <w:szCs w:val="22"/>
        </w:rPr>
        <w:t>to</w:t>
      </w:r>
      <w:r w:rsidR="002F06DC" w:rsidRPr="009122B7">
        <w:rPr>
          <w:rFonts w:ascii="Palatino" w:hAnsi="Palatino"/>
          <w:sz w:val="22"/>
          <w:szCs w:val="22"/>
        </w:rPr>
        <w:t xml:space="preserve"> regularly incubate</w:t>
      </w:r>
      <w:r w:rsidR="00DF3142" w:rsidRPr="009122B7">
        <w:rPr>
          <w:rFonts w:ascii="Palatino" w:hAnsi="Palatino"/>
          <w:sz w:val="22"/>
          <w:szCs w:val="22"/>
        </w:rPr>
        <w:t>,</w:t>
      </w:r>
      <w:r w:rsidR="002F06DC" w:rsidRPr="009122B7">
        <w:rPr>
          <w:rFonts w:ascii="Palatino" w:hAnsi="Palatino"/>
          <w:sz w:val="22"/>
          <w:szCs w:val="22"/>
        </w:rPr>
        <w:t xml:space="preserve"> brood</w:t>
      </w:r>
      <w:r w:rsidR="00DF3142" w:rsidRPr="009122B7">
        <w:rPr>
          <w:rFonts w:ascii="Palatino" w:hAnsi="Palatino"/>
          <w:sz w:val="22"/>
          <w:szCs w:val="22"/>
        </w:rPr>
        <w:t>, or feed</w:t>
      </w:r>
      <w:r w:rsidR="002F06DC" w:rsidRPr="009122B7">
        <w:rPr>
          <w:rFonts w:ascii="Palatino" w:hAnsi="Palatino"/>
          <w:sz w:val="22"/>
          <w:szCs w:val="22"/>
        </w:rPr>
        <w:t xml:space="preserve"> their </w:t>
      </w:r>
      <w:r w:rsidR="00837657">
        <w:rPr>
          <w:rFonts w:ascii="Palatino" w:hAnsi="Palatino"/>
          <w:sz w:val="22"/>
          <w:szCs w:val="22"/>
        </w:rPr>
        <w:t>chicks</w:t>
      </w:r>
      <w:r w:rsidR="00AF5493" w:rsidRPr="009122B7">
        <w:rPr>
          <w:rFonts w:ascii="Palatino" w:hAnsi="Palatino"/>
          <w:sz w:val="22"/>
          <w:szCs w:val="22"/>
        </w:rPr>
        <w:t>.</w:t>
      </w:r>
      <w:r w:rsidR="002F06DC" w:rsidRPr="009122B7">
        <w:rPr>
          <w:rFonts w:ascii="Palatino" w:hAnsi="Palatino"/>
          <w:sz w:val="22"/>
          <w:szCs w:val="22"/>
        </w:rPr>
        <w:t xml:space="preserve"> As distant foraging trips have high energetic costs, the accessible foraging area becomes highly constricted</w:t>
      </w:r>
      <w:r w:rsidR="00945E8E" w:rsidRPr="009122B7">
        <w:rPr>
          <w:rFonts w:ascii="Palatino" w:hAnsi="Palatino"/>
          <w:sz w:val="22"/>
          <w:szCs w:val="22"/>
        </w:rPr>
        <w:t xml:space="preserve"> </w:t>
      </w:r>
      <w:r w:rsidR="00945E8E" w:rsidRPr="009122B7">
        <w:rPr>
          <w:rFonts w:ascii="Palatino" w:hAnsi="Palatino"/>
          <w:sz w:val="22"/>
          <w:szCs w:val="22"/>
        </w:rPr>
        <w:fldChar w:fldCharType="begin" w:fldLock="1"/>
      </w:r>
      <w:r w:rsidR="0093682A" w:rsidRPr="009122B7">
        <w:rPr>
          <w:rFonts w:ascii="Palatino" w:hAnsi="Palatino"/>
          <w:sz w:val="22"/>
          <w:szCs w:val="22"/>
        </w:rPr>
        <w:instrText>ADDIN CSL_CITATION {"citationItems":[{"id":"ITEM-1","itemData":{"DOI":"10.1098/rsif.2016.0196","ISSN":"17425662","abstract":"Changes to patterns of wind and ocean currents are tightly linked to climate change and have important implications for cost of travel and energy budgets in marine vertebrates. We evaluated how El Niño-Southern Oscillation (ENSO)-driven wind patterns affected breeding Laysan and black-footed albatross across a decade of study. Owing to latitudinal variation in wind patterns, wind speed differed between habitat used during incubation and brooding; during La Niña conditions, wind speeds were lower in incubating Laysan (though not black-footed) albatross habitat, but higher in habitats used by brooding albatrosses. Incubating Laysan albatrosses benefited from increased wind speeds during El Niño conditions, showing increased travel speeds and mass gained during foraging trips. However, brooding albatrosses did not benefit from stronger winds during La Niña conditions, instead experiencing stronger cumulative headwinds and a smaller proportion of trips in tailwinds. Increased travel costs during brooding may contribute to the lower reproductive success observed in La Niña conditions. Furthermore, benefits of stronger winds in incubating habitat may explain the higher reproductive success of Laysan albatross during El Niño conditions. Our findings highlight the importance of considering habitat accessibility and cost of travel when evaluating the impacts of climate-driven habitat change on marine predators.","author":[{"dropping-particle":"","family":"Thorne","given":"L. H.","non-dropping-particle":"","parse-names":false,"suffix":""},{"dropping-particle":"","family":"Conners","given":"M. G.","non-dropping-particle":"","parse-names":false,"suffix":""},{"dropping-particle":"","family":"Hazen","given":"E. L.","non-dropping-particle":"","parse-names":false,"suffix":""},{"dropping-particle":"","family":"Bograd","given":"S. J.","non-dropping-particle":"","parse-names":false,"suffix":""},{"dropping-particle":"","family":"Antolos","given":"M.","non-dropping-particle":"","parse-names":false,"suffix":""},{"dropping-particle":"","family":"Costa","given":"D. P.","non-dropping-particle":"","parse-names":false,"suffix":""},{"dropping-particle":"","family":"Shaffer","given":"S. A.","non-dropping-particle":"","parse-names":false,"suffix":""}],"container-title":"Journal of the Royal Society Interface","id":"ITEM-1","issue":"119","issued":{"date-parts":[["2016"]]},"title":"Effects of El Niño-driven changes in wind patterns on North Pacific albatrosses","type":"article-journal","volume":"13"},"uris":["http://www.mendeley.com/documents/?uuid=aa25c5f2-1195-4e44-a3e3-c8f4f0415207"]}],"mendeley":{"formattedCitation":"(Thorne et al. 2016)","plainTextFormattedCitation":"(Thorne et al. 2016)","previouslyFormattedCitation":"(Thorne et al. 2016)"},"properties":{"noteIndex":0},"schema":"https://github.com/citation-style-language/schema/raw/master/csl-citation.json"}</w:instrText>
      </w:r>
      <w:r w:rsidR="00945E8E" w:rsidRPr="009122B7">
        <w:rPr>
          <w:rFonts w:ascii="Palatino" w:hAnsi="Palatino"/>
          <w:sz w:val="22"/>
          <w:szCs w:val="22"/>
        </w:rPr>
        <w:fldChar w:fldCharType="separate"/>
      </w:r>
      <w:r w:rsidR="00945E8E" w:rsidRPr="009122B7">
        <w:rPr>
          <w:rFonts w:ascii="Palatino" w:hAnsi="Palatino"/>
          <w:noProof/>
          <w:sz w:val="22"/>
          <w:szCs w:val="22"/>
        </w:rPr>
        <w:t>(Thorne et al. 2016)</w:t>
      </w:r>
      <w:r w:rsidR="00945E8E" w:rsidRPr="009122B7">
        <w:rPr>
          <w:rFonts w:ascii="Palatino" w:hAnsi="Palatino"/>
          <w:sz w:val="22"/>
          <w:szCs w:val="22"/>
        </w:rPr>
        <w:fldChar w:fldCharType="end"/>
      </w:r>
      <w:r w:rsidR="002F06DC" w:rsidRPr="009122B7">
        <w:rPr>
          <w:rFonts w:ascii="Palatino" w:hAnsi="Palatino"/>
          <w:sz w:val="22"/>
          <w:szCs w:val="22"/>
        </w:rPr>
        <w:t>,</w:t>
      </w:r>
      <w:r w:rsidR="00090650" w:rsidRPr="009122B7">
        <w:rPr>
          <w:rFonts w:ascii="Palatino" w:hAnsi="Palatino"/>
          <w:sz w:val="22"/>
          <w:szCs w:val="22"/>
        </w:rPr>
        <w:t xml:space="preserve"> particularly </w:t>
      </w:r>
      <w:r w:rsidR="00E80E53" w:rsidRPr="009122B7">
        <w:rPr>
          <w:rFonts w:ascii="Palatino" w:hAnsi="Palatino"/>
          <w:sz w:val="22"/>
          <w:szCs w:val="22"/>
        </w:rPr>
        <w:t xml:space="preserve">after chicks hatch when </w:t>
      </w:r>
      <w:r w:rsidR="00090650" w:rsidRPr="009122B7">
        <w:rPr>
          <w:rFonts w:ascii="Palatino" w:hAnsi="Palatino"/>
          <w:sz w:val="22"/>
          <w:szCs w:val="22"/>
        </w:rPr>
        <w:t>more frequent feeding trips are required</w:t>
      </w:r>
      <w:r w:rsidR="004A1E39" w:rsidRPr="009122B7">
        <w:rPr>
          <w:rFonts w:ascii="Palatino" w:hAnsi="Palatino"/>
          <w:sz w:val="22"/>
          <w:szCs w:val="22"/>
        </w:rPr>
        <w:t xml:space="preserve"> </w:t>
      </w:r>
      <w:r w:rsidR="0058362A" w:rsidRPr="003937EC">
        <w:rPr>
          <w:rFonts w:ascii="Palatino" w:hAnsi="Palatino"/>
          <w:sz w:val="22"/>
          <w:szCs w:val="22"/>
        </w:rPr>
        <w:fldChar w:fldCharType="begin" w:fldLock="1"/>
      </w:r>
      <w:r w:rsidR="00221102" w:rsidRPr="003937EC">
        <w:rPr>
          <w:rFonts w:ascii="Palatino" w:hAnsi="Palatino"/>
          <w:sz w:val="22"/>
          <w:szCs w:val="22"/>
        </w:rPr>
        <w:instrText>ADDIN CSL_CITATION {"citationItems":[{"id":"ITEM-1","itemData":{"DOI":"10.1186/s40462-015-0063-4","ISSN":"20513933","abstract":"Background: The spatiotemporal distribution of animals is dependent on a suite of factors, including the distribution of resources, interactions within and between species, physiological limitations, and requirements for reproduction, dispersal, or migration. During breeding, reproductive constraints play a major role in the distribution and behavior of central place foragers, such as pelagic seabirds. We examined the foraging behavior and marine habitat selection of Laysan (Phoebastria immutabilis) and black-footed (P. nigripes) albatrosses throughout their eight month breeding cycle at Tern Island, Northwest Hawaiian Islands to evaluate how variable constraints of breeding influenced habitat availability and foraging decisions. We used satellite tracking and light-based geolocation to determine foraging locations of individuals, and applied a biologically realistic null usage model to generate control locations and model habitat preference under a case-control design. Remotely sensed oceanographic data were used to characterize albatross habitats in the North Pacific. Results: Individuals of both species ranged significantly farther and for longer durations during incubation and chick-rearing compared to the brooding period. Interspecific segregation of core foraging areas was observed during incubation and chick-rearing, but not during brooding. At-sea activity patterns were most similar between species during brooding; neither species altered foraging effort to compensate for presumed low prey availability and high energy demands during this stage. Habitat selection during long-ranging movements was most strongly associated with sea surface temperature for both species, with a preference for cooler ocean temperatures compared to overall availability. During brooding, lower explanatory power of habitat models was likely related to the narrow range of ocean temperatures available for selection. Conclusions: Laysan and black-footed albatrosses differ from other albatross species in that they breed in an oligotrophic marine environment. During incubation and chick-rearing, they travel to cooler, more productive waters, but are restricted to the low-productivity environment near the colony during brooding, when energy requirements are greatest. Compared to other albatross species, Laysan and black-footed albatrosses spend a greater proportion of time in flight when foraging, especially during the brooding period; this strategy may be adaptive for locatin…","author":[{"dropping-particle":"","family":"Kappes","given":"Michelle A.","non-dropping-particle":"","parse-names":false,"suffix":""},{"dropping-particle":"","family":"Shaffer","given":"Scott A.","non-dropping-particle":"","parse-names":false,"suffix":""},{"dropping-particle":"","family":"Tremblay","given":"Yann","non-dropping-particle":"","parse-names":false,"suffix":""},{"dropping-particle":"","family":"Foley","given":"David G.","non-dropping-particle":"","parse-names":false,"suffix":""},{"dropping-particle":"","family":"Palacios","given":"Daniel M.","non-dropping-particle":"","parse-names":false,"suffix":""},{"dropping-particle":"","family":"Bograd","given":"Steven J.","non-dropping-particle":"","parse-names":false,"suffix":""},{"dropping-particle":"","family":"Costa","given":"Daniel P.","non-dropping-particle":"","parse-names":false,"suffix":""}],"container-title":"Movement Ecology","id":"ITEM-1","issue":"1","issued":{"date-parts":[["2015","9","29"]]},"page":"1-24","publisher":"BioMed Central Ltd.","title":"Reproductive constraints influence habitat accessibility, segregation, and preference of sympatric albatross species","type":"article-journal","volume":"3"},"uris":["http://www.mendeley.com/documents/?uuid=81e36bdb-e401-386c-8381-2c5dcf2d1d0c"]},{"id":"ITEM-2","itemData":{"DOI":"10.1111/j.1365-2419.2005.00350.x","ISSN":"10546006","abstract":"Quantifying the dispersion and habitats of far-ranging seabirds, turtles, and cetaceans is essential to assess whether zoning strategies can help protect upper-trophic marine predators. In this paper, we focus on Black-footed Albatross (Phoebastria nigripes) use of three US national marine sanctuaries off central California: Cordell Bank, Gulf of the Farallones, and Monterey Bay. We assessed the significance of these protected areas to albatrosses by: (i) documenting commuting flights between Hawaiian breeding sites and the California Current System (CCS); (ii) quantifying albatross dispersion patterns on the central California continental shelf and slope, and (iii) characterizing albatross habitats within sanctuary waters using concurrent satellite-tracking data and vessel-based sightings. Chick-rearing albatrosses commuted from their colony on Tern Island, Hawaii (23.878°N, 166.288°W), to the CCS (34-48°N) and two of the eight satellite-tracked birds entered the marine sanctuaries. Among the telemetry locations within sanctuary waters, two-thirds (24 of 36) straddled the shelf break and slope (201-2000-m depth), a pattern underscored by a concurrent vessel-based survey in which 144 Black-footed Albatrosses were sighted. This study illustrates the value of coordinated satellite telemetry and vessel-based surveys to assess the distributions of protected species within existing marine protected areas. More specifically, our results underscore the importance of three central California marine sanctuaries to Hawaiian albatrosses breeding in subtropical waters, approximately 4500 km away. © 2005 Blackwell Publishing Ltd.","author":[{"dropping-particle":"","family":"Hyrenbach","given":"K. D.","non-dropping-particle":"","parse-names":false,"suffix":""},{"dropping-particle":"","family":"Keiper","given":"C.","non-dropping-particle":"","parse-names":false,"suffix":""},{"dropping-particle":"","family":"Allen","given":"S. G.","non-dropping-particle":"","parse-names":false,"suffix":""},{"dropping-particle":"","family":"Ainley","given":"D. G.","non-dropping-particle":"","parse-names":false,"suffix":""},{"dropping-particle":"","family":"Anderson","given":"D. J.","non-dropping-particle":"","parse-names":false,"suffix":""}],"container-title":"Fisheries Oceanography","id":"ITEM-2","issue":"2","issued":{"date-parts":[["2006","3","1"]]},"page":"95-103","publisher":"John Wiley &amp; Sons, Ltd","title":"Use of marine sanctuaries by far-ranging predators: Commuting flights to the California Current System by breeding Hawaiian albatrosses","type":"article-journal","volume":"15"},"uris":["http://www.mendeley.com/documents/?uuid=c05a49eb-f987-3dcc-8ff0-88d96149206d"]},{"id":"ITEM-3","itemData":{"DOI":"Conners_ucsc_0036E_10949","author":[{"dropping-particle":"","family":"Conners","given":"Melinda G","non-dropping-particle":"","parse-names":false,"suffix":""}],"id":"ITEM-3","issued":{"date-parts":[["2015"]]},"publisher":"UC Santa Cruz","title":"Comparative behavior, diet, and post-breeding strategies of two sympatric North Pacific albatross species (Phoebastria sp.)","type":"thesis"},"uris":["http://www.mendeley.com/documents/?uuid=fd7f8b7d-fe18-4dad-914d-ba9d06ad0ac9"]}],"mendeley":{"formattedCitation":"(Kappes et al. 2015; K. D. Hyrenbach et al. 2006; Conners 2015)","manualFormatting":"(Kappes et al. 2015; Hyrenbach et al. 2006; Conners 2015)","plainTextFormattedCitation":"(Kappes et al. 2015; K. D. Hyrenbach et al. 2006; Conners 2015)","previouslyFormattedCitation":"(Kappes et al. 2015; K. D. Hyrenbach et al. 2006; Conners 2015)"},"properties":{"noteIndex":0},"schema":"https://github.com/citation-style-language/schema/raw/master/csl-citation.json"}</w:instrText>
      </w:r>
      <w:r w:rsidR="0058362A" w:rsidRPr="003937EC">
        <w:rPr>
          <w:rFonts w:ascii="Palatino" w:hAnsi="Palatino"/>
          <w:sz w:val="22"/>
          <w:szCs w:val="22"/>
        </w:rPr>
        <w:fldChar w:fldCharType="separate"/>
      </w:r>
      <w:r w:rsidR="0058362A" w:rsidRPr="003937EC">
        <w:rPr>
          <w:rFonts w:ascii="Palatino" w:hAnsi="Palatino"/>
          <w:noProof/>
          <w:sz w:val="22"/>
          <w:szCs w:val="22"/>
        </w:rPr>
        <w:t>(Kappes et al. 2015; Hyrenbach et al. 2006; Conners 2015)</w:t>
      </w:r>
      <w:r w:rsidR="0058362A" w:rsidRPr="003937EC">
        <w:rPr>
          <w:rFonts w:ascii="Palatino" w:hAnsi="Palatino"/>
          <w:sz w:val="22"/>
          <w:szCs w:val="22"/>
        </w:rPr>
        <w:fldChar w:fldCharType="end"/>
      </w:r>
      <w:r w:rsidR="001A6537" w:rsidRPr="003937EC">
        <w:rPr>
          <w:rFonts w:ascii="Palatino" w:hAnsi="Palatino"/>
          <w:sz w:val="22"/>
          <w:szCs w:val="22"/>
        </w:rPr>
        <w:t xml:space="preserve">. </w:t>
      </w:r>
      <w:r w:rsidR="00837657">
        <w:rPr>
          <w:rFonts w:ascii="Palatino" w:hAnsi="Palatino"/>
          <w:sz w:val="22"/>
          <w:szCs w:val="22"/>
        </w:rPr>
        <w:t>Movement constraints during the breeding period</w:t>
      </w:r>
      <w:r w:rsidR="000960CB" w:rsidRPr="003937EC">
        <w:rPr>
          <w:rFonts w:ascii="Palatino" w:hAnsi="Palatino"/>
          <w:sz w:val="22"/>
          <w:szCs w:val="22"/>
        </w:rPr>
        <w:t xml:space="preserve"> </w:t>
      </w:r>
      <w:r w:rsidR="002F06DC" w:rsidRPr="003937EC">
        <w:rPr>
          <w:rFonts w:ascii="Palatino" w:hAnsi="Palatino"/>
          <w:sz w:val="22"/>
          <w:szCs w:val="22"/>
        </w:rPr>
        <w:t>result</w:t>
      </w:r>
      <w:r w:rsidR="00963C3E" w:rsidRPr="003937EC">
        <w:rPr>
          <w:rFonts w:ascii="Palatino" w:hAnsi="Palatino"/>
          <w:sz w:val="22"/>
          <w:szCs w:val="22"/>
        </w:rPr>
        <w:t>s</w:t>
      </w:r>
      <w:r w:rsidR="002F06DC" w:rsidRPr="003937EC">
        <w:rPr>
          <w:rFonts w:ascii="Palatino" w:hAnsi="Palatino"/>
          <w:sz w:val="22"/>
          <w:szCs w:val="22"/>
        </w:rPr>
        <w:t xml:space="preserve"> in consumption of shared resources</w:t>
      </w:r>
      <w:r w:rsidR="00416FAF" w:rsidRPr="003937EC">
        <w:rPr>
          <w:rFonts w:ascii="Palatino" w:hAnsi="Palatino"/>
          <w:sz w:val="22"/>
          <w:szCs w:val="22"/>
        </w:rPr>
        <w:t>, and c</w:t>
      </w:r>
      <w:r w:rsidR="002F06DC" w:rsidRPr="003937EC">
        <w:rPr>
          <w:rFonts w:ascii="Palatino" w:hAnsi="Palatino"/>
          <w:sz w:val="22"/>
          <w:szCs w:val="22"/>
        </w:rPr>
        <w:t xml:space="preserve">ompetition thus increases </w:t>
      </w:r>
      <w:r w:rsidR="009B60D3" w:rsidRPr="003937EC">
        <w:rPr>
          <w:rFonts w:ascii="Palatino" w:hAnsi="Palatino"/>
          <w:sz w:val="22"/>
          <w:szCs w:val="22"/>
        </w:rPr>
        <w:t>while breeding</w:t>
      </w:r>
      <w:r w:rsidR="00416FAF" w:rsidRPr="003937EC">
        <w:rPr>
          <w:rFonts w:ascii="Palatino" w:hAnsi="Palatino"/>
          <w:sz w:val="22"/>
          <w:szCs w:val="22"/>
        </w:rPr>
        <w:t xml:space="preserve"> </w:t>
      </w:r>
      <w:r w:rsidR="00416FAF" w:rsidRPr="003937EC">
        <w:rPr>
          <w:rFonts w:ascii="Palatino" w:hAnsi="Palatino"/>
          <w:sz w:val="22"/>
          <w:szCs w:val="22"/>
        </w:rPr>
        <w:fldChar w:fldCharType="begin" w:fldLock="1"/>
      </w:r>
      <w:r w:rsidR="004B3EBA">
        <w:rPr>
          <w:rFonts w:ascii="Palatino" w:hAnsi="Palatino"/>
          <w:sz w:val="22"/>
          <w:szCs w:val="22"/>
        </w:rPr>
        <w:instrText>ADDIN CSL_CITATION {"citationItems":[{"id":"ITEM-1","itemData":{"DOI":"10.1186/s40462-015-0063-4","ISSN":"20513933","abstract":"Background: The spatiotemporal distribution of animals is dependent on a suite of factors, including the distribution of resources, interactions within and between species, physiological limitations, and requirements for reproduction, dispersal, or migration. During breeding, reproductive constraints play a major role in the distribution and behavior of central place foragers, such as pelagic seabirds. We examined the foraging behavior and marine habitat selection of Laysan (Phoebastria immutabilis) and black-footed (P. nigripes) albatrosses throughout their eight month breeding cycle at Tern Island, Northwest Hawaiian Islands to evaluate how variable constraints of breeding influenced habitat availability and foraging decisions. We used satellite tracking and light-based geolocation to determine foraging locations of individuals, and applied a biologically realistic null usage model to generate control locations and model habitat preference under a case-control design. Remotely sensed oceanographic data were used to characterize albatross habitats in the North Pacific. Results: Individuals of both species ranged significantly farther and for longer durations during incubation and chick-rearing compared to the brooding period. Interspecific segregation of core foraging areas was observed during incubation and chick-rearing, but not during brooding. At-sea activity patterns were most similar between species during brooding; neither species altered foraging effort to compensate for presumed low prey availability and high energy demands during this stage. Habitat selection during long-ranging movements was most strongly associated with sea surface temperature for both species, with a preference for cooler ocean temperatures compared to overall availability. During brooding, lower explanatory power of habitat models was likely related to the narrow range of ocean temperatures available for selection. Conclusions: Laysan and black-footed albatrosses differ from other albatross species in that they breed in an oligotrophic marine environment. During incubation and chick-rearing, they travel to cooler, more productive waters, but are restricted to the low-productivity environment near the colony during brooding, when energy requirements are greatest. Compared to other albatross species, Laysan and black-footed albatrosses spend a greater proportion of time in flight when foraging, especially during the brooding period; this strategy may be adaptive for locatin…","author":[{"dropping-particle":"","family":"Kappes","given":"Michelle A.","non-dropping-particle":"","parse-names":false,"suffix":""},{"dropping-particle":"","family":"Shaffer","given":"Scott A.","non-dropping-particle":"","parse-names":false,"suffix":""},{"dropping-particle":"","family":"Tremblay","given":"Yann","non-dropping-particle":"","parse-names":false,"suffix":""},{"dropping-particle":"","family":"Foley","given":"David G.","non-dropping-particle":"","parse-names":false,"suffix":""},{"dropping-particle":"","family":"Palacios","given":"Daniel M.","non-dropping-particle":"","parse-names":false,"suffix":""},{"dropping-particle":"","family":"Bograd","given":"Steven J.","non-dropping-particle":"","parse-names":false,"suffix":""},{"dropping-particle":"","family":"Costa","given":"Daniel P.","non-dropping-particle":"","parse-names":false,"suffix":""}],"container-title":"Movement Ecology","id":"ITEM-1","issue":"1","issued":{"date-parts":[["2015","9","29"]]},"page":"1-24","publisher":"BioMed Central Ltd.","title":"Reproductive constraints influence habitat accessibility, segregation, and preference of sympatric albatross species","type":"article-journal","volume":"3"},"uris":["http://www.mendeley.com/documents/?uuid=81e36bdb-e401-386c-8381-2c5dcf2d1d0c"]},{"id":"ITEM-2","itemData":{"author":[{"dropping-particle":"","family":"Ashmole","given":"N Philip","non-dropping-particle":"","parse-names":false,"suffix":""}],"container-title":"Avian biology","id":"ITEM-2","issued":{"date-parts":[["1971"]]},"page":"223-286","publisher":"New York and London","title":"Seabird ecology and the marine environment","type":"article-journal","volume":"1"},"uris":["http://www.mendeley.com/documents/?uuid=3192074f-060b-48ac-9c69-87830d1cf8ab"]},{"id":"ITEM-3","itemData":{"DOI":"10.3354/meps040205","ISSN":"0171-8630","abstract":"population densities were measured at various distances from 2 large colonies of double-crested cormorants Phalacrocorax auritus to test the hypothesis that seabirds deplete prey close to their colonies. Fish densities were significantly lower in bays used by cormorants for feeding than in those outside their foraging range. Our findings provide direct evidence for prey depletion, and support Ashmole's (1963) hypothesis that seabird populations are limited by food supplies during the breeding season.","author":[{"dropping-particle":"","family":"Birt","given":"VL","non-dropping-particle":"","parse-names":false,"suffix":""},{"dropping-particle":"","family":"Birt","given":"TP","non-dropping-particle":"","parse-names":false,"suffix":""},{"dropping-particle":"","family":"Goulet","given":"D","non-dropping-particle":"","parse-names":false,"suffix":""},{"dropping-particle":"","family":"Cairns","given":"DK","non-dropping-particle":"","parse-names":false,"suffix":""},{"dropping-particle":"","family":"Montevecchi","given":"WA","non-dropping-particle":"","parse-names":false,"suffix":""}],"container-title":"Marine Ecology Progress Series","id":"ITEM-3","issued":{"date-parts":[["1987"]]},"page":"205-208","title":"Ashmole's halo: direct evidence for prey depletion by a seabird","type":"article-journal","volume":"40"},"uris":["http://www.mendeley.com/documents/?uuid=fa768fd9-da68-3ba2-8a63-ee411bab1af3"]}],"mendeley":{"formattedCitation":"(Kappes et al. 2015; Ashmole 1971; Birt et al. 1987)","plainTextFormattedCitation":"(Kappes et al. 2015; Ashmole 1971; Birt et al. 1987)","previouslyFormattedCitation":"(Kappes et al. 2015; Ashmole 1971; Birt et al. 1987)"},"properties":{"noteIndex":0},"schema":"https://github.com/citation-style-language/schema/raw/master/csl-citation.json"}</w:instrText>
      </w:r>
      <w:r w:rsidR="00416FAF" w:rsidRPr="003937EC">
        <w:rPr>
          <w:rFonts w:ascii="Palatino" w:hAnsi="Palatino"/>
          <w:sz w:val="22"/>
          <w:szCs w:val="22"/>
        </w:rPr>
        <w:fldChar w:fldCharType="separate"/>
      </w:r>
      <w:r w:rsidR="00416FAF" w:rsidRPr="003937EC">
        <w:rPr>
          <w:rFonts w:ascii="Palatino" w:hAnsi="Palatino"/>
          <w:noProof/>
          <w:sz w:val="22"/>
          <w:szCs w:val="22"/>
        </w:rPr>
        <w:t>(Kappes et al. 2015; Ashmole 1971; Birt et al. 1987)</w:t>
      </w:r>
      <w:r w:rsidR="00416FAF" w:rsidRPr="003937EC">
        <w:rPr>
          <w:rFonts w:ascii="Palatino" w:hAnsi="Palatino"/>
          <w:sz w:val="22"/>
          <w:szCs w:val="22"/>
        </w:rPr>
        <w:fldChar w:fldCharType="end"/>
      </w:r>
      <w:r w:rsidR="00416FAF" w:rsidRPr="003937EC">
        <w:rPr>
          <w:rFonts w:ascii="Palatino" w:hAnsi="Palatino"/>
          <w:sz w:val="22"/>
          <w:szCs w:val="22"/>
        </w:rPr>
        <w:t>.</w:t>
      </w:r>
      <w:r w:rsidR="00416FAF">
        <w:rPr>
          <w:rFonts w:ascii="Palatino" w:hAnsi="Palatino"/>
          <w:sz w:val="22"/>
          <w:szCs w:val="22"/>
        </w:rPr>
        <w:t xml:space="preserve"> </w:t>
      </w:r>
      <w:r w:rsidR="00B24C3C" w:rsidRPr="009122B7">
        <w:rPr>
          <w:rFonts w:ascii="Palatino" w:hAnsi="Palatino"/>
          <w:sz w:val="22"/>
          <w:szCs w:val="22"/>
        </w:rPr>
        <w:t>Organisms with overlapping niches compete for similar resources</w:t>
      </w:r>
      <w:r w:rsidR="000428E7" w:rsidRPr="009122B7">
        <w:rPr>
          <w:rFonts w:ascii="Palatino" w:hAnsi="Palatino"/>
          <w:sz w:val="22"/>
          <w:szCs w:val="22"/>
        </w:rPr>
        <w:t>,</w:t>
      </w:r>
      <w:r w:rsidR="00B24C3C" w:rsidRPr="009122B7">
        <w:rPr>
          <w:rFonts w:ascii="Palatino" w:hAnsi="Palatino"/>
          <w:sz w:val="22"/>
          <w:szCs w:val="22"/>
        </w:rPr>
        <w:t xml:space="preserve"> and intense competition when resources are scarce selects for mechanisms that facilitate niche divergence or resource partitioning through temporal or spatial segregation </w:t>
      </w:r>
      <w:r w:rsidR="00B24C3C" w:rsidRPr="009122B7">
        <w:rPr>
          <w:rFonts w:ascii="Palatino" w:hAnsi="Palatino"/>
          <w:sz w:val="22"/>
          <w:szCs w:val="22"/>
        </w:rPr>
        <w:fldChar w:fldCharType="begin" w:fldLock="1"/>
      </w:r>
      <w:r w:rsidR="006D5E11" w:rsidRPr="009122B7">
        <w:rPr>
          <w:rFonts w:ascii="Palatino" w:hAnsi="Palatino"/>
          <w:sz w:val="22"/>
          <w:szCs w:val="22"/>
        </w:rPr>
        <w:instrText>ADDIN CSL_CITATION {"citationItems":[{"id":"ITEM-1","itemData":{"DOI":"10.2307/1931600","ISSN":"0012-9658","author":[{"dropping-particle":"","family":"MacArthur","given":"Robert H","non-dropping-particle":"","parse-names":false,"suffix":""}],"container-title":"Ecology","id":"ITEM-1","issue":"4","issued":{"date-parts":[["1958","10","1"]]},"note":"doi: 10.2307/1931600","page":"599-619","publisher":"John Wiley &amp; Sons, Ltd","title":"Population Ecology of Some Warblers of Northeastern Coniferous Forests","type":"article-journal","volume":"39"},"uris":["http://www.mendeley.com/documents/?uuid=00a3f91f-b0cf-44b0-9c78-5288a3fb872f"]}],"mendeley":{"formattedCitation":"(MacArthur 1958)","plainTextFormattedCitation":"(MacArthur 1958)","previouslyFormattedCitation":"(MacArthur 1958)"},"properties":{"noteIndex":0},"schema":"https://github.com/citation-style-language/schema/raw/master/csl-citation.json"}</w:instrText>
      </w:r>
      <w:r w:rsidR="00B24C3C" w:rsidRPr="009122B7">
        <w:rPr>
          <w:rFonts w:ascii="Palatino" w:hAnsi="Palatino"/>
          <w:sz w:val="22"/>
          <w:szCs w:val="22"/>
        </w:rPr>
        <w:fldChar w:fldCharType="separate"/>
      </w:r>
      <w:r w:rsidR="00B24C3C" w:rsidRPr="009122B7">
        <w:rPr>
          <w:rFonts w:ascii="Palatino" w:hAnsi="Palatino"/>
          <w:noProof/>
          <w:sz w:val="22"/>
          <w:szCs w:val="22"/>
        </w:rPr>
        <w:t>(MacArthur 1958)</w:t>
      </w:r>
      <w:r w:rsidR="00B24C3C" w:rsidRPr="009122B7">
        <w:rPr>
          <w:rFonts w:ascii="Palatino" w:hAnsi="Palatino"/>
          <w:sz w:val="22"/>
          <w:szCs w:val="22"/>
        </w:rPr>
        <w:fldChar w:fldCharType="end"/>
      </w:r>
      <w:r w:rsidRPr="009122B7">
        <w:rPr>
          <w:rFonts w:ascii="Palatino" w:hAnsi="Palatino"/>
          <w:sz w:val="22"/>
          <w:szCs w:val="22"/>
        </w:rPr>
        <w:t>;</w:t>
      </w:r>
      <w:r w:rsidR="00E72902" w:rsidRPr="009122B7">
        <w:rPr>
          <w:rFonts w:ascii="Palatino" w:hAnsi="Palatino"/>
          <w:sz w:val="22"/>
          <w:szCs w:val="22"/>
        </w:rPr>
        <w:t xml:space="preserve"> </w:t>
      </w:r>
      <w:r w:rsidR="000428E7" w:rsidRPr="009122B7">
        <w:rPr>
          <w:rFonts w:ascii="Palatino" w:hAnsi="Palatino"/>
          <w:sz w:val="22"/>
          <w:szCs w:val="22"/>
        </w:rPr>
        <w:t xml:space="preserve">additionally, </w:t>
      </w:r>
      <w:r w:rsidRPr="009122B7">
        <w:rPr>
          <w:rFonts w:ascii="Palatino" w:hAnsi="Palatino"/>
          <w:sz w:val="22"/>
          <w:szCs w:val="22"/>
        </w:rPr>
        <w:t>o</w:t>
      </w:r>
      <w:r w:rsidR="002F06DC" w:rsidRPr="009122B7">
        <w:rPr>
          <w:rFonts w:ascii="Palatino" w:hAnsi="Palatino"/>
          <w:sz w:val="22"/>
          <w:szCs w:val="22"/>
        </w:rPr>
        <w:t>ptimal foraging theor</w:t>
      </w:r>
      <w:r w:rsidR="000428E7" w:rsidRPr="009122B7">
        <w:rPr>
          <w:rFonts w:ascii="Palatino" w:hAnsi="Palatino"/>
          <w:sz w:val="22"/>
          <w:szCs w:val="22"/>
        </w:rPr>
        <w:t>y suggests</w:t>
      </w:r>
      <w:r w:rsidRPr="009122B7">
        <w:rPr>
          <w:rFonts w:ascii="Palatino" w:hAnsi="Palatino"/>
          <w:sz w:val="22"/>
          <w:szCs w:val="22"/>
        </w:rPr>
        <w:t xml:space="preserve"> species </w:t>
      </w:r>
      <w:r w:rsidR="002F06DC" w:rsidRPr="009122B7">
        <w:rPr>
          <w:rFonts w:ascii="Palatino" w:hAnsi="Palatino"/>
          <w:sz w:val="22"/>
          <w:szCs w:val="22"/>
        </w:rPr>
        <w:t xml:space="preserve">in competition will exploit resources in the most efficient way </w:t>
      </w:r>
      <w:r w:rsidR="008C1A68" w:rsidRPr="009122B7">
        <w:rPr>
          <w:rFonts w:ascii="Palatino" w:hAnsi="Palatino"/>
          <w:sz w:val="22"/>
          <w:szCs w:val="22"/>
        </w:rPr>
        <w:fldChar w:fldCharType="begin" w:fldLock="1"/>
      </w:r>
      <w:r w:rsidR="004A1E39" w:rsidRPr="009122B7">
        <w:rPr>
          <w:rFonts w:ascii="Palatino" w:hAnsi="Palatino"/>
          <w:sz w:val="22"/>
          <w:szCs w:val="22"/>
        </w:rPr>
        <w:instrText>ADDIN CSL_CITATION {"citationItems":[{"id":"ITEM-1","itemData":{"author":[{"dropping-particle":"","family":"Orians","given":"G H","non-dropping-particle":"","parse-names":false,"suffix":""},{"dropping-particle":"","family":"Pearson","given":"N E","non-dropping-particle":"","parse-names":false,"suffix":""}],"container-title":"Analysis of ecological systems","id":"ITEM-1","issued":{"date-parts":[["1979"]]},"page":"155-177","publisher":"Ohio State University Press","title":"On the ecology of central place foraging","type":"article-journal"},"uris":["http://www.mendeley.com/documents/?uuid=4262f2eb-2f7c-32be-aa4e-db1da81e1580"]}],"mendeley":{"formattedCitation":"(Orians and Pearson 1979)","plainTextFormattedCitation":"(Orians and Pearson 1979)","previouslyFormattedCitation":"(Orians and Pearson 1979)"},"properties":{"noteIndex":0},"schema":"https://github.com/citation-style-language/schema/raw/master/csl-citation.json"}</w:instrText>
      </w:r>
      <w:r w:rsidR="008C1A68" w:rsidRPr="009122B7">
        <w:rPr>
          <w:rFonts w:ascii="Palatino" w:hAnsi="Palatino"/>
          <w:sz w:val="22"/>
          <w:szCs w:val="22"/>
        </w:rPr>
        <w:fldChar w:fldCharType="separate"/>
      </w:r>
      <w:r w:rsidR="008C1A68" w:rsidRPr="009122B7">
        <w:rPr>
          <w:rFonts w:ascii="Palatino" w:hAnsi="Palatino"/>
          <w:noProof/>
          <w:sz w:val="22"/>
          <w:szCs w:val="22"/>
        </w:rPr>
        <w:t>(Orians and Pearson 1979)</w:t>
      </w:r>
      <w:r w:rsidR="008C1A68" w:rsidRPr="009122B7">
        <w:rPr>
          <w:rFonts w:ascii="Palatino" w:hAnsi="Palatino"/>
          <w:sz w:val="22"/>
          <w:szCs w:val="22"/>
        </w:rPr>
        <w:fldChar w:fldCharType="end"/>
      </w:r>
      <w:r w:rsidR="008C1A68" w:rsidRPr="009122B7">
        <w:rPr>
          <w:rFonts w:ascii="Palatino" w:hAnsi="Palatino"/>
          <w:sz w:val="22"/>
          <w:szCs w:val="22"/>
        </w:rPr>
        <w:t xml:space="preserve">. </w:t>
      </w:r>
      <w:r w:rsidR="003937EC">
        <w:rPr>
          <w:rFonts w:ascii="Palatino" w:hAnsi="Palatino"/>
          <w:sz w:val="22"/>
          <w:szCs w:val="22"/>
        </w:rPr>
        <w:t xml:space="preserve">LAAL and BFAL exhibit behaviors that could be described by this framework, such as differential use in foraging habitat (habitat segregation). </w:t>
      </w:r>
      <w:r w:rsidR="00837657">
        <w:rPr>
          <w:rFonts w:ascii="Palatino" w:hAnsi="Palatino"/>
          <w:sz w:val="22"/>
          <w:szCs w:val="22"/>
        </w:rPr>
        <w:t>R</w:t>
      </w:r>
      <w:r w:rsidR="003937EC" w:rsidRPr="003937EC">
        <w:rPr>
          <w:rFonts w:ascii="Palatino" w:hAnsi="Palatino"/>
          <w:sz w:val="22"/>
          <w:szCs w:val="22"/>
        </w:rPr>
        <w:t xml:space="preserve">eduction in competitive pressure is one reason </w:t>
      </w:r>
      <w:r w:rsidR="00837657">
        <w:rPr>
          <w:rFonts w:ascii="Palatino" w:hAnsi="Palatino"/>
          <w:sz w:val="22"/>
          <w:szCs w:val="22"/>
        </w:rPr>
        <w:t xml:space="preserve">that </w:t>
      </w:r>
      <w:r w:rsidR="003937EC" w:rsidRPr="003937EC">
        <w:rPr>
          <w:rFonts w:ascii="Palatino" w:hAnsi="Palatino"/>
          <w:sz w:val="22"/>
          <w:szCs w:val="22"/>
        </w:rPr>
        <w:t xml:space="preserve">these behaviors </w:t>
      </w:r>
      <w:r w:rsidR="00837657">
        <w:rPr>
          <w:rFonts w:ascii="Palatino" w:hAnsi="Palatino"/>
          <w:sz w:val="22"/>
          <w:szCs w:val="22"/>
        </w:rPr>
        <w:t xml:space="preserve">may occur </w:t>
      </w:r>
      <w:r w:rsidR="003937EC">
        <w:rPr>
          <w:rFonts w:ascii="Palatino" w:hAnsi="Palatino"/>
          <w:sz w:val="22"/>
          <w:szCs w:val="22"/>
        </w:rPr>
        <w:lastRenderedPageBreak/>
        <w:fldChar w:fldCharType="begin" w:fldLock="1"/>
      </w:r>
      <w:r w:rsidR="003937EC">
        <w:rPr>
          <w:rFonts w:ascii="Palatino" w:hAnsi="Palatino"/>
          <w:sz w:val="22"/>
          <w:szCs w:val="22"/>
        </w:rPr>
        <w:instrText>ADDIN CSL_CITATION {"citationItems":[{"id":"ITEM-1","itemData":{"DOI":"10.1186/s40462-015-0063-4","ISSN":"20513933","abstract":"Background: The spatiotemporal distribution of animals is dependent on a suite of factors, including the distribution of resources, interactions within and between species, physiological limitations, and requirements for reproduction, dispersal, or migration. During breeding, reproductive constraints play a major role in the distribution and behavior of central place foragers, such as pelagic seabirds. We examined the foraging behavior and marine habitat selection of Laysan (Phoebastria immutabilis) and black-footed (P. nigripes) albatrosses throughout their eight month breeding cycle at Tern Island, Northwest Hawaiian Islands to evaluate how variable constraints of breeding influenced habitat availability and foraging decisions. We used satellite tracking and light-based geolocation to determine foraging locations of individuals, and applied a biologically realistic null usage model to generate control locations and model habitat preference under a case-control design. Remotely sensed oceanographic data were used to characterize albatross habitats in the North Pacific. Results: Individuals of both species ranged significantly farther and for longer durations during incubation and chick-rearing compared to the brooding period. Interspecific segregation of core foraging areas was observed during incubation and chick-rearing, but not during brooding. At-sea activity patterns were most similar between species during brooding; neither species altered foraging effort to compensate for presumed low prey availability and high energy demands during this stage. Habitat selection during long-ranging movements was most strongly associated with sea surface temperature for both species, with a preference for cooler ocean temperatures compared to overall availability. During brooding, lower explanatory power of habitat models was likely related to the narrow range of ocean temperatures available for selection. Conclusions: Laysan and black-footed albatrosses differ from other albatross species in that they breed in an oligotrophic marine environment. During incubation and chick-rearing, they travel to cooler, more productive waters, but are restricted to the low-productivity environment near the colony during brooding, when energy requirements are greatest. Compared to other albatross species, Laysan and black-footed albatrosses spend a greater proportion of time in flight when foraging, especially during the brooding period; this strategy may be adaptive for locatin…","author":[{"dropping-particle":"","family":"Kappes","given":"Michelle A.","non-dropping-particle":"","parse-names":false,"suffix":""},{"dropping-particle":"","family":"Shaffer","given":"Scott A.","non-dropping-particle":"","parse-names":false,"suffix":""},{"dropping-particle":"","family":"Tremblay","given":"Yann","non-dropping-particle":"","parse-names":false,"suffix":""},{"dropping-particle":"","family":"Foley","given":"David G.","non-dropping-particle":"","parse-names":false,"suffix":""},{"dropping-particle":"","family":"Palacios","given":"Daniel M.","non-dropping-particle":"","parse-names":false,"suffix":""},{"dropping-particle":"","family":"Bograd","given":"Steven J.","non-dropping-particle":"","parse-names":false,"suffix":""},{"dropping-particle":"","family":"Costa","given":"Daniel P.","non-dropping-particle":"","parse-names":false,"suffix":""}],"container-title":"Movement Ecology","id":"ITEM-1","issue":"1","issued":{"date-parts":[["2015","9","29"]]},"page":"1-24","publisher":"BioMed Central Ltd.","title":"Reproductive constraints influence habitat accessibility, segregation, and preference of sympatric albatross species","type":"article-journal","volume":"3"},"uris":["http://www.mendeley.com/documents/?uuid=81e36bdb-e401-386c-8381-2c5dcf2d1d0c"]}],"mendeley":{"formattedCitation":"(Kappes et al. 2015)","plainTextFormattedCitation":"(Kappes et al. 2015)","previouslyFormattedCitation":"(Kappes et al. 2015)"},"properties":{"noteIndex":0},"schema":"https://github.com/citation-style-language/schema/raw/master/csl-citation.json"}</w:instrText>
      </w:r>
      <w:r w:rsidR="003937EC">
        <w:rPr>
          <w:rFonts w:ascii="Palatino" w:hAnsi="Palatino"/>
          <w:sz w:val="22"/>
          <w:szCs w:val="22"/>
        </w:rPr>
        <w:fldChar w:fldCharType="separate"/>
      </w:r>
      <w:r w:rsidR="003937EC" w:rsidRPr="003937EC">
        <w:rPr>
          <w:rFonts w:ascii="Palatino" w:hAnsi="Palatino"/>
          <w:noProof/>
          <w:sz w:val="22"/>
          <w:szCs w:val="22"/>
        </w:rPr>
        <w:t>(Kappes et al. 2015)</w:t>
      </w:r>
      <w:r w:rsidR="003937EC">
        <w:rPr>
          <w:rFonts w:ascii="Palatino" w:hAnsi="Palatino"/>
          <w:sz w:val="22"/>
          <w:szCs w:val="22"/>
        </w:rPr>
        <w:fldChar w:fldCharType="end"/>
      </w:r>
      <w:r w:rsidR="003937EC">
        <w:rPr>
          <w:rFonts w:ascii="Palatino" w:hAnsi="Palatino"/>
          <w:sz w:val="22"/>
          <w:szCs w:val="22"/>
        </w:rPr>
        <w:t xml:space="preserve">. </w:t>
      </w:r>
      <w:r w:rsidR="00367875" w:rsidRPr="009122B7">
        <w:rPr>
          <w:rFonts w:ascii="Palatino" w:hAnsi="Palatino"/>
          <w:sz w:val="22"/>
          <w:szCs w:val="22"/>
        </w:rPr>
        <w:t xml:space="preserve">During the breeding phase, and particularly during brooding, </w:t>
      </w:r>
      <w:r w:rsidR="00837657">
        <w:rPr>
          <w:rFonts w:ascii="Palatino" w:hAnsi="Palatino"/>
          <w:sz w:val="22"/>
          <w:szCs w:val="22"/>
        </w:rPr>
        <w:t xml:space="preserve">there is </w:t>
      </w:r>
      <w:r w:rsidR="00AF6492" w:rsidRPr="009122B7">
        <w:rPr>
          <w:rFonts w:ascii="Palatino" w:hAnsi="Palatino"/>
          <w:sz w:val="22"/>
          <w:szCs w:val="22"/>
        </w:rPr>
        <w:t xml:space="preserve">strong segregation of core foraging areas between LAAL and BFAL </w:t>
      </w:r>
      <w:r w:rsidR="003937EC">
        <w:rPr>
          <w:rFonts w:ascii="Palatino" w:hAnsi="Palatino"/>
          <w:sz w:val="22"/>
          <w:szCs w:val="22"/>
        </w:rPr>
        <w:fldChar w:fldCharType="begin" w:fldLock="1"/>
      </w:r>
      <w:r w:rsidR="00BB5780">
        <w:rPr>
          <w:rFonts w:ascii="Palatino" w:hAnsi="Palatino"/>
          <w:sz w:val="22"/>
          <w:szCs w:val="22"/>
        </w:rPr>
        <w:instrText>ADDIN CSL_CITATION {"citationItems":[{"id":"ITEM-1","itemData":{"DOI":"Conners_ucsc_0036E_10949","author":[{"dropping-particle":"","family":"Conners","given":"Melinda G","non-dropping-particle":"","parse-names":false,"suffix":""}],"id":"ITEM-1","issued":{"date-parts":[["2015"]]},"publisher":"UC Santa Cruz","title":"Comparative behavior, diet, and post-breeding strategies of two sympatric North Pacific albatross species (Phoebastria sp.)","type":"thesis"},"uris":["http://www.mendeley.com/documents/?uuid=fd7f8b7d-fe18-4dad-914d-ba9d06ad0ac9"]}],"mendeley":{"formattedCitation":"(Conners 2015)","plainTextFormattedCitation":"(Conners 2015)","previouslyFormattedCitation":"(Conners 2015)"},"properties":{"noteIndex":0},"schema":"https://github.com/citation-style-language/schema/raw/master/csl-citation.json"}</w:instrText>
      </w:r>
      <w:r w:rsidR="003937EC">
        <w:rPr>
          <w:rFonts w:ascii="Palatino" w:hAnsi="Palatino"/>
          <w:sz w:val="22"/>
          <w:szCs w:val="22"/>
        </w:rPr>
        <w:fldChar w:fldCharType="separate"/>
      </w:r>
      <w:r w:rsidR="003937EC" w:rsidRPr="003937EC">
        <w:rPr>
          <w:rFonts w:ascii="Palatino" w:hAnsi="Palatino"/>
          <w:noProof/>
          <w:sz w:val="22"/>
          <w:szCs w:val="22"/>
        </w:rPr>
        <w:t>(Conners 2015)</w:t>
      </w:r>
      <w:r w:rsidR="003937EC">
        <w:rPr>
          <w:rFonts w:ascii="Palatino" w:hAnsi="Palatino"/>
          <w:sz w:val="22"/>
          <w:szCs w:val="22"/>
        </w:rPr>
        <w:fldChar w:fldCharType="end"/>
      </w:r>
      <w:r w:rsidR="00AF6492" w:rsidRPr="009122B7">
        <w:rPr>
          <w:rFonts w:ascii="Palatino" w:hAnsi="Palatino"/>
          <w:sz w:val="22"/>
          <w:szCs w:val="22"/>
        </w:rPr>
        <w:t>.</w:t>
      </w:r>
      <w:r w:rsidR="00DE3715" w:rsidRPr="009122B7">
        <w:rPr>
          <w:rFonts w:ascii="Palatino" w:hAnsi="Palatino"/>
          <w:sz w:val="22"/>
          <w:szCs w:val="22"/>
        </w:rPr>
        <w:t xml:space="preserve"> </w:t>
      </w:r>
    </w:p>
    <w:p w14:paraId="45B940A3" w14:textId="6EF197C3" w:rsidR="00AF6492" w:rsidRDefault="00AF6492" w:rsidP="006854DD">
      <w:pPr>
        <w:tabs>
          <w:tab w:val="right" w:pos="9360"/>
        </w:tabs>
        <w:rPr>
          <w:rFonts w:ascii="Palatino" w:hAnsi="Palatino"/>
        </w:rPr>
      </w:pPr>
    </w:p>
    <w:p w14:paraId="680D8980" w14:textId="77777777" w:rsidR="008F5403" w:rsidRDefault="008F5403" w:rsidP="006854DD">
      <w:pPr>
        <w:tabs>
          <w:tab w:val="right" w:pos="9360"/>
        </w:tabs>
        <w:rPr>
          <w:rFonts w:ascii="Palatino" w:hAnsi="Palatino"/>
          <w:i/>
          <w:iCs/>
        </w:rPr>
      </w:pPr>
    </w:p>
    <w:p w14:paraId="4557F8EB" w14:textId="41C61B2E" w:rsidR="00AF6492" w:rsidRDefault="001F640A" w:rsidP="006854DD">
      <w:pPr>
        <w:tabs>
          <w:tab w:val="right" w:pos="9360"/>
        </w:tabs>
        <w:rPr>
          <w:rFonts w:ascii="Palatino" w:hAnsi="Palatino"/>
          <w:i/>
          <w:iCs/>
        </w:rPr>
      </w:pPr>
      <w:r>
        <w:rPr>
          <w:rFonts w:ascii="Palatino" w:hAnsi="Palatino"/>
          <w:i/>
          <w:iCs/>
        </w:rPr>
        <w:t>Non</w:t>
      </w:r>
      <w:r w:rsidR="00AF6492">
        <w:rPr>
          <w:rFonts w:ascii="Palatino" w:hAnsi="Palatino"/>
          <w:i/>
          <w:iCs/>
        </w:rPr>
        <w:t>-breeding segregation</w:t>
      </w:r>
    </w:p>
    <w:p w14:paraId="69412E28" w14:textId="049493C5" w:rsidR="00D82C96" w:rsidRDefault="00D82C96" w:rsidP="006854DD">
      <w:pPr>
        <w:tabs>
          <w:tab w:val="right" w:pos="9360"/>
        </w:tabs>
        <w:rPr>
          <w:rFonts w:ascii="Palatino" w:hAnsi="Palatino"/>
          <w:i/>
          <w:iCs/>
        </w:rPr>
      </w:pPr>
    </w:p>
    <w:p w14:paraId="2034B890" w14:textId="033F84AB" w:rsidR="00A44882" w:rsidRPr="003461D9" w:rsidRDefault="00A44882" w:rsidP="00A577F3">
      <w:pPr>
        <w:tabs>
          <w:tab w:val="right" w:pos="9360"/>
        </w:tabs>
        <w:rPr>
          <w:rFonts w:ascii="Palatino" w:eastAsia="Times New Roman" w:hAnsi="Palatino" w:cs="Times New Roman"/>
          <w:color w:val="000000" w:themeColor="text1"/>
          <w:sz w:val="22"/>
          <w:szCs w:val="22"/>
        </w:rPr>
      </w:pPr>
      <w:r w:rsidRPr="008E444C">
        <w:rPr>
          <w:rFonts w:ascii="Palatino" w:eastAsia="Times New Roman" w:hAnsi="Palatino" w:cs="Times New Roman"/>
          <w:color w:val="000000" w:themeColor="text1"/>
          <w:sz w:val="22"/>
          <w:szCs w:val="22"/>
        </w:rPr>
        <w:t xml:space="preserve">Competition between pelagic avian species and sexes can drive at-sea habitat segregation </w:t>
      </w:r>
      <w:r w:rsidR="001F230F" w:rsidRPr="008E444C">
        <w:rPr>
          <w:rFonts w:ascii="Palatino" w:eastAsia="Times New Roman" w:hAnsi="Palatino" w:cs="Times New Roman"/>
          <w:color w:val="000000" w:themeColor="text1"/>
          <w:sz w:val="22"/>
          <w:szCs w:val="22"/>
        </w:rPr>
        <w:fldChar w:fldCharType="begin" w:fldLock="1"/>
      </w:r>
      <w:r w:rsidR="004B3EBA">
        <w:rPr>
          <w:rFonts w:ascii="Palatino" w:eastAsia="Times New Roman" w:hAnsi="Palatino" w:cs="Times New Roman"/>
          <w:color w:val="000000" w:themeColor="text1"/>
          <w:sz w:val="22"/>
          <w:szCs w:val="22"/>
        </w:rPr>
        <w:instrText>ADDIN CSL_CITATION {"citationItems":[{"id":"ITEM-1","itemData":{"DOI":"10.1186/s40462-015-0063-4","ISSN":"20513933","abstract":"Background: The spatiotemporal distribution of animals is dependent on a suite of factors, including the distribution of resources, interactions within and between species, physiological limitations, and requirements for reproduction, dispersal, or migration. During breeding, reproductive constraints play a major role in the distribution and behavior of central place foragers, such as pelagic seabirds. We examined the foraging behavior and marine habitat selection of Laysan (Phoebastria immutabilis) and black-footed (P. nigripes) albatrosses throughout their eight month breeding cycle at Tern Island, Northwest Hawaiian Islands to evaluate how variable constraints of breeding influenced habitat availability and foraging decisions. We used satellite tracking and light-based geolocation to determine foraging locations of individuals, and applied a biologically realistic null usage model to generate control locations and model habitat preference under a case-control design. Remotely sensed oceanographic data were used to characterize albatross habitats in the North Pacific. Results: Individuals of both species ranged significantly farther and for longer durations during incubation and chick-rearing compared to the brooding period. Interspecific segregation of core foraging areas was observed during incubation and chick-rearing, but not during brooding. At-sea activity patterns were most similar between species during brooding; neither species altered foraging effort to compensate for presumed low prey availability and high energy demands during this stage. Habitat selection during long-ranging movements was most strongly associated with sea surface temperature for both species, with a preference for cooler ocean temperatures compared to overall availability. During brooding, lower explanatory power of habitat models was likely related to the narrow range of ocean temperatures available for selection. Conclusions: Laysan and black-footed albatrosses differ from other albatross species in that they breed in an oligotrophic marine environment. During incubation and chick-rearing, they travel to cooler, more productive waters, but are restricted to the low-productivity environment near the colony during brooding, when energy requirements are greatest. Compared to other albatross species, Laysan and black-footed albatrosses spend a greater proportion of time in flight when foraging, especially during the brooding period; this strategy may be adaptive for locatin…","author":[{"dropping-particle":"","family":"Kappes","given":"Michelle A.","non-dropping-particle":"","parse-names":false,"suffix":""},{"dropping-particle":"","family":"Shaffer","given":"Scott A.","non-dropping-particle":"","parse-names":false,"suffix":""},{"dropping-particle":"","family":"Tremblay","given":"Yann","non-dropping-particle":"","parse-names":false,"suffix":""},{"dropping-particle":"","family":"Foley","given":"David G.","non-dropping-particle":"","parse-names":false,"suffix":""},{"dropping-particle":"","family":"Palacios","given":"Daniel M.","non-dropping-particle":"","parse-names":false,"suffix":""},{"dropping-particle":"","family":"Bograd","given":"Steven J.","non-dropping-particle":"","parse-names":false,"suffix":""},{"dropping-particle":"","family":"Costa","given":"Daniel P.","non-dropping-particle":"","parse-names":false,"suffix":""}],"container-title":"Movement Ecology","id":"ITEM-1","issue":"1","issued":{"date-parts":[["2015","9","29"]]},"page":"1-24","publisher":"BioMed Central Ltd.","title":"Reproductive constraints influence habitat accessibility, segregation, and preference of sympatric albatross species","type":"article-journal","volume":"3"},"uris":["http://www.mendeley.com/documents/?uuid=81e36bdb-e401-386c-8381-2c5dcf2d1d0c"]},{"id":"ITEM-2","itemData":{"abstract":"ABSTRACT: We characterized the movements and oceanographic habitats of black-footed (Phoebastria nigripes) and Laysan (P. immutabilis) albatrosses during the brooding and the rearing periods of the breeding cycle. Analyses of satellite telemetry data in conjunction with remotely sensed sea surface temperature and chlorophyll concentrations revealed substantial differences in habitat use between these 2 sympatrically breeding species. During the brooding period, black-footed albatross restricted their foraging to tropical waters (&gt;20°C), while Laysan albatross ventured into the colder waters of the Transition Domain (15 to 12°C) and the Subarctic Frontal Zone (12 to 10°C). This pelagic segregation became more apparent with the expansion of the foraging ranges later in the breeding season. During the chick-rearing period, black-footed albatross commuted to the California Current (15 to 12°C) and Laysan albatross foraged in subarctic (","author":[{"dropping-particle":"","family":"Hyrenbach","given":"K David","non-dropping-particle":"","parse-names":false,"suffix":""},{"dropping-particle":"","family":"Fernandez","given":"Patricia","non-dropping-particle":"","parse-names":false,"suffix":""},{"dropping-particle":"","family":"Anderson","given":"David J","non-dropping-particle":"","parse-names":false,"suffix":""}],"container-title":"Marine Ecology Progress Series","id":"ITEM-2","issued":{"date-parts":[["2002"]]},"note":"10.3354/meps233283","page":"283-301","title":"Oceanographic habitats of two sympatric North Pacific albatrosses during the breeding season","type":"article-journal","volume":"233"},"uris":["http://www.mendeley.com/documents/?uuid=7b6d63c7-f5ed-4f32-be4c-50aa2a3fbd1d"]},{"id":"ITEM-3","itemData":{"DOI":"10.1111/ibi.12119","ISSN":"0019-1019","abstract":"Past tracking studies of marine animals have primarily targeted adults, biasing our understanding of at-sea habitat use toward older life stages. Anthropogenic threats persist throughout the at-sea ranges of all life stages and it is therefore of interest to population ecologists and managers alike to understand spatiotemporal distributions and possible niche differentiation between age-classes. In albatrosses, particularly little is known about the juvenile life stage when fledglings depart the colonies and venture to sea with no prior experience or parental guidance. We compared the dispersal of 22 fledgling Black-footed Albatross Phoebastria nigripes between 2006 and 2008 using satellite telemetry and 16 adults between 2008 and 2009 using geolocaters from Midway Atoll National Wildlife Refuge, Northwest Hawaiian Islands. Following tag deployment, all fledglings spent several days within the calm atoll waters, then travelled northward until reaching 750?900 km from the colony. At this point, fledgling distributions approached the productive North Pacific Transition Zone (NPTZ). Rather than reaching the high chlorophyll a densities on the leading edge of this zone, however, fledglings remained in areas of low productivity in the subtropical gyre. In contrast, adult albatrosses from the same breeding colony did not utilize the NPTZ at this time of year but rather ranged throughout the highly productive northern periphery of the Pacific Ocean Basin among the shelf regions off Japan and the Aleutian Islands. The dichotomy in habitat use between fledglings and adults from Midway Atoll results in complete spatial segregation between age-classes and suggests ontogenetic niche separation in this species. This research fills a large knowledge gap in at-sea habitat use during a little known yet critical life stage of albatrosses, and contributes to a more comprehensive understanding of differential mortality pressure between age-classes and overall conservation status for the vulnerable Black-footed Albatross.","author":[{"dropping-particle":"","family":"Gutowsky","given":"Sarah E","non-dropping-particle":"","parse-names":false,"suffix":""},{"dropping-particle":"","family":"Tremblay","given":"Yann","non-dropping-particle":"","parse-names":false,"suffix":""},{"dropping-particle":"","family":"Kappes","given":"Michelle A","non-dropping-particle":"","parse-names":false,"suffix":""},{"dropping-particle":"","family":"Flint","given":"Elizabeth N","non-dropping-particle":"","parse-names":false,"suffix":""},{"dropping-particle":"","family":"Klavitter","given":"John","non-dropping-particle":"","parse-names":false,"suffix":""},{"dropping-particle":"","family":"Laniawe","given":"Leona","non-dropping-particle":"","parse-names":false,"suffix":""},{"dropping-particle":"","family":"Costa","given":"Dan P","non-dropping-particle":"","parse-names":false,"suffix":""},{"dropping-particle":"","family":"Naughton","given":"Maura B","non-dropping-particle":"","parse-names":false,"suffix":""},{"dropping-particle":"","family":"Romano","given":"Marc D","non-dropping-particle":"","parse-names":false,"suffix":""},{"dropping-particle":"","family":"Shaffer","given":"Scott A","non-dropping-particle":"","parse-names":false,"suffix":""}],"container-title":"Ibis","id":"ITEM-3","issue":"1","issued":{"date-parts":[["2014","1","1"]]},"note":"doi: 10.1111/ibi.12119","page":"60-72","publisher":"John Wiley &amp; Sons, Ltd","title":"Divergent post-breeding distribution and habitat associations of fledgling and adult Black-footed Albatrosses Phoebastria nigripes in the North Pacific","type":"article-journal","volume":"156"},"uris":["http://www.mendeley.com/documents/?uuid=78480a9a-51ab-4360-bf93-507df397108f"]}],"mendeley":{"formattedCitation":"(Kappes et al. 2015; K David Hyrenbach, Fernandez, and Anderson 2002; Gutowsky, Tremblay, et al. 2014)","manualFormatting":"(Kappes et al. 2015; Hyrenbach, Fernandez, and Anderson 2002; Gutowsky et al. 2014)","plainTextFormattedCitation":"(Kappes et al. 2015; K David Hyrenbach, Fernandez, and Anderson 2002; Gutowsky, Tremblay, et al. 2014)","previouslyFormattedCitation":"(Kappes et al. 2015; K David Hyrenbach, Fernandez, and Anderson 2002; Gutowsky, Tremblay, et al. 2014)"},"properties":{"noteIndex":0},"schema":"https://github.com/citation-style-language/schema/raw/master/csl-citation.json"}</w:instrText>
      </w:r>
      <w:r w:rsidR="001F230F" w:rsidRPr="008E444C">
        <w:rPr>
          <w:rFonts w:ascii="Palatino" w:eastAsia="Times New Roman" w:hAnsi="Palatino" w:cs="Times New Roman"/>
          <w:color w:val="000000" w:themeColor="text1"/>
          <w:sz w:val="22"/>
          <w:szCs w:val="22"/>
        </w:rPr>
        <w:fldChar w:fldCharType="separate"/>
      </w:r>
      <w:r w:rsidR="001F230F" w:rsidRPr="008E444C">
        <w:rPr>
          <w:rFonts w:ascii="Palatino" w:eastAsia="Times New Roman" w:hAnsi="Palatino" w:cs="Times New Roman"/>
          <w:noProof/>
          <w:color w:val="000000" w:themeColor="text1"/>
          <w:sz w:val="22"/>
          <w:szCs w:val="22"/>
        </w:rPr>
        <w:t>(Kappes et al. 2015; Hyrenbach, Fernandez, and Anderson 2002; Gutowsky et al. 2014)</w:t>
      </w:r>
      <w:r w:rsidR="001F230F" w:rsidRPr="008E444C">
        <w:rPr>
          <w:rFonts w:ascii="Palatino" w:eastAsia="Times New Roman" w:hAnsi="Palatino" w:cs="Times New Roman"/>
          <w:color w:val="000000" w:themeColor="text1"/>
          <w:sz w:val="22"/>
          <w:szCs w:val="22"/>
        </w:rPr>
        <w:fldChar w:fldCharType="end"/>
      </w:r>
      <w:r w:rsidR="001F230F" w:rsidRPr="008E444C">
        <w:rPr>
          <w:rFonts w:ascii="Palatino" w:eastAsia="Times New Roman" w:hAnsi="Palatino" w:cs="Times New Roman"/>
          <w:color w:val="000000" w:themeColor="text1"/>
          <w:sz w:val="22"/>
          <w:szCs w:val="22"/>
        </w:rPr>
        <w:t>.</w:t>
      </w:r>
      <w:r w:rsidR="001F230F" w:rsidRPr="008E444C">
        <w:rPr>
          <w:rFonts w:ascii="Palatino" w:hAnsi="Palatino"/>
          <w:sz w:val="22"/>
          <w:szCs w:val="22"/>
        </w:rPr>
        <w:t xml:space="preserve"> </w:t>
      </w:r>
      <w:r w:rsidR="00155B25" w:rsidRPr="008E444C">
        <w:rPr>
          <w:rFonts w:ascii="Palatino" w:eastAsia="Times New Roman" w:hAnsi="Palatino" w:cs="Times New Roman"/>
          <w:color w:val="000000" w:themeColor="text1"/>
          <w:sz w:val="22"/>
          <w:szCs w:val="22"/>
        </w:rPr>
        <w:t xml:space="preserve">While many studies have confirmed this behavior of habitat segregation during the breeding period, there is a paucity of information to determine </w:t>
      </w:r>
      <w:r w:rsidR="00837657">
        <w:rPr>
          <w:rFonts w:ascii="Palatino" w:eastAsia="Times New Roman" w:hAnsi="Palatino" w:cs="Times New Roman"/>
          <w:color w:val="000000" w:themeColor="text1"/>
          <w:sz w:val="22"/>
          <w:szCs w:val="22"/>
        </w:rPr>
        <w:t>whether</w:t>
      </w:r>
      <w:r w:rsidR="00155B25" w:rsidRPr="008E444C">
        <w:rPr>
          <w:rFonts w:ascii="Palatino" w:eastAsia="Times New Roman" w:hAnsi="Palatino" w:cs="Times New Roman"/>
          <w:color w:val="000000" w:themeColor="text1"/>
          <w:sz w:val="22"/>
          <w:szCs w:val="22"/>
        </w:rPr>
        <w:t xml:space="preserve"> spatial segregation</w:t>
      </w:r>
      <w:r w:rsidR="00837657">
        <w:rPr>
          <w:rFonts w:ascii="Palatino" w:eastAsia="Times New Roman" w:hAnsi="Palatino" w:cs="Times New Roman"/>
          <w:color w:val="000000" w:themeColor="text1"/>
          <w:sz w:val="22"/>
          <w:szCs w:val="22"/>
        </w:rPr>
        <w:t xml:space="preserve"> occurs</w:t>
      </w:r>
      <w:r w:rsidR="00155B25" w:rsidRPr="008E444C">
        <w:rPr>
          <w:rFonts w:ascii="Palatino" w:eastAsia="Times New Roman" w:hAnsi="Palatino" w:cs="Times New Roman"/>
          <w:color w:val="000000" w:themeColor="text1"/>
          <w:sz w:val="22"/>
          <w:szCs w:val="22"/>
        </w:rPr>
        <w:t xml:space="preserve"> during the non-breeding phase.</w:t>
      </w:r>
      <w:r w:rsidR="00A246F6">
        <w:rPr>
          <w:rFonts w:ascii="Palatino" w:eastAsia="Times New Roman" w:hAnsi="Palatino" w:cs="Times New Roman"/>
          <w:color w:val="000000" w:themeColor="text1"/>
          <w:sz w:val="22"/>
          <w:szCs w:val="22"/>
        </w:rPr>
        <w:t xml:space="preserve"> </w:t>
      </w:r>
      <w:r w:rsidR="00A246F6" w:rsidRPr="00A246F6">
        <w:rPr>
          <w:rFonts w:ascii="Palatino" w:hAnsi="Palatino"/>
          <w:sz w:val="22"/>
          <w:szCs w:val="22"/>
        </w:rPr>
        <w:t>Species that are central place foragers when breeding are freed from the central place after concluding breeding, and presumably return to conditions of lower competition. It is conceivable that habitat segregation seen during breeding may become substantially reduced resulting in greater mixing of distributions, or overlap, between functionally similar species with similar foraging requirements</w:t>
      </w:r>
      <w:r w:rsidR="00681C07">
        <w:rPr>
          <w:rFonts w:ascii="Palatino" w:hAnsi="Palatino"/>
          <w:sz w:val="22"/>
          <w:szCs w:val="22"/>
        </w:rPr>
        <w:t xml:space="preserve"> (</w:t>
      </w:r>
      <w:proofErr w:type="spellStart"/>
      <w:r w:rsidR="00A246F6" w:rsidRPr="00A246F6">
        <w:rPr>
          <w:rFonts w:ascii="Palatino" w:hAnsi="Palatino"/>
          <w:sz w:val="22"/>
          <w:szCs w:val="22"/>
        </w:rPr>
        <w:t>Kappes</w:t>
      </w:r>
      <w:proofErr w:type="spellEnd"/>
      <w:r w:rsidR="00A246F6" w:rsidRPr="00A246F6">
        <w:rPr>
          <w:rFonts w:ascii="Palatino" w:hAnsi="Palatino"/>
          <w:sz w:val="22"/>
          <w:szCs w:val="22"/>
        </w:rPr>
        <w:t xml:space="preserve"> et al. 2015</w:t>
      </w:r>
      <w:r w:rsidR="00681C07">
        <w:rPr>
          <w:rFonts w:ascii="Palatino" w:hAnsi="Palatino"/>
          <w:sz w:val="22"/>
          <w:szCs w:val="22"/>
        </w:rPr>
        <w:t>,</w:t>
      </w:r>
      <w:r w:rsidR="00A246F6" w:rsidRPr="00A246F6">
        <w:rPr>
          <w:rFonts w:ascii="Palatino" w:hAnsi="Palatino"/>
          <w:sz w:val="22"/>
          <w:szCs w:val="22"/>
        </w:rPr>
        <w:t xml:space="preserve"> Conners 2015</w:t>
      </w:r>
      <w:r w:rsidR="00681C07">
        <w:rPr>
          <w:rFonts w:ascii="Palatino" w:hAnsi="Palatino"/>
          <w:sz w:val="22"/>
          <w:szCs w:val="22"/>
        </w:rPr>
        <w:t xml:space="preserve">, </w:t>
      </w:r>
      <w:r w:rsidR="00681C07">
        <w:rPr>
          <w:rFonts w:ascii="Palatino" w:hAnsi="Palatino"/>
          <w:sz w:val="22"/>
          <w:szCs w:val="22"/>
        </w:rPr>
        <w:fldChar w:fldCharType="begin" w:fldLock="1"/>
      </w:r>
      <w:r w:rsidR="00955ABE">
        <w:rPr>
          <w:rFonts w:ascii="Palatino" w:hAnsi="Palatino"/>
          <w:sz w:val="22"/>
          <w:szCs w:val="22"/>
        </w:rPr>
        <w:instrText>ADDIN CSL_CITATION {"citationItems":[{"id":"ITEM-1","itemData":{"DOI":"10.1111/jav.01935","ISSN":"0908-8857","abstract":"Individual competitiveness conditions access to resources when they are limited. Immature individuals that are less skilled than adults have to adapt their foraging strategies to survive. Among strategies to reduce competition, spatial segregation has been widely demonstrated. However, the use of spatial segregation by immatures to limit intra-specific competition with adults has rarely been tested. In this study, we investigated and compared habitat preferences and distributions of free-ranging immature and breeding adult northern gannets Morus bassanus in order to determine whether they compete for similar habitats during the year, and if this results in a spatial segregation between birds of different age groups. Based on &gt; 66 000 km of aerial surveys conducted in the North-East Atlantic Ocean during winter and summer 2012, habitats selected by immatures and adult birds were modelled independently, linking gannet density to a set of oceanographic and physiographic predictors. Their large-scale seasonal distribution was then predicted. We found that gannets displayed a strong season-dependent competition between immatures and adults, as a consequence of immatures and adults using similar habitats in both summer and winter. During summer, when adults are constrained by reproduction, both groups were spatially highly segregated despite similar habitat preferences (thermal fronts), with youngest individuals selecting habitats out of range of central-place foragers, highlighting intra-specific competition. Contrastingly during winter, when reproductive constraints disappear, immature and adult distributions largely overlapped. Our study provides new insights into the role played by age, foraging experience and reproductive constraints on the distribution of marine predators. More specifically, these results highlight in seabirds how the youngest fraction mitigates, through spatial segregation, the competition with experienced adults, and suggest a progressive strategy along the maturation process.","author":[{"dropping-particle":"","family":"Pettex","given":"Emeline","non-dropping-particle":"","parse-names":false,"suffix":""},{"dropping-particle":"","family":"Lambert","given":"Charlotte","non-dropping-particle":"","parse-names":false,"suffix":""},{"dropping-particle":"","family":"Fort","given":"Jérôme","non-dropping-particle":"","parse-names":false,"suffix":""},{"dropping-particle":"","family":"Dorémus","given":"Ghislain","non-dropping-particle":"","parse-names":false,"suffix":""},{"dropping-particle":"","family":"Ridoux","given":"Vincent","non-dropping-particle":"","parse-names":false,"suffix":""}],"container-title":"Journal of Avian Bio</w:instrText>
      </w:r>
      <w:r w:rsidR="00955ABE">
        <w:rPr>
          <w:rFonts w:ascii="Palatino" w:hAnsi="Palatino" w:hint="eastAsia"/>
          <w:sz w:val="22"/>
          <w:szCs w:val="22"/>
        </w:rPr>
        <w:instrText>logy","id":"ITEM-1","issue":"5","issued":{"date-parts":[["2019","5","9"]]},"page":"jav.01935","publisher":"Blackwell Publishing Ltd","title":"Spatial segregation between immatures and adults in a pelagic seabird suggests age</w:instrText>
      </w:r>
      <w:r w:rsidR="00955ABE">
        <w:rPr>
          <w:rFonts w:ascii="Palatino" w:hAnsi="Palatino" w:hint="eastAsia"/>
          <w:sz w:val="22"/>
          <w:szCs w:val="22"/>
        </w:rPr>
        <w:instrText>‐</w:instrText>
      </w:r>
      <w:r w:rsidR="00955ABE">
        <w:rPr>
          <w:rFonts w:ascii="Palatino" w:hAnsi="Palatino" w:hint="eastAsia"/>
          <w:sz w:val="22"/>
          <w:szCs w:val="22"/>
        </w:rPr>
        <w:instrText>related competition","type":"a</w:instrText>
      </w:r>
      <w:r w:rsidR="00955ABE">
        <w:rPr>
          <w:rFonts w:ascii="Palatino" w:hAnsi="Palatino"/>
          <w:sz w:val="22"/>
          <w:szCs w:val="22"/>
        </w:rPr>
        <w:instrText>rticle-journal","volume":"50"},"uris":["http://www.mendeley.com/documents/?uuid=9df8eebf-26d6-344d-b11f-ebd2940fe5a4"]}],"mendeley":{"formattedCitation":"(Pettex et al. 2019)","manualFormatting":"Pettex et al. 2019)","plainTextFormattedCitation":"(Pettex et al. 2019)","previouslyFormattedCitation":"(Pettex et al. 2019)"},"properties":{"noteIndex":0},"schema":"https://github.com/citation-style-language/schema/raw/master/csl-citation.json"}</w:instrText>
      </w:r>
      <w:r w:rsidR="00681C07">
        <w:rPr>
          <w:rFonts w:ascii="Palatino" w:hAnsi="Palatino"/>
          <w:sz w:val="22"/>
          <w:szCs w:val="22"/>
        </w:rPr>
        <w:fldChar w:fldCharType="separate"/>
      </w:r>
      <w:r w:rsidR="00681C07" w:rsidRPr="00681C07">
        <w:rPr>
          <w:rFonts w:ascii="Palatino" w:hAnsi="Palatino"/>
          <w:noProof/>
          <w:sz w:val="22"/>
          <w:szCs w:val="22"/>
        </w:rPr>
        <w:t>Pettex et al. 2019)</w:t>
      </w:r>
      <w:r w:rsidR="00681C07">
        <w:rPr>
          <w:rFonts w:ascii="Palatino" w:hAnsi="Palatino"/>
          <w:sz w:val="22"/>
          <w:szCs w:val="22"/>
        </w:rPr>
        <w:fldChar w:fldCharType="end"/>
      </w:r>
      <w:r w:rsidR="00A246F6" w:rsidRPr="00A246F6">
        <w:rPr>
          <w:rFonts w:ascii="Palatino" w:hAnsi="Palatino"/>
          <w:sz w:val="22"/>
          <w:szCs w:val="22"/>
        </w:rPr>
        <w:t>.</w:t>
      </w:r>
      <w:r w:rsidR="00A246F6" w:rsidRPr="00A246F6">
        <w:rPr>
          <w:rFonts w:ascii="Palatino" w:eastAsia="Times New Roman" w:hAnsi="Palatino" w:cs="Times New Roman"/>
          <w:color w:val="000000" w:themeColor="text1"/>
          <w:sz w:val="22"/>
          <w:szCs w:val="22"/>
        </w:rPr>
        <w:t xml:space="preserve"> </w:t>
      </w:r>
      <w:r w:rsidR="007A5E2C">
        <w:rPr>
          <w:rFonts w:ascii="Palatino" w:eastAsia="Times New Roman" w:hAnsi="Palatino" w:cs="Times New Roman"/>
          <w:color w:val="000000" w:themeColor="text1"/>
          <w:sz w:val="22"/>
          <w:szCs w:val="22"/>
        </w:rPr>
        <w:t xml:space="preserve">Limited work has </w:t>
      </w:r>
      <w:r w:rsidR="00837657">
        <w:rPr>
          <w:rFonts w:ascii="Palatino" w:eastAsia="Times New Roman" w:hAnsi="Palatino" w:cs="Times New Roman"/>
          <w:color w:val="000000" w:themeColor="text1"/>
          <w:sz w:val="22"/>
          <w:szCs w:val="22"/>
        </w:rPr>
        <w:t xml:space="preserve">suggested that </w:t>
      </w:r>
      <w:r w:rsidR="007A5E2C">
        <w:rPr>
          <w:rFonts w:ascii="Palatino" w:eastAsia="Times New Roman" w:hAnsi="Palatino" w:cs="Times New Roman"/>
          <w:color w:val="000000" w:themeColor="text1"/>
          <w:sz w:val="22"/>
          <w:szCs w:val="22"/>
        </w:rPr>
        <w:t>oceanographic features such as seamounts and the North Pacific Transition Zone</w:t>
      </w:r>
      <w:r w:rsidR="00B37834">
        <w:rPr>
          <w:rFonts w:ascii="Palatino" w:eastAsia="Times New Roman" w:hAnsi="Palatino" w:cs="Times New Roman"/>
          <w:color w:val="000000" w:themeColor="text1"/>
          <w:sz w:val="22"/>
          <w:szCs w:val="22"/>
        </w:rPr>
        <w:t xml:space="preserve"> </w:t>
      </w:r>
      <w:r w:rsidR="00837657">
        <w:rPr>
          <w:rFonts w:ascii="Palatino" w:eastAsia="Times New Roman" w:hAnsi="Palatino" w:cs="Times New Roman"/>
          <w:color w:val="000000" w:themeColor="text1"/>
          <w:sz w:val="22"/>
          <w:szCs w:val="22"/>
        </w:rPr>
        <w:t>may act to maintain</w:t>
      </w:r>
      <w:r w:rsidR="00B37834">
        <w:rPr>
          <w:rFonts w:ascii="Palatino" w:eastAsia="Times New Roman" w:hAnsi="Palatino" w:cs="Times New Roman"/>
          <w:color w:val="000000" w:themeColor="text1"/>
          <w:sz w:val="22"/>
          <w:szCs w:val="22"/>
        </w:rPr>
        <w:t xml:space="preserve"> segregation</w:t>
      </w:r>
      <w:r w:rsidR="007A5E2C">
        <w:rPr>
          <w:rFonts w:ascii="Palatino" w:eastAsia="Times New Roman" w:hAnsi="Palatino" w:cs="Times New Roman"/>
          <w:color w:val="000000" w:themeColor="text1"/>
          <w:sz w:val="22"/>
          <w:szCs w:val="22"/>
        </w:rPr>
        <w:t xml:space="preserve"> </w:t>
      </w:r>
      <w:r w:rsidR="007A5E2C">
        <w:rPr>
          <w:rFonts w:ascii="Palatino" w:eastAsia="Times New Roman" w:hAnsi="Palatino" w:cs="Times New Roman"/>
          <w:color w:val="000000" w:themeColor="text1"/>
          <w:sz w:val="22"/>
          <w:szCs w:val="22"/>
        </w:rPr>
        <w:fldChar w:fldCharType="begin" w:fldLock="1"/>
      </w:r>
      <w:r w:rsidR="007A5E2C">
        <w:rPr>
          <w:rFonts w:ascii="Palatino" w:eastAsia="Times New Roman" w:hAnsi="Palatino" w:cs="Times New Roman"/>
          <w:color w:val="000000" w:themeColor="text1"/>
          <w:sz w:val="22"/>
          <w:szCs w:val="22"/>
        </w:rPr>
        <w:instrText>ADDIN CSL_CITATION {"citationItems":[{"id":"ITEM-1","itemData":{"DOI":"10.1007/s00227-015-2620-1","ISSN":"00253162","abstract":"The North Pacific Transition Zone (NPTZ) is one of the most productive offshore regions. To identify important habitats for pelagic top predators within this region, we investigated the at-sea distributions of black-footed (Phoebastria nigripes) and Laysan albatrosses (P. immutabilis) by vessel-based surveys during their non-breeding season (July and October in 2010 and September and October in 2011). We developed statistical models using satellite-based oceanographic data at spatial scales of 4, 20 and 80 km to explain their densities. For both species, sea surface temperatures (SST) and distance to the Emperor Seamounts emerged as important factors in the better-fitting models at all spatial scales. In addition, black-footed albatrosses were widely distributed in the NPTZ (SST 17.7–27.4 °C), whereas Laysan albatrosses favoured northern and colder waters (13.6–25.4 °C). Our results also indicated that the Emperor Seamounts, where trawling and longline fishing occur, were an important habitat for both species in the NPTZ. Therefore, careful attention should be paid to interactions between fisheries and albatross species in this region.","author":[{"dropping-particle":"","family":"Nishizawa","given":"Bungo","non-dropping-particle":"","parse-names":false,"suffix":""},{"dropping-particle":"","family":"Ochi","given":"Daisuke","non-dropping-particle":"","parse-names":false,"suffix":""},{"dropping-particle":"","family":"Minami","given":"Hiroshi","non-dropping-particle":"","parse-names":false,"suffix":""},{"dropping-particle":"","family":"Yokawa","given":"Kotaro","non-dropping-particle":"","parse-names":false,"suffix":""},{"dropping-particle":"","family":"Saitoh","given":"Sei Ichi","non-dropping-particle":"","parse-names":false,"suffix":""},{"dropping-particle":"","family":"Watanuki","given":"Yutaka","non-dropping-particle":"","parse-names":false,"suffix":""}],"container-title":"Marine Biology","id":"ITEM-1","issue":"4","issued":{"date-parts":[["2015","2","27"]]},"page":"743-752","publisher":"Springer Verlag","title":"Habitats of two albatross species during the non-breeding season in the North Pacific Transition Zone","type":"article-journal","volume":"162"},"uris":["http://www.mendeley.com/documents/?uuid=579920d4-c137-3266-a36a-5968933115f5"]}],"mendeley":{"formattedCitation":"(Nishizawa et al. 2015)","plainTextFormattedCitation":"(Nishizawa et al. 2015)","previouslyFormattedCitation":"(Nishizawa et al. 2015)"},"properties":{"noteIndex":0},"schema":"https://github.com/citation-style-language/schema/raw/master/csl-citation.json"}</w:instrText>
      </w:r>
      <w:r w:rsidR="007A5E2C">
        <w:rPr>
          <w:rFonts w:ascii="Palatino" w:eastAsia="Times New Roman" w:hAnsi="Palatino" w:cs="Times New Roman"/>
          <w:color w:val="000000" w:themeColor="text1"/>
          <w:sz w:val="22"/>
          <w:szCs w:val="22"/>
        </w:rPr>
        <w:fldChar w:fldCharType="separate"/>
      </w:r>
      <w:r w:rsidR="007A5E2C" w:rsidRPr="007A5E2C">
        <w:rPr>
          <w:rFonts w:ascii="Palatino" w:eastAsia="Times New Roman" w:hAnsi="Palatino" w:cs="Times New Roman"/>
          <w:noProof/>
          <w:color w:val="000000" w:themeColor="text1"/>
          <w:sz w:val="22"/>
          <w:szCs w:val="22"/>
        </w:rPr>
        <w:t>(Nishizawa et al. 2015)</w:t>
      </w:r>
      <w:r w:rsidR="007A5E2C">
        <w:rPr>
          <w:rFonts w:ascii="Palatino" w:eastAsia="Times New Roman" w:hAnsi="Palatino" w:cs="Times New Roman"/>
          <w:color w:val="000000" w:themeColor="text1"/>
          <w:sz w:val="22"/>
          <w:szCs w:val="22"/>
        </w:rPr>
        <w:fldChar w:fldCharType="end"/>
      </w:r>
      <w:r w:rsidR="007A5E2C">
        <w:rPr>
          <w:rFonts w:ascii="Palatino" w:eastAsia="Times New Roman" w:hAnsi="Palatino" w:cs="Times New Roman"/>
          <w:color w:val="000000" w:themeColor="text1"/>
          <w:sz w:val="22"/>
          <w:szCs w:val="22"/>
        </w:rPr>
        <w:t>.</w:t>
      </w:r>
      <w:r w:rsidR="005B73E4">
        <w:rPr>
          <w:rFonts w:ascii="Palatino" w:eastAsia="Times New Roman" w:hAnsi="Palatino" w:cs="Times New Roman"/>
          <w:color w:val="000000" w:themeColor="text1"/>
          <w:sz w:val="22"/>
          <w:szCs w:val="22"/>
        </w:rPr>
        <w:t xml:space="preserve"> </w:t>
      </w:r>
      <w:r w:rsidR="0001676C">
        <w:rPr>
          <w:rFonts w:ascii="Palatino" w:eastAsia="Times New Roman" w:hAnsi="Palatino" w:cs="Times New Roman"/>
          <w:color w:val="000000" w:themeColor="text1"/>
          <w:sz w:val="22"/>
          <w:szCs w:val="22"/>
        </w:rPr>
        <w:t>While there is great interest in understanding what drives at-sea distributions of these species, whether that is competition, oceanographic features, or other factors, an important first step is determining if spatial</w:t>
      </w:r>
      <w:r w:rsidR="00ED78EA" w:rsidRPr="00ED78EA">
        <w:rPr>
          <w:rFonts w:ascii="Palatino" w:eastAsia="Times New Roman" w:hAnsi="Palatino" w:cs="Times New Roman"/>
          <w:color w:val="000000" w:themeColor="text1"/>
          <w:sz w:val="22"/>
          <w:szCs w:val="22"/>
        </w:rPr>
        <w:t xml:space="preserve"> segregation</w:t>
      </w:r>
      <w:r w:rsidR="00FA64AE" w:rsidRPr="00FA64AE">
        <w:rPr>
          <w:rFonts w:ascii="Palatino" w:eastAsia="Times New Roman" w:hAnsi="Palatino" w:cs="Times New Roman"/>
          <w:color w:val="000000" w:themeColor="text1"/>
          <w:sz w:val="22"/>
          <w:szCs w:val="22"/>
        </w:rPr>
        <w:t xml:space="preserve"> </w:t>
      </w:r>
      <w:r w:rsidR="00FA64AE" w:rsidRPr="00ED78EA">
        <w:rPr>
          <w:rFonts w:ascii="Palatino" w:eastAsia="Times New Roman" w:hAnsi="Palatino" w:cs="Times New Roman"/>
          <w:color w:val="000000" w:themeColor="text1"/>
          <w:sz w:val="22"/>
          <w:szCs w:val="22"/>
        </w:rPr>
        <w:t>exhibited by LAAL and BFAL</w:t>
      </w:r>
      <w:r w:rsidR="0001676C">
        <w:rPr>
          <w:rFonts w:ascii="Palatino" w:eastAsia="Times New Roman" w:hAnsi="Palatino" w:cs="Times New Roman"/>
          <w:color w:val="000000" w:themeColor="text1"/>
          <w:sz w:val="22"/>
          <w:szCs w:val="22"/>
        </w:rPr>
        <w:t xml:space="preserve"> </w:t>
      </w:r>
      <w:r w:rsidR="00837657">
        <w:rPr>
          <w:rFonts w:ascii="Palatino" w:eastAsia="Times New Roman" w:hAnsi="Palatino" w:cs="Times New Roman"/>
          <w:color w:val="000000" w:themeColor="text1"/>
          <w:sz w:val="22"/>
          <w:szCs w:val="22"/>
        </w:rPr>
        <w:t>occurs outside of the breeding period</w:t>
      </w:r>
      <w:r w:rsidR="0001676C">
        <w:rPr>
          <w:rFonts w:ascii="Palatino" w:eastAsia="Times New Roman" w:hAnsi="Palatino" w:cs="Times New Roman"/>
          <w:color w:val="000000" w:themeColor="text1"/>
          <w:sz w:val="22"/>
          <w:szCs w:val="22"/>
        </w:rPr>
        <w:t xml:space="preserve">. </w:t>
      </w:r>
    </w:p>
    <w:p w14:paraId="006EC355" w14:textId="77777777" w:rsidR="001F3833" w:rsidRDefault="001F3833" w:rsidP="00A577F3">
      <w:pPr>
        <w:tabs>
          <w:tab w:val="right" w:pos="9360"/>
        </w:tabs>
        <w:rPr>
          <w:rFonts w:ascii="Palatino" w:hAnsi="Palatino"/>
          <w:b/>
          <w:bCs/>
        </w:rPr>
      </w:pPr>
    </w:p>
    <w:p w14:paraId="5F12E86D" w14:textId="77777777" w:rsidR="00B275D3" w:rsidRPr="00AD74AF" w:rsidRDefault="00B275D3" w:rsidP="00B275D3">
      <w:pPr>
        <w:tabs>
          <w:tab w:val="right" w:pos="9360"/>
        </w:tabs>
        <w:rPr>
          <w:rFonts w:ascii="Palatino" w:hAnsi="Palatino"/>
          <w:b/>
          <w:bCs/>
          <w:sz w:val="28"/>
          <w:szCs w:val="28"/>
        </w:rPr>
      </w:pPr>
      <w:r w:rsidRPr="00AD74AF">
        <w:rPr>
          <w:rFonts w:ascii="Palatino" w:hAnsi="Palatino"/>
          <w:b/>
          <w:bCs/>
          <w:sz w:val="28"/>
          <w:szCs w:val="28"/>
        </w:rPr>
        <w:t>Objectives and Hypotheses</w:t>
      </w:r>
    </w:p>
    <w:p w14:paraId="736B83DF" w14:textId="77777777" w:rsidR="00B275D3" w:rsidRDefault="00B275D3" w:rsidP="00B275D3">
      <w:pPr>
        <w:tabs>
          <w:tab w:val="right" w:pos="9360"/>
        </w:tabs>
        <w:rPr>
          <w:rFonts w:ascii="Palatino" w:hAnsi="Palatino"/>
          <w:b/>
          <w:bCs/>
        </w:rPr>
      </w:pPr>
    </w:p>
    <w:p w14:paraId="1A9BADAA" w14:textId="669637C7" w:rsidR="00B275D3" w:rsidRPr="009122B7" w:rsidRDefault="00B275D3" w:rsidP="00B275D3">
      <w:pPr>
        <w:tabs>
          <w:tab w:val="right" w:pos="9360"/>
        </w:tabs>
        <w:rPr>
          <w:rFonts w:ascii="Palatino" w:hAnsi="Palatino" w:cs="Times New Roman"/>
          <w:sz w:val="22"/>
          <w:szCs w:val="22"/>
        </w:rPr>
      </w:pPr>
      <w:r w:rsidRPr="009122B7">
        <w:rPr>
          <w:rFonts w:ascii="Palatino" w:hAnsi="Palatino" w:cs="Times New Roman"/>
          <w:sz w:val="22"/>
          <w:szCs w:val="22"/>
        </w:rPr>
        <w:t xml:space="preserve">My </w:t>
      </w:r>
      <w:r w:rsidRPr="009122B7">
        <w:rPr>
          <w:rFonts w:ascii="Palatino" w:hAnsi="Palatino" w:cs="Times New Roman"/>
          <w:b/>
          <w:bCs/>
          <w:sz w:val="22"/>
          <w:szCs w:val="22"/>
        </w:rPr>
        <w:t>overall objective</w:t>
      </w:r>
      <w:r w:rsidRPr="009122B7">
        <w:rPr>
          <w:rFonts w:ascii="Palatino" w:hAnsi="Palatino" w:cs="Times New Roman"/>
          <w:sz w:val="22"/>
          <w:szCs w:val="22"/>
        </w:rPr>
        <w:t xml:space="preserve"> is to assess the degree </w:t>
      </w:r>
      <w:r w:rsidR="000B6227">
        <w:rPr>
          <w:rFonts w:ascii="Palatino" w:hAnsi="Palatino" w:cs="Times New Roman"/>
          <w:sz w:val="22"/>
          <w:szCs w:val="22"/>
        </w:rPr>
        <w:t>of</w:t>
      </w:r>
      <w:r w:rsidRPr="009122B7">
        <w:rPr>
          <w:rFonts w:ascii="Palatino" w:hAnsi="Palatino" w:cs="Times New Roman"/>
          <w:sz w:val="22"/>
          <w:szCs w:val="22"/>
        </w:rPr>
        <w:t xml:space="preserve"> overlap in the </w:t>
      </w:r>
      <w:r w:rsidR="001F640A">
        <w:rPr>
          <w:rFonts w:ascii="Palatino" w:hAnsi="Palatino" w:cs="Times New Roman"/>
          <w:sz w:val="22"/>
          <w:szCs w:val="22"/>
        </w:rPr>
        <w:t>non</w:t>
      </w:r>
      <w:r w:rsidRPr="009122B7">
        <w:rPr>
          <w:rFonts w:ascii="Palatino" w:hAnsi="Palatino" w:cs="Times New Roman"/>
          <w:sz w:val="22"/>
          <w:szCs w:val="22"/>
        </w:rPr>
        <w:t xml:space="preserve">-breeding spatial distribution of sympatrically breeding Laysan and Black-footed albatrosses. </w:t>
      </w:r>
      <w:r w:rsidR="00837657">
        <w:rPr>
          <w:rFonts w:ascii="Palatino" w:hAnsi="Palatino" w:cs="Times New Roman"/>
          <w:sz w:val="22"/>
          <w:szCs w:val="22"/>
        </w:rPr>
        <w:t>My specific objectives are to:</w:t>
      </w:r>
    </w:p>
    <w:p w14:paraId="0A6D6843" w14:textId="04F53DE5" w:rsidR="00B275D3" w:rsidRPr="009122B7" w:rsidRDefault="00B275D3" w:rsidP="00B275D3">
      <w:pPr>
        <w:tabs>
          <w:tab w:val="right" w:pos="9360"/>
        </w:tabs>
        <w:rPr>
          <w:rFonts w:ascii="Palatino" w:hAnsi="Palatino" w:cs="Times New Roman"/>
          <w:sz w:val="22"/>
          <w:szCs w:val="22"/>
        </w:rPr>
      </w:pPr>
      <w:r w:rsidRPr="009122B7">
        <w:rPr>
          <w:rFonts w:ascii="Palatino" w:eastAsia="Times New Roman" w:hAnsi="Palatino" w:cs="Times New Roman"/>
          <w:sz w:val="22"/>
          <w:szCs w:val="22"/>
        </w:rPr>
        <w:t xml:space="preserve">(1) determine the distributional range of </w:t>
      </w:r>
      <w:r w:rsidR="001F640A">
        <w:rPr>
          <w:rFonts w:ascii="Palatino" w:eastAsia="Times New Roman" w:hAnsi="Palatino" w:cs="Times New Roman"/>
          <w:sz w:val="22"/>
          <w:szCs w:val="22"/>
        </w:rPr>
        <w:t>non</w:t>
      </w:r>
      <w:r w:rsidRPr="009122B7">
        <w:rPr>
          <w:rFonts w:ascii="Palatino" w:eastAsia="Times New Roman" w:hAnsi="Palatino" w:cs="Times New Roman"/>
          <w:sz w:val="22"/>
          <w:szCs w:val="22"/>
        </w:rPr>
        <w:t>-breeding Laysan and Black-footed albatrosses</w:t>
      </w:r>
      <w:r w:rsidR="008B1347">
        <w:rPr>
          <w:rFonts w:ascii="Palatino" w:eastAsia="Times New Roman" w:hAnsi="Palatino" w:cs="Times New Roman"/>
          <w:sz w:val="22"/>
          <w:szCs w:val="22"/>
        </w:rPr>
        <w:t xml:space="preserve">; </w:t>
      </w:r>
      <w:r w:rsidRPr="009122B7">
        <w:rPr>
          <w:rFonts w:ascii="Palatino" w:eastAsia="Times New Roman" w:hAnsi="Palatino" w:cs="Times New Roman"/>
          <w:sz w:val="22"/>
          <w:szCs w:val="22"/>
        </w:rPr>
        <w:t xml:space="preserve">(2) </w:t>
      </w:r>
      <w:r w:rsidR="008B1347">
        <w:rPr>
          <w:rFonts w:ascii="Palatino" w:eastAsia="Times New Roman" w:hAnsi="Palatino" w:cs="Times New Roman"/>
          <w:sz w:val="22"/>
          <w:szCs w:val="22"/>
        </w:rPr>
        <w:t>quantify</w:t>
      </w:r>
      <w:r w:rsidR="008B1347" w:rsidRPr="009122B7">
        <w:rPr>
          <w:rFonts w:ascii="Palatino" w:eastAsia="Times New Roman" w:hAnsi="Palatino" w:cs="Times New Roman"/>
          <w:sz w:val="22"/>
          <w:szCs w:val="22"/>
        </w:rPr>
        <w:t xml:space="preserve"> </w:t>
      </w:r>
      <w:r w:rsidRPr="009122B7">
        <w:rPr>
          <w:rFonts w:ascii="Palatino" w:eastAsia="Times New Roman" w:hAnsi="Palatino" w:cs="Times New Roman"/>
          <w:sz w:val="22"/>
          <w:szCs w:val="22"/>
        </w:rPr>
        <w:t xml:space="preserve">the degree of </w:t>
      </w:r>
      <w:r w:rsidR="001F640A">
        <w:rPr>
          <w:rFonts w:ascii="Palatino" w:eastAsia="Times New Roman" w:hAnsi="Palatino" w:cs="Times New Roman"/>
          <w:sz w:val="22"/>
          <w:szCs w:val="22"/>
        </w:rPr>
        <w:t>non</w:t>
      </w:r>
      <w:r w:rsidRPr="009122B7">
        <w:rPr>
          <w:rFonts w:ascii="Palatino" w:eastAsia="Times New Roman" w:hAnsi="Palatino" w:cs="Times New Roman"/>
          <w:sz w:val="22"/>
          <w:szCs w:val="22"/>
        </w:rPr>
        <w:t>-breeding overlap or segregation between the species</w:t>
      </w:r>
      <w:r w:rsidR="00837657">
        <w:rPr>
          <w:rFonts w:ascii="Palatino" w:eastAsia="Times New Roman" w:hAnsi="Palatino" w:cs="Times New Roman"/>
          <w:sz w:val="22"/>
          <w:szCs w:val="22"/>
        </w:rPr>
        <w:t xml:space="preserve"> within and between years; and (3)</w:t>
      </w:r>
      <w:r w:rsidR="00837657" w:rsidRPr="00837657">
        <w:rPr>
          <w:rFonts w:ascii="Palatino" w:eastAsia="Times New Roman" w:hAnsi="Palatino" w:cs="Times New Roman"/>
          <w:sz w:val="22"/>
          <w:szCs w:val="22"/>
        </w:rPr>
        <w:t xml:space="preserve"> </w:t>
      </w:r>
      <w:r w:rsidR="00837657">
        <w:rPr>
          <w:rFonts w:ascii="Palatino" w:eastAsia="Times New Roman" w:hAnsi="Palatino" w:cs="Times New Roman"/>
          <w:sz w:val="22"/>
          <w:szCs w:val="22"/>
        </w:rPr>
        <w:t>quantify</w:t>
      </w:r>
      <w:r w:rsidR="00837657" w:rsidRPr="009122B7">
        <w:rPr>
          <w:rFonts w:ascii="Palatino" w:eastAsia="Times New Roman" w:hAnsi="Palatino" w:cs="Times New Roman"/>
          <w:sz w:val="22"/>
          <w:szCs w:val="22"/>
        </w:rPr>
        <w:t xml:space="preserve"> the degree of </w:t>
      </w:r>
      <w:r w:rsidR="00837657">
        <w:rPr>
          <w:rFonts w:ascii="Palatino" w:eastAsia="Times New Roman" w:hAnsi="Palatino" w:cs="Times New Roman"/>
          <w:sz w:val="22"/>
          <w:szCs w:val="22"/>
        </w:rPr>
        <w:t>non</w:t>
      </w:r>
      <w:r w:rsidR="00837657" w:rsidRPr="009122B7">
        <w:rPr>
          <w:rFonts w:ascii="Palatino" w:eastAsia="Times New Roman" w:hAnsi="Palatino" w:cs="Times New Roman"/>
          <w:sz w:val="22"/>
          <w:szCs w:val="22"/>
        </w:rPr>
        <w:t>-breeding overlap or segregation between the species</w:t>
      </w:r>
      <w:r w:rsidR="00837657">
        <w:rPr>
          <w:rFonts w:ascii="Palatino" w:eastAsia="Times New Roman" w:hAnsi="Palatino" w:cs="Times New Roman"/>
          <w:sz w:val="22"/>
          <w:szCs w:val="22"/>
        </w:rPr>
        <w:t xml:space="preserve"> </w:t>
      </w:r>
      <w:r w:rsidR="00980A2E">
        <w:rPr>
          <w:rFonts w:ascii="Palatino" w:eastAsia="Times New Roman" w:hAnsi="Palatino" w:cs="Times New Roman"/>
          <w:sz w:val="22"/>
          <w:szCs w:val="22"/>
        </w:rPr>
        <w:t>within and between different breeding colonies</w:t>
      </w:r>
      <w:r w:rsidRPr="009122B7">
        <w:rPr>
          <w:rFonts w:ascii="Palatino" w:eastAsia="Times New Roman" w:hAnsi="Palatino" w:cs="Times New Roman"/>
          <w:sz w:val="22"/>
          <w:szCs w:val="22"/>
        </w:rPr>
        <w:t xml:space="preserve">. </w:t>
      </w:r>
      <w:r w:rsidRPr="009122B7">
        <w:rPr>
          <w:rFonts w:ascii="Palatino" w:hAnsi="Palatino" w:cs="Times New Roman"/>
          <w:sz w:val="22"/>
          <w:szCs w:val="22"/>
        </w:rPr>
        <w:t xml:space="preserve"> These three questions will </w:t>
      </w:r>
      <w:r w:rsidR="000B6227">
        <w:rPr>
          <w:rFonts w:ascii="Palatino" w:hAnsi="Palatino" w:cs="Times New Roman"/>
          <w:sz w:val="22"/>
          <w:szCs w:val="22"/>
        </w:rPr>
        <w:t>be answered by testing</w:t>
      </w:r>
      <w:r w:rsidRPr="009122B7">
        <w:rPr>
          <w:rFonts w:ascii="Palatino" w:hAnsi="Palatino" w:cs="Times New Roman"/>
          <w:sz w:val="22"/>
          <w:szCs w:val="22"/>
        </w:rPr>
        <w:t xml:space="preserve"> the following null hypotheses: </w:t>
      </w:r>
    </w:p>
    <w:p w14:paraId="2245940E" w14:textId="77777777" w:rsidR="00B275D3" w:rsidRPr="009122B7" w:rsidRDefault="00B275D3" w:rsidP="00B275D3">
      <w:pPr>
        <w:tabs>
          <w:tab w:val="right" w:pos="9360"/>
        </w:tabs>
        <w:rPr>
          <w:rFonts w:ascii="Palatino" w:hAnsi="Palatino" w:cs="Times New Roman"/>
          <w:sz w:val="22"/>
          <w:szCs w:val="22"/>
        </w:rPr>
      </w:pPr>
    </w:p>
    <w:p w14:paraId="624D9C06" w14:textId="0F073E84" w:rsidR="00B275D3" w:rsidRPr="00E97C2C" w:rsidRDefault="00B275D3" w:rsidP="00B275D3">
      <w:pPr>
        <w:pStyle w:val="ListParagraph"/>
        <w:numPr>
          <w:ilvl w:val="0"/>
          <w:numId w:val="4"/>
        </w:numPr>
        <w:tabs>
          <w:tab w:val="right" w:pos="9360"/>
        </w:tabs>
        <w:rPr>
          <w:rFonts w:ascii="Palatino" w:hAnsi="Palatino" w:cs="Times New Roman"/>
          <w:sz w:val="22"/>
          <w:szCs w:val="22"/>
        </w:rPr>
      </w:pPr>
      <w:r w:rsidRPr="009122B7">
        <w:rPr>
          <w:rFonts w:ascii="Palatino" w:hAnsi="Palatino" w:cs="Times New Roman"/>
          <w:i/>
          <w:iCs/>
          <w:sz w:val="22"/>
          <w:szCs w:val="22"/>
        </w:rPr>
        <w:t>H</w:t>
      </w:r>
      <w:proofErr w:type="gramStart"/>
      <w:r w:rsidRPr="009122B7">
        <w:rPr>
          <w:rFonts w:ascii="Palatino" w:hAnsi="Palatino" w:cs="Times New Roman"/>
          <w:i/>
          <w:iCs/>
          <w:sz w:val="22"/>
          <w:szCs w:val="22"/>
          <w:vertAlign w:val="subscript"/>
        </w:rPr>
        <w:t>0</w:t>
      </w:r>
      <w:r w:rsidRPr="009122B7">
        <w:rPr>
          <w:rFonts w:ascii="Palatino" w:hAnsi="Palatino" w:cs="Times New Roman"/>
          <w:i/>
          <w:iCs/>
          <w:sz w:val="22"/>
          <w:szCs w:val="22"/>
        </w:rPr>
        <w:t xml:space="preserve"> </w:t>
      </w:r>
      <w:r w:rsidRPr="009122B7">
        <w:rPr>
          <w:rFonts w:ascii="Palatino" w:hAnsi="Palatino" w:cs="Times New Roman"/>
          <w:sz w:val="22"/>
          <w:szCs w:val="22"/>
        </w:rPr>
        <w:t>:</w:t>
      </w:r>
      <w:proofErr w:type="gramEnd"/>
      <w:r w:rsidRPr="009122B7">
        <w:rPr>
          <w:rFonts w:ascii="Palatino" w:hAnsi="Palatino" w:cs="Times New Roman"/>
          <w:sz w:val="22"/>
          <w:szCs w:val="22"/>
        </w:rPr>
        <w:t xml:space="preserve"> LAAL and BFAL will show no significant spatial segregation in their </w:t>
      </w:r>
      <w:r w:rsidR="001F640A">
        <w:rPr>
          <w:rFonts w:ascii="Palatino" w:hAnsi="Palatino" w:cs="Times New Roman"/>
          <w:sz w:val="22"/>
          <w:szCs w:val="22"/>
        </w:rPr>
        <w:t>non</w:t>
      </w:r>
      <w:r w:rsidRPr="009122B7">
        <w:rPr>
          <w:rFonts w:ascii="Palatino" w:hAnsi="Palatino" w:cs="Times New Roman"/>
          <w:sz w:val="22"/>
          <w:szCs w:val="22"/>
        </w:rPr>
        <w:t>-</w:t>
      </w:r>
      <w:r w:rsidRPr="00E97C2C">
        <w:rPr>
          <w:rFonts w:ascii="Palatino" w:hAnsi="Palatino" w:cs="Times New Roman"/>
          <w:sz w:val="22"/>
          <w:szCs w:val="22"/>
        </w:rPr>
        <w:t>breeding distributions across all years of observations.</w:t>
      </w:r>
    </w:p>
    <w:p w14:paraId="56678232" w14:textId="6FC3C4FC" w:rsidR="00B275D3" w:rsidRPr="00E97C2C" w:rsidRDefault="00B275D3" w:rsidP="00B275D3">
      <w:pPr>
        <w:pStyle w:val="ListParagraph"/>
        <w:numPr>
          <w:ilvl w:val="0"/>
          <w:numId w:val="4"/>
        </w:numPr>
        <w:tabs>
          <w:tab w:val="right" w:pos="9360"/>
        </w:tabs>
        <w:rPr>
          <w:rFonts w:ascii="Palatino" w:hAnsi="Palatino" w:cs="Times New Roman"/>
          <w:sz w:val="22"/>
          <w:szCs w:val="22"/>
        </w:rPr>
      </w:pPr>
      <w:r w:rsidRPr="00E97C2C">
        <w:rPr>
          <w:rFonts w:ascii="Palatino" w:hAnsi="Palatino" w:cs="Times New Roman"/>
          <w:i/>
          <w:iCs/>
          <w:sz w:val="22"/>
          <w:szCs w:val="22"/>
        </w:rPr>
        <w:t>H</w:t>
      </w:r>
      <w:proofErr w:type="gramStart"/>
      <w:r w:rsidRPr="00E97C2C">
        <w:rPr>
          <w:rFonts w:ascii="Palatino" w:hAnsi="Palatino" w:cs="Times New Roman"/>
          <w:i/>
          <w:iCs/>
          <w:sz w:val="22"/>
          <w:szCs w:val="22"/>
          <w:vertAlign w:val="subscript"/>
        </w:rPr>
        <w:t>0</w:t>
      </w:r>
      <w:r w:rsidRPr="00E97C2C">
        <w:rPr>
          <w:rFonts w:ascii="Palatino" w:hAnsi="Palatino" w:cs="Times New Roman"/>
          <w:i/>
          <w:iCs/>
          <w:sz w:val="22"/>
          <w:szCs w:val="22"/>
        </w:rPr>
        <w:t xml:space="preserve"> </w:t>
      </w:r>
      <w:r w:rsidRPr="00E97C2C">
        <w:rPr>
          <w:rFonts w:ascii="Palatino" w:hAnsi="Palatino" w:cs="Times New Roman"/>
          <w:sz w:val="22"/>
          <w:szCs w:val="22"/>
        </w:rPr>
        <w:t>:</w:t>
      </w:r>
      <w:proofErr w:type="gramEnd"/>
      <w:r w:rsidRPr="00E97C2C">
        <w:rPr>
          <w:rFonts w:ascii="Palatino" w:hAnsi="Palatino" w:cs="Times New Roman"/>
          <w:sz w:val="22"/>
          <w:szCs w:val="22"/>
        </w:rPr>
        <w:t xml:space="preserve"> Populations of LAAL and BFAL from separate colonies will show no spatial segregation in their </w:t>
      </w:r>
      <w:r w:rsidR="001F640A" w:rsidRPr="00E97C2C">
        <w:rPr>
          <w:rFonts w:ascii="Palatino" w:hAnsi="Palatino" w:cs="Times New Roman"/>
          <w:sz w:val="22"/>
          <w:szCs w:val="22"/>
        </w:rPr>
        <w:t>non</w:t>
      </w:r>
      <w:r w:rsidRPr="00E97C2C">
        <w:rPr>
          <w:rFonts w:ascii="Palatino" w:hAnsi="Palatino" w:cs="Times New Roman"/>
          <w:sz w:val="22"/>
          <w:szCs w:val="22"/>
        </w:rPr>
        <w:t xml:space="preserve">-breeding distributions (i.e. </w:t>
      </w:r>
      <w:r w:rsidR="00D00F30" w:rsidRPr="00E97C2C">
        <w:rPr>
          <w:rFonts w:ascii="Palatino" w:hAnsi="Palatino" w:cs="Times New Roman"/>
          <w:sz w:val="22"/>
          <w:szCs w:val="22"/>
        </w:rPr>
        <w:t>populations of BFAL and LAAL from separate breeding islands will show similar degrees of overlap</w:t>
      </w:r>
      <w:r w:rsidRPr="00E97C2C">
        <w:rPr>
          <w:rFonts w:ascii="Palatino" w:hAnsi="Palatino" w:cs="Times New Roman"/>
          <w:sz w:val="22"/>
          <w:szCs w:val="22"/>
        </w:rPr>
        <w:t xml:space="preserve">). </w:t>
      </w:r>
    </w:p>
    <w:p w14:paraId="1C4987E8" w14:textId="600C712E" w:rsidR="00085D2A" w:rsidRPr="00085D2A" w:rsidRDefault="00B275D3" w:rsidP="00085D2A">
      <w:pPr>
        <w:pStyle w:val="ListParagraph"/>
        <w:numPr>
          <w:ilvl w:val="0"/>
          <w:numId w:val="4"/>
        </w:numPr>
        <w:tabs>
          <w:tab w:val="right" w:pos="9360"/>
        </w:tabs>
        <w:rPr>
          <w:rFonts w:ascii="Palatino" w:hAnsi="Palatino" w:cs="Times New Roman"/>
          <w:sz w:val="22"/>
          <w:szCs w:val="22"/>
        </w:rPr>
      </w:pPr>
      <w:r w:rsidRPr="009122B7">
        <w:rPr>
          <w:rFonts w:ascii="Palatino" w:hAnsi="Palatino" w:cs="Times New Roman"/>
          <w:i/>
          <w:iCs/>
          <w:sz w:val="22"/>
          <w:szCs w:val="22"/>
        </w:rPr>
        <w:t>H</w:t>
      </w:r>
      <w:proofErr w:type="gramStart"/>
      <w:r w:rsidRPr="009122B7">
        <w:rPr>
          <w:rFonts w:ascii="Palatino" w:hAnsi="Palatino" w:cs="Times New Roman"/>
          <w:i/>
          <w:iCs/>
          <w:sz w:val="22"/>
          <w:szCs w:val="22"/>
          <w:vertAlign w:val="subscript"/>
        </w:rPr>
        <w:t>0</w:t>
      </w:r>
      <w:r w:rsidRPr="009122B7">
        <w:rPr>
          <w:rFonts w:ascii="Palatino" w:hAnsi="Palatino" w:cs="Times New Roman"/>
          <w:i/>
          <w:iCs/>
          <w:sz w:val="22"/>
          <w:szCs w:val="22"/>
        </w:rPr>
        <w:t xml:space="preserve"> </w:t>
      </w:r>
      <w:r w:rsidRPr="009122B7">
        <w:rPr>
          <w:rFonts w:ascii="Palatino" w:hAnsi="Palatino" w:cs="Times New Roman"/>
          <w:sz w:val="22"/>
          <w:szCs w:val="22"/>
        </w:rPr>
        <w:t>:</w:t>
      </w:r>
      <w:proofErr w:type="gramEnd"/>
      <w:r w:rsidRPr="009122B7">
        <w:rPr>
          <w:rFonts w:ascii="Palatino" w:hAnsi="Palatino" w:cs="Times New Roman"/>
          <w:sz w:val="22"/>
          <w:szCs w:val="22"/>
        </w:rPr>
        <w:t xml:space="preserve"> LAAL and BFAL will each show no interannual</w:t>
      </w:r>
      <w:r w:rsidR="008B1347">
        <w:rPr>
          <w:rFonts w:ascii="Palatino" w:hAnsi="Palatino" w:cs="Times New Roman"/>
          <w:sz w:val="22"/>
          <w:szCs w:val="22"/>
        </w:rPr>
        <w:t xml:space="preserve"> </w:t>
      </w:r>
      <w:r w:rsidRPr="009122B7">
        <w:rPr>
          <w:rFonts w:ascii="Palatino" w:hAnsi="Palatino" w:cs="Times New Roman"/>
          <w:sz w:val="22"/>
          <w:szCs w:val="22"/>
        </w:rPr>
        <w:t xml:space="preserve">variation in their </w:t>
      </w:r>
      <w:r w:rsidR="001F640A">
        <w:rPr>
          <w:rFonts w:ascii="Palatino" w:hAnsi="Palatino" w:cs="Times New Roman"/>
          <w:sz w:val="22"/>
          <w:szCs w:val="22"/>
        </w:rPr>
        <w:t>non</w:t>
      </w:r>
      <w:r w:rsidRPr="009122B7">
        <w:rPr>
          <w:rFonts w:ascii="Palatino" w:hAnsi="Palatino" w:cs="Times New Roman"/>
          <w:sz w:val="22"/>
          <w:szCs w:val="22"/>
        </w:rPr>
        <w:t>-breeding distributions.</w:t>
      </w:r>
    </w:p>
    <w:p w14:paraId="7C6EB402" w14:textId="2A1C8644" w:rsidR="00575CE5" w:rsidRPr="000B6227" w:rsidRDefault="00B275D3" w:rsidP="000B6227">
      <w:pPr>
        <w:tabs>
          <w:tab w:val="right" w:pos="9360"/>
        </w:tabs>
        <w:ind w:left="720"/>
        <w:rPr>
          <w:rFonts w:ascii="Palatino" w:hAnsi="Palatino" w:cs="Times New Roman"/>
          <w:sz w:val="22"/>
          <w:szCs w:val="22"/>
        </w:rPr>
      </w:pPr>
      <w:r w:rsidRPr="009122B7">
        <w:rPr>
          <w:rFonts w:ascii="Palatino" w:hAnsi="Palatino" w:cs="Times New Roman"/>
          <w:sz w:val="22"/>
          <w:szCs w:val="22"/>
        </w:rPr>
        <w:tab/>
      </w:r>
    </w:p>
    <w:p w14:paraId="2DB66C3C" w14:textId="06878A23" w:rsidR="009D5E68" w:rsidRDefault="00F61D90" w:rsidP="006622E0">
      <w:pPr>
        <w:rPr>
          <w:rFonts w:ascii="Palatino" w:hAnsi="Palatino"/>
          <w:b/>
          <w:bCs/>
          <w:sz w:val="28"/>
          <w:szCs w:val="28"/>
        </w:rPr>
      </w:pPr>
      <w:r w:rsidRPr="00F61D90">
        <w:rPr>
          <w:rFonts w:ascii="Palatino" w:hAnsi="Palatino"/>
          <w:b/>
          <w:bCs/>
          <w:sz w:val="28"/>
          <w:szCs w:val="28"/>
        </w:rPr>
        <w:t>Research Approach</w:t>
      </w:r>
    </w:p>
    <w:p w14:paraId="18CB16BE" w14:textId="42342913" w:rsidR="00F61D90" w:rsidRDefault="00F61D90" w:rsidP="006622E0">
      <w:pPr>
        <w:rPr>
          <w:rFonts w:ascii="Palatino" w:hAnsi="Palatino"/>
          <w:b/>
          <w:bCs/>
          <w:sz w:val="28"/>
          <w:szCs w:val="28"/>
        </w:rPr>
      </w:pPr>
    </w:p>
    <w:p w14:paraId="31AEDC34" w14:textId="3A921548" w:rsidR="00360E6C" w:rsidRPr="00360E6C" w:rsidRDefault="00761E5C" w:rsidP="006622E0">
      <w:pPr>
        <w:rPr>
          <w:rFonts w:ascii="Palatino" w:eastAsia="Times New Roman" w:hAnsi="Palatino" w:cs="Times New Roman"/>
          <w:i/>
          <w:iCs/>
          <w:color w:val="000000" w:themeColor="text1"/>
        </w:rPr>
      </w:pPr>
      <w:r>
        <w:rPr>
          <w:rFonts w:ascii="Palatino" w:eastAsia="Times New Roman" w:hAnsi="Palatino" w:cs="Times New Roman"/>
          <w:i/>
          <w:iCs/>
          <w:color w:val="000000" w:themeColor="text1"/>
        </w:rPr>
        <w:t>Dataset</w:t>
      </w:r>
      <w:r w:rsidR="00360E6C">
        <w:rPr>
          <w:rFonts w:ascii="Palatino" w:eastAsia="Times New Roman" w:hAnsi="Palatino" w:cs="Times New Roman"/>
          <w:i/>
          <w:iCs/>
          <w:color w:val="000000" w:themeColor="text1"/>
        </w:rPr>
        <w:t xml:space="preserve"> and general approach</w:t>
      </w:r>
    </w:p>
    <w:p w14:paraId="2BE6CF7D" w14:textId="50B2B597" w:rsidR="00360E6C" w:rsidRPr="009F2954" w:rsidRDefault="00360E6C" w:rsidP="006622E0">
      <w:pPr>
        <w:rPr>
          <w:rFonts w:ascii="Palatino" w:eastAsia="Times New Roman" w:hAnsi="Palatino" w:cs="Times New Roman"/>
          <w:color w:val="000000" w:themeColor="text1"/>
          <w:sz w:val="22"/>
          <w:szCs w:val="22"/>
        </w:rPr>
      </w:pPr>
    </w:p>
    <w:p w14:paraId="72ED511F" w14:textId="5F8D9517" w:rsidR="00360E6C" w:rsidRPr="009F2954" w:rsidRDefault="00360E6C" w:rsidP="006622E0">
      <w:pPr>
        <w:rPr>
          <w:rFonts w:ascii="Palatino" w:eastAsia="Times New Roman" w:hAnsi="Palatino" w:cs="Times New Roman"/>
          <w:color w:val="000000" w:themeColor="text1"/>
          <w:sz w:val="22"/>
          <w:szCs w:val="22"/>
        </w:rPr>
      </w:pPr>
      <w:r w:rsidRPr="009F2954">
        <w:rPr>
          <w:rFonts w:ascii="Palatino" w:eastAsia="Times New Roman" w:hAnsi="Palatino" w:cs="Times New Roman"/>
          <w:color w:val="000000" w:themeColor="text1"/>
          <w:sz w:val="22"/>
          <w:szCs w:val="22"/>
        </w:rPr>
        <w:t>For this study, I will be analyzing two existing datasets of BFAL and LAAL GLS location data</w:t>
      </w:r>
      <w:r w:rsidR="005D6DC0" w:rsidRPr="009F2954">
        <w:rPr>
          <w:rFonts w:ascii="Palatino" w:eastAsia="Times New Roman" w:hAnsi="Palatino" w:cs="Times New Roman"/>
          <w:color w:val="000000" w:themeColor="text1"/>
          <w:sz w:val="22"/>
          <w:szCs w:val="22"/>
        </w:rPr>
        <w:t xml:space="preserve"> from individual</w:t>
      </w:r>
      <w:r w:rsidR="00A809F7" w:rsidRPr="009F2954">
        <w:rPr>
          <w:rFonts w:ascii="Palatino" w:eastAsia="Times New Roman" w:hAnsi="Palatino" w:cs="Times New Roman"/>
          <w:color w:val="000000" w:themeColor="text1"/>
          <w:sz w:val="22"/>
          <w:szCs w:val="22"/>
        </w:rPr>
        <w:t xml:space="preserve"> </w:t>
      </w:r>
      <w:r w:rsidR="00DC2849" w:rsidRPr="009F2954">
        <w:rPr>
          <w:rFonts w:ascii="Palatino" w:eastAsia="Times New Roman" w:hAnsi="Palatino" w:cs="Times New Roman"/>
          <w:color w:val="000000" w:themeColor="text1"/>
          <w:sz w:val="22"/>
          <w:szCs w:val="22"/>
        </w:rPr>
        <w:t>adults</w:t>
      </w:r>
      <w:r w:rsidR="005D6DC0" w:rsidRPr="009F2954">
        <w:rPr>
          <w:rFonts w:ascii="Palatino" w:eastAsia="Times New Roman" w:hAnsi="Palatino" w:cs="Times New Roman"/>
          <w:color w:val="000000" w:themeColor="text1"/>
          <w:sz w:val="22"/>
          <w:szCs w:val="22"/>
        </w:rPr>
        <w:t xml:space="preserve"> equipped with</w:t>
      </w:r>
      <w:r w:rsidR="00FB3330">
        <w:rPr>
          <w:rFonts w:ascii="Palatino" w:eastAsia="Times New Roman" w:hAnsi="Palatino" w:cs="Times New Roman"/>
          <w:color w:val="000000" w:themeColor="text1"/>
          <w:sz w:val="22"/>
          <w:szCs w:val="22"/>
        </w:rPr>
        <w:t xml:space="preserve"> </w:t>
      </w:r>
      <w:r w:rsidR="005D6DC0" w:rsidRPr="009F2954">
        <w:rPr>
          <w:rFonts w:ascii="Palatino" w:eastAsia="Times New Roman" w:hAnsi="Palatino" w:cs="Times New Roman"/>
          <w:color w:val="000000" w:themeColor="text1"/>
          <w:sz w:val="22"/>
          <w:szCs w:val="22"/>
        </w:rPr>
        <w:t xml:space="preserve">a </w:t>
      </w:r>
      <w:proofErr w:type="spellStart"/>
      <w:r w:rsidR="005D6DC0" w:rsidRPr="009F2954">
        <w:rPr>
          <w:rFonts w:ascii="Palatino" w:eastAsia="Times New Roman" w:hAnsi="Palatino" w:cs="Times New Roman"/>
          <w:color w:val="000000" w:themeColor="text1"/>
          <w:sz w:val="22"/>
          <w:szCs w:val="22"/>
        </w:rPr>
        <w:t>Lotek</w:t>
      </w:r>
      <w:proofErr w:type="spellEnd"/>
      <w:r w:rsidR="005D6DC0" w:rsidRPr="009F2954">
        <w:rPr>
          <w:rFonts w:ascii="Palatino" w:eastAsia="Times New Roman" w:hAnsi="Palatino" w:cs="Times New Roman"/>
          <w:color w:val="000000" w:themeColor="text1"/>
          <w:sz w:val="22"/>
          <w:szCs w:val="22"/>
        </w:rPr>
        <w:t xml:space="preserve"> LTD 2400</w:t>
      </w:r>
      <w:r w:rsidR="00FB3330">
        <w:rPr>
          <w:rFonts w:ascii="Palatino" w:eastAsia="Times New Roman" w:hAnsi="Palatino" w:cs="Times New Roman"/>
          <w:color w:val="000000" w:themeColor="text1"/>
          <w:sz w:val="22"/>
          <w:szCs w:val="22"/>
        </w:rPr>
        <w:t xml:space="preserve">, </w:t>
      </w:r>
      <w:proofErr w:type="spellStart"/>
      <w:r w:rsidR="00FB3330">
        <w:rPr>
          <w:rFonts w:ascii="Palatino" w:eastAsia="Times New Roman" w:hAnsi="Palatino" w:cs="Times New Roman"/>
          <w:color w:val="000000" w:themeColor="text1"/>
          <w:sz w:val="22"/>
          <w:szCs w:val="22"/>
        </w:rPr>
        <w:t>Lotek</w:t>
      </w:r>
      <w:proofErr w:type="spellEnd"/>
      <w:r w:rsidR="00FB3330">
        <w:rPr>
          <w:rFonts w:ascii="Palatino" w:eastAsia="Times New Roman" w:hAnsi="Palatino" w:cs="Times New Roman"/>
          <w:color w:val="000000" w:themeColor="text1"/>
          <w:sz w:val="22"/>
          <w:szCs w:val="22"/>
        </w:rPr>
        <w:t xml:space="preserve"> LTD 2500, or BAS MK19 </w:t>
      </w:r>
      <w:r w:rsidR="00980A2E">
        <w:rPr>
          <w:rFonts w:ascii="Palatino" w:eastAsia="Times New Roman" w:hAnsi="Palatino" w:cs="Times New Roman"/>
          <w:color w:val="000000" w:themeColor="text1"/>
          <w:sz w:val="22"/>
          <w:szCs w:val="22"/>
        </w:rPr>
        <w:t>GLS tags</w:t>
      </w:r>
      <w:r w:rsidR="005D6DC0" w:rsidRPr="009F2954">
        <w:rPr>
          <w:rFonts w:ascii="Palatino" w:eastAsia="Times New Roman" w:hAnsi="Palatino" w:cs="Times New Roman"/>
          <w:color w:val="000000" w:themeColor="text1"/>
          <w:sz w:val="22"/>
          <w:szCs w:val="22"/>
        </w:rPr>
        <w:t xml:space="preserve"> (</w:t>
      </w:r>
      <w:proofErr w:type="spellStart"/>
      <w:r w:rsidR="005D6DC0" w:rsidRPr="009F2954">
        <w:rPr>
          <w:rFonts w:ascii="Palatino" w:eastAsia="Times New Roman" w:hAnsi="Palatino" w:cs="Times New Roman"/>
          <w:color w:val="000000" w:themeColor="text1"/>
          <w:sz w:val="22"/>
          <w:szCs w:val="22"/>
        </w:rPr>
        <w:t>Lotek</w:t>
      </w:r>
      <w:proofErr w:type="spellEnd"/>
      <w:r w:rsidR="005D6DC0" w:rsidRPr="009F2954">
        <w:rPr>
          <w:rFonts w:ascii="Palatino" w:eastAsia="Times New Roman" w:hAnsi="Palatino" w:cs="Times New Roman"/>
          <w:color w:val="000000" w:themeColor="text1"/>
          <w:sz w:val="22"/>
          <w:szCs w:val="22"/>
        </w:rPr>
        <w:t xml:space="preserve"> Wireless, St. John’s, Newfoundland</w:t>
      </w:r>
      <w:r w:rsidR="00FB3330">
        <w:rPr>
          <w:rFonts w:ascii="Palatino" w:eastAsia="Times New Roman" w:hAnsi="Palatino" w:cs="Times New Roman"/>
          <w:color w:val="000000" w:themeColor="text1"/>
          <w:sz w:val="22"/>
          <w:szCs w:val="22"/>
        </w:rPr>
        <w:t xml:space="preserve"> and British Antarctic Survey, Cambridge, UK</w:t>
      </w:r>
      <w:r w:rsidR="005D6DC0" w:rsidRPr="009F2954">
        <w:rPr>
          <w:rFonts w:ascii="Palatino" w:eastAsia="Times New Roman" w:hAnsi="Palatino" w:cs="Times New Roman"/>
          <w:color w:val="000000" w:themeColor="text1"/>
          <w:sz w:val="22"/>
          <w:szCs w:val="22"/>
        </w:rPr>
        <w:t>)</w:t>
      </w:r>
      <w:r w:rsidRPr="009F2954">
        <w:rPr>
          <w:rFonts w:ascii="Palatino" w:eastAsia="Times New Roman" w:hAnsi="Palatino" w:cs="Times New Roman"/>
          <w:color w:val="000000" w:themeColor="text1"/>
          <w:sz w:val="22"/>
          <w:szCs w:val="22"/>
        </w:rPr>
        <w:t xml:space="preserve">. </w:t>
      </w:r>
      <w:r w:rsidR="009F17A4" w:rsidRPr="009F2954">
        <w:rPr>
          <w:rFonts w:ascii="Palatino" w:eastAsia="Times New Roman" w:hAnsi="Palatino" w:cs="Times New Roman"/>
          <w:color w:val="000000" w:themeColor="text1"/>
          <w:sz w:val="22"/>
          <w:szCs w:val="22"/>
        </w:rPr>
        <w:t xml:space="preserve">Tagging procedures are outlined in Conners </w:t>
      </w:r>
      <w:r w:rsidR="00E6152D">
        <w:rPr>
          <w:rFonts w:ascii="Palatino" w:eastAsia="Times New Roman" w:hAnsi="Palatino" w:cs="Times New Roman"/>
          <w:color w:val="000000" w:themeColor="text1"/>
          <w:sz w:val="22"/>
          <w:szCs w:val="22"/>
        </w:rPr>
        <w:t>(</w:t>
      </w:r>
      <w:r w:rsidR="009F17A4" w:rsidRPr="009F2954">
        <w:rPr>
          <w:rFonts w:ascii="Palatino" w:eastAsia="Times New Roman" w:hAnsi="Palatino" w:cs="Times New Roman"/>
          <w:color w:val="000000" w:themeColor="text1"/>
          <w:sz w:val="22"/>
          <w:szCs w:val="22"/>
        </w:rPr>
        <w:t>2015</w:t>
      </w:r>
      <w:r w:rsidR="00E6152D">
        <w:rPr>
          <w:rFonts w:ascii="Palatino" w:eastAsia="Times New Roman" w:hAnsi="Palatino" w:cs="Times New Roman"/>
          <w:color w:val="000000" w:themeColor="text1"/>
          <w:sz w:val="22"/>
          <w:szCs w:val="22"/>
        </w:rPr>
        <w:t>)</w:t>
      </w:r>
      <w:r w:rsidR="009F17A4" w:rsidRPr="009F2954">
        <w:rPr>
          <w:rFonts w:ascii="Palatino" w:eastAsia="Times New Roman" w:hAnsi="Palatino" w:cs="Times New Roman"/>
          <w:color w:val="000000" w:themeColor="text1"/>
          <w:sz w:val="22"/>
          <w:szCs w:val="22"/>
        </w:rPr>
        <w:t xml:space="preserve">. </w:t>
      </w:r>
      <w:r w:rsidRPr="009F2954">
        <w:rPr>
          <w:rFonts w:ascii="Palatino" w:eastAsia="Times New Roman" w:hAnsi="Palatino" w:cs="Times New Roman"/>
          <w:color w:val="000000" w:themeColor="text1"/>
          <w:sz w:val="22"/>
          <w:szCs w:val="22"/>
        </w:rPr>
        <w:t xml:space="preserve">The first data set was collected over six </w:t>
      </w:r>
      <w:r w:rsidR="00FB78EA" w:rsidRPr="009F2954">
        <w:rPr>
          <w:rFonts w:ascii="Palatino" w:eastAsia="Times New Roman" w:hAnsi="Palatino" w:cs="Times New Roman"/>
          <w:color w:val="000000" w:themeColor="text1"/>
          <w:sz w:val="22"/>
          <w:szCs w:val="22"/>
        </w:rPr>
        <w:t>years</w:t>
      </w:r>
      <w:r w:rsidRPr="009F2954">
        <w:rPr>
          <w:rFonts w:ascii="Palatino" w:eastAsia="Times New Roman" w:hAnsi="Palatino" w:cs="Times New Roman"/>
          <w:color w:val="000000" w:themeColor="text1"/>
          <w:sz w:val="22"/>
          <w:szCs w:val="22"/>
        </w:rPr>
        <w:t xml:space="preserve"> (2008, 2009, 2010, 2011, 2012, 2013) on Sand Island, Midway Atoll (28.12°N, 177.23°W) in conjunction with</w:t>
      </w:r>
      <w:r w:rsidR="00F9282D">
        <w:rPr>
          <w:rFonts w:ascii="Palatino" w:eastAsia="Times New Roman" w:hAnsi="Palatino" w:cs="Times New Roman"/>
          <w:color w:val="000000" w:themeColor="text1"/>
          <w:sz w:val="22"/>
          <w:szCs w:val="22"/>
        </w:rPr>
        <w:t xml:space="preserve"> San Jose State University,</w:t>
      </w:r>
      <w:r w:rsidRPr="009F2954">
        <w:rPr>
          <w:rFonts w:ascii="Palatino" w:eastAsia="Times New Roman" w:hAnsi="Palatino" w:cs="Times New Roman"/>
          <w:color w:val="000000" w:themeColor="text1"/>
          <w:sz w:val="22"/>
          <w:szCs w:val="22"/>
        </w:rPr>
        <w:t xml:space="preserve"> UC Santa Cruz and </w:t>
      </w:r>
      <w:r w:rsidR="00F9282D">
        <w:rPr>
          <w:rFonts w:ascii="Palatino" w:eastAsia="Times New Roman" w:hAnsi="Palatino" w:cs="Times New Roman"/>
          <w:color w:val="000000" w:themeColor="text1"/>
          <w:sz w:val="22"/>
          <w:szCs w:val="22"/>
        </w:rPr>
        <w:t>the NOAA Environmental Research Division</w:t>
      </w:r>
      <w:r w:rsidRPr="009F2954">
        <w:rPr>
          <w:rFonts w:ascii="Palatino" w:eastAsia="Times New Roman" w:hAnsi="Palatino" w:cs="Times New Roman"/>
          <w:color w:val="000000" w:themeColor="text1"/>
          <w:sz w:val="22"/>
          <w:szCs w:val="22"/>
        </w:rPr>
        <w:t xml:space="preserve">. The second data set was collected </w:t>
      </w:r>
      <w:r w:rsidR="00943023">
        <w:rPr>
          <w:rFonts w:ascii="Palatino" w:eastAsia="Times New Roman" w:hAnsi="Palatino" w:cs="Times New Roman"/>
          <w:color w:val="000000" w:themeColor="text1"/>
          <w:sz w:val="22"/>
          <w:szCs w:val="22"/>
        </w:rPr>
        <w:t xml:space="preserve">by </w:t>
      </w:r>
      <w:r w:rsidR="00980A2E">
        <w:rPr>
          <w:rFonts w:ascii="Palatino" w:eastAsia="Times New Roman" w:hAnsi="Palatino" w:cs="Times New Roman"/>
          <w:color w:val="000000" w:themeColor="text1"/>
          <w:sz w:val="22"/>
          <w:szCs w:val="22"/>
        </w:rPr>
        <w:t xml:space="preserve">UCSC and </w:t>
      </w:r>
      <w:r w:rsidR="00943023">
        <w:rPr>
          <w:rFonts w:ascii="Palatino" w:eastAsia="Times New Roman" w:hAnsi="Palatino" w:cs="Times New Roman"/>
          <w:color w:val="000000" w:themeColor="text1"/>
          <w:sz w:val="22"/>
          <w:szCs w:val="22"/>
        </w:rPr>
        <w:t xml:space="preserve">US Fish and Wildlife staff and volunteers </w:t>
      </w:r>
      <w:r w:rsidRPr="009F2954">
        <w:rPr>
          <w:rFonts w:ascii="Palatino" w:eastAsia="Times New Roman" w:hAnsi="Palatino" w:cs="Times New Roman"/>
          <w:color w:val="000000" w:themeColor="text1"/>
          <w:sz w:val="22"/>
          <w:szCs w:val="22"/>
        </w:rPr>
        <w:t xml:space="preserve">over </w:t>
      </w:r>
      <w:r w:rsidR="00632351" w:rsidRPr="009F2954">
        <w:rPr>
          <w:rFonts w:ascii="Palatino" w:eastAsia="Times New Roman" w:hAnsi="Palatino" w:cs="Times New Roman"/>
          <w:color w:val="000000" w:themeColor="text1"/>
          <w:sz w:val="22"/>
          <w:szCs w:val="22"/>
        </w:rPr>
        <w:t>eight years (2004, 2005, 2006, and 2008, 2009, 2010, 2011, 2012)</w:t>
      </w:r>
      <w:r w:rsidR="00C4557E" w:rsidRPr="009F2954">
        <w:rPr>
          <w:rFonts w:ascii="Palatino" w:eastAsia="Times New Roman" w:hAnsi="Palatino" w:cs="Times New Roman"/>
          <w:color w:val="000000" w:themeColor="text1"/>
          <w:sz w:val="22"/>
          <w:szCs w:val="22"/>
        </w:rPr>
        <w:t xml:space="preserve"> from the </w:t>
      </w:r>
      <w:r w:rsidR="00C4557E" w:rsidRPr="009F2954">
        <w:rPr>
          <w:rFonts w:ascii="Palatino" w:eastAsia="Times New Roman" w:hAnsi="Palatino" w:cs="Times New Roman"/>
          <w:color w:val="000000" w:themeColor="text1"/>
          <w:sz w:val="22"/>
          <w:szCs w:val="22"/>
        </w:rPr>
        <w:lastRenderedPageBreak/>
        <w:t>breeding colony at Tern Island in the French Frigate Shoals (23.870°N, 166.284°W)</w:t>
      </w:r>
      <w:r w:rsidR="009F0773" w:rsidRPr="009F2954">
        <w:rPr>
          <w:rFonts w:ascii="Palatino" w:eastAsia="Times New Roman" w:hAnsi="Palatino" w:cs="Times New Roman"/>
          <w:color w:val="000000" w:themeColor="text1"/>
          <w:sz w:val="22"/>
          <w:szCs w:val="22"/>
        </w:rPr>
        <w:t>.</w:t>
      </w:r>
      <w:r w:rsidR="00632351" w:rsidRPr="009F2954">
        <w:rPr>
          <w:rFonts w:ascii="Palatino" w:eastAsia="Times New Roman" w:hAnsi="Palatino" w:cs="Times New Roman"/>
          <w:color w:val="000000" w:themeColor="text1"/>
          <w:sz w:val="22"/>
          <w:szCs w:val="22"/>
        </w:rPr>
        <w:t xml:space="preserve"> </w:t>
      </w:r>
      <w:r w:rsidR="009F0773" w:rsidRPr="009F2954">
        <w:rPr>
          <w:rFonts w:ascii="Palatino" w:eastAsia="Times New Roman" w:hAnsi="Palatino" w:cs="Times New Roman"/>
          <w:color w:val="000000" w:themeColor="text1"/>
          <w:sz w:val="22"/>
          <w:szCs w:val="22"/>
        </w:rPr>
        <w:t>F</w:t>
      </w:r>
      <w:r w:rsidR="00632351" w:rsidRPr="009F2954">
        <w:rPr>
          <w:rFonts w:ascii="Palatino" w:eastAsia="Times New Roman" w:hAnsi="Palatino" w:cs="Times New Roman"/>
          <w:color w:val="000000" w:themeColor="text1"/>
          <w:sz w:val="22"/>
          <w:szCs w:val="22"/>
        </w:rPr>
        <w:t>ive years of overlap between the sets</w:t>
      </w:r>
      <w:r w:rsidR="009F0773" w:rsidRPr="009F2954">
        <w:rPr>
          <w:rFonts w:ascii="Palatino" w:eastAsia="Times New Roman" w:hAnsi="Palatino" w:cs="Times New Roman"/>
          <w:color w:val="000000" w:themeColor="text1"/>
          <w:sz w:val="22"/>
          <w:szCs w:val="22"/>
        </w:rPr>
        <w:t xml:space="preserve"> is present</w:t>
      </w:r>
      <w:r w:rsidR="00632351" w:rsidRPr="009F2954">
        <w:rPr>
          <w:rFonts w:ascii="Palatino" w:eastAsia="Times New Roman" w:hAnsi="Palatino" w:cs="Times New Roman"/>
          <w:color w:val="000000" w:themeColor="text1"/>
          <w:sz w:val="22"/>
          <w:szCs w:val="22"/>
        </w:rPr>
        <w:t xml:space="preserve">. </w:t>
      </w:r>
      <w:r w:rsidRPr="009F2954">
        <w:rPr>
          <w:rFonts w:ascii="Palatino" w:eastAsia="Times New Roman" w:hAnsi="Palatino" w:cs="Times New Roman"/>
          <w:color w:val="000000" w:themeColor="text1"/>
          <w:sz w:val="22"/>
          <w:szCs w:val="22"/>
        </w:rPr>
        <w:t>Both datasets represent individuals from</w:t>
      </w:r>
      <w:r w:rsidR="000B6227">
        <w:rPr>
          <w:rFonts w:ascii="Palatino" w:eastAsia="Times New Roman" w:hAnsi="Palatino" w:cs="Times New Roman"/>
          <w:color w:val="000000" w:themeColor="text1"/>
          <w:sz w:val="22"/>
          <w:szCs w:val="22"/>
        </w:rPr>
        <w:t xml:space="preserve"> similarly heterogenous</w:t>
      </w:r>
      <w:r w:rsidRPr="009F2954">
        <w:rPr>
          <w:rFonts w:ascii="Palatino" w:eastAsia="Times New Roman" w:hAnsi="Palatino" w:cs="Times New Roman"/>
          <w:color w:val="000000" w:themeColor="text1"/>
          <w:sz w:val="22"/>
          <w:szCs w:val="22"/>
        </w:rPr>
        <w:t xml:space="preserve"> colonies of LAAL and BFAL</w:t>
      </w:r>
      <w:r w:rsidR="00FB78EA" w:rsidRPr="009F2954">
        <w:rPr>
          <w:rFonts w:ascii="Palatino" w:eastAsia="Times New Roman" w:hAnsi="Palatino" w:cs="Times New Roman"/>
          <w:color w:val="000000" w:themeColor="text1"/>
          <w:sz w:val="22"/>
          <w:szCs w:val="22"/>
        </w:rPr>
        <w:t>, and total numbers of tagged individuals were N=71</w:t>
      </w:r>
      <w:r w:rsidR="00943023">
        <w:rPr>
          <w:rFonts w:ascii="Palatino" w:eastAsia="Times New Roman" w:hAnsi="Palatino" w:cs="Times New Roman"/>
          <w:color w:val="000000" w:themeColor="text1"/>
          <w:sz w:val="22"/>
          <w:szCs w:val="22"/>
        </w:rPr>
        <w:t xml:space="preserve"> (BFAL=30, LAAL=41)</w:t>
      </w:r>
      <w:r w:rsidR="00FB78EA" w:rsidRPr="009F2954">
        <w:rPr>
          <w:rFonts w:ascii="Palatino" w:eastAsia="Times New Roman" w:hAnsi="Palatino" w:cs="Times New Roman"/>
          <w:color w:val="000000" w:themeColor="text1"/>
          <w:sz w:val="22"/>
          <w:szCs w:val="22"/>
        </w:rPr>
        <w:t xml:space="preserve"> from Midway over six years and N=</w:t>
      </w:r>
      <w:r w:rsidR="00943023">
        <w:rPr>
          <w:rFonts w:ascii="Palatino" w:eastAsia="Times New Roman" w:hAnsi="Palatino" w:cs="Times New Roman"/>
          <w:color w:val="000000" w:themeColor="text1"/>
          <w:sz w:val="22"/>
          <w:szCs w:val="22"/>
        </w:rPr>
        <w:t>136 (BFAL=61, LAAL=75)</w:t>
      </w:r>
      <w:r w:rsidR="001F640A">
        <w:rPr>
          <w:rFonts w:ascii="Palatino" w:eastAsia="Times New Roman" w:hAnsi="Palatino" w:cs="Times New Roman"/>
          <w:color w:val="000000" w:themeColor="text1"/>
          <w:sz w:val="22"/>
          <w:szCs w:val="22"/>
        </w:rPr>
        <w:t xml:space="preserve"> f</w:t>
      </w:r>
      <w:r w:rsidR="00FB78EA" w:rsidRPr="009F2954">
        <w:rPr>
          <w:rFonts w:ascii="Palatino" w:eastAsia="Times New Roman" w:hAnsi="Palatino" w:cs="Times New Roman"/>
          <w:color w:val="000000" w:themeColor="text1"/>
          <w:sz w:val="22"/>
          <w:szCs w:val="22"/>
        </w:rPr>
        <w:t xml:space="preserve">or Tern Island over eight years. </w:t>
      </w:r>
    </w:p>
    <w:p w14:paraId="40F349BF" w14:textId="5060EE57" w:rsidR="007F1120" w:rsidRPr="009F2954" w:rsidRDefault="007F1120" w:rsidP="006622E0">
      <w:pPr>
        <w:rPr>
          <w:rFonts w:ascii="Palatino" w:eastAsia="Times New Roman" w:hAnsi="Palatino" w:cs="Times New Roman"/>
          <w:color w:val="000000" w:themeColor="text1"/>
          <w:sz w:val="22"/>
          <w:szCs w:val="22"/>
        </w:rPr>
      </w:pPr>
    </w:p>
    <w:p w14:paraId="451EE04C" w14:textId="1C28B499" w:rsidR="000B6227" w:rsidRPr="00351A45" w:rsidRDefault="007F1120" w:rsidP="006622E0">
      <w:pPr>
        <w:rPr>
          <w:rFonts w:ascii="Palatino" w:eastAsia="Times New Roman" w:hAnsi="Palatino" w:cs="Times New Roman"/>
          <w:color w:val="000000" w:themeColor="text1"/>
          <w:sz w:val="22"/>
          <w:szCs w:val="22"/>
        </w:rPr>
      </w:pPr>
      <w:r w:rsidRPr="00351A45">
        <w:rPr>
          <w:rFonts w:ascii="Palatino" w:eastAsia="Times New Roman" w:hAnsi="Palatino" w:cs="Times New Roman"/>
          <w:color w:val="000000" w:themeColor="text1"/>
          <w:sz w:val="22"/>
          <w:szCs w:val="22"/>
        </w:rPr>
        <w:t xml:space="preserve">My overall approach for this study is to </w:t>
      </w:r>
      <w:r w:rsidR="00515163">
        <w:rPr>
          <w:rFonts w:ascii="Palatino" w:eastAsia="Times New Roman" w:hAnsi="Palatino" w:cs="Times New Roman"/>
          <w:color w:val="000000" w:themeColor="text1"/>
          <w:sz w:val="22"/>
          <w:szCs w:val="22"/>
        </w:rPr>
        <w:t xml:space="preserve">process data collected to determine initial location estimates </w:t>
      </w:r>
      <w:r w:rsidRPr="00351A45">
        <w:rPr>
          <w:rFonts w:ascii="Palatino" w:eastAsia="Times New Roman" w:hAnsi="Palatino" w:cs="Times New Roman"/>
          <w:color w:val="000000" w:themeColor="text1"/>
          <w:sz w:val="22"/>
          <w:szCs w:val="22"/>
        </w:rPr>
        <w:t>and to</w:t>
      </w:r>
      <w:r w:rsidR="00515163">
        <w:rPr>
          <w:rFonts w:ascii="Palatino" w:eastAsia="Times New Roman" w:hAnsi="Palatino" w:cs="Times New Roman"/>
          <w:color w:val="000000" w:themeColor="text1"/>
          <w:sz w:val="22"/>
          <w:szCs w:val="22"/>
        </w:rPr>
        <w:t xml:space="preserve"> apply a movement model in a Bayesian framework to these estimates</w:t>
      </w:r>
      <w:r w:rsidRPr="00351A45">
        <w:rPr>
          <w:rFonts w:ascii="Palatino" w:eastAsia="Times New Roman" w:hAnsi="Palatino" w:cs="Times New Roman"/>
          <w:color w:val="000000" w:themeColor="text1"/>
          <w:sz w:val="22"/>
          <w:szCs w:val="22"/>
        </w:rPr>
        <w:t xml:space="preserve"> to generate likely location points</w:t>
      </w:r>
      <w:r w:rsidR="00576476" w:rsidRPr="00351A45">
        <w:rPr>
          <w:rFonts w:ascii="Palatino" w:eastAsia="Times New Roman" w:hAnsi="Palatino" w:cs="Times New Roman"/>
          <w:color w:val="000000" w:themeColor="text1"/>
          <w:sz w:val="22"/>
          <w:szCs w:val="22"/>
        </w:rPr>
        <w:t xml:space="preserve"> </w:t>
      </w:r>
      <w:r w:rsidR="00576476" w:rsidRPr="00351A45">
        <w:rPr>
          <w:rFonts w:ascii="Palatino" w:eastAsia="Times New Roman" w:hAnsi="Palatino" w:cs="Times New Roman"/>
          <w:color w:val="000000" w:themeColor="text1"/>
          <w:sz w:val="22"/>
          <w:szCs w:val="22"/>
        </w:rPr>
        <w:fldChar w:fldCharType="begin" w:fldLock="1"/>
      </w:r>
      <w:r w:rsidR="001F230F" w:rsidRPr="00351A45">
        <w:rPr>
          <w:rFonts w:ascii="Palatino" w:eastAsia="Times New Roman" w:hAnsi="Palatino" w:cs="Times New Roman"/>
          <w:color w:val="000000" w:themeColor="text1"/>
          <w:sz w:val="22"/>
          <w:szCs w:val="22"/>
        </w:rPr>
        <w:instrText>ADDIN CSL_CITATION {"citationItems":[{"id":"ITEM-1","itemData":{"DOI":"Conners_ucsc_0036E_10949","author":[{"dropping-particle":"","family":"Conners","given":"Melinda G","non-dropping-particle":"","parse-names":false,"suffix":""}],"id":"ITEM-1","issued":{"date-parts":[["2015"]]},"publisher":"UC Santa Cruz","title":"Comparative behavior, diet, and post-breeding strategies of two sympatric North Pacific albatross species (Phoebastria sp.)","type":"thesis"},"uris":["http://www.mendeley.com/documents/?uuid=fd7f8b7d-fe18-4dad-914d-ba9d06ad0ac9"]}],"mendeley":{"formattedCitation":"(Conners 2015)","plainTextFormattedCitation":"(Conners 2015)","previouslyFormattedCitation":"(Conners 2015)"},"properties":{"noteIndex":0},"schema":"https://github.com/citation-style-language/schema/raw/master/csl-citation.json"}</w:instrText>
      </w:r>
      <w:r w:rsidR="00576476" w:rsidRPr="00351A45">
        <w:rPr>
          <w:rFonts w:ascii="Palatino" w:eastAsia="Times New Roman" w:hAnsi="Palatino" w:cs="Times New Roman"/>
          <w:color w:val="000000" w:themeColor="text1"/>
          <w:sz w:val="22"/>
          <w:szCs w:val="22"/>
        </w:rPr>
        <w:fldChar w:fldCharType="separate"/>
      </w:r>
      <w:r w:rsidR="00576476" w:rsidRPr="00351A45">
        <w:rPr>
          <w:rFonts w:ascii="Palatino" w:eastAsia="Times New Roman" w:hAnsi="Palatino" w:cs="Times New Roman"/>
          <w:noProof/>
          <w:color w:val="000000" w:themeColor="text1"/>
          <w:sz w:val="22"/>
          <w:szCs w:val="22"/>
        </w:rPr>
        <w:t>(Conners 2015)</w:t>
      </w:r>
      <w:r w:rsidR="00576476" w:rsidRPr="00351A45">
        <w:rPr>
          <w:rFonts w:ascii="Palatino" w:eastAsia="Times New Roman" w:hAnsi="Palatino" w:cs="Times New Roman"/>
          <w:color w:val="000000" w:themeColor="text1"/>
          <w:sz w:val="22"/>
          <w:szCs w:val="22"/>
        </w:rPr>
        <w:fldChar w:fldCharType="end"/>
      </w:r>
      <w:r w:rsidRPr="00351A45">
        <w:rPr>
          <w:rFonts w:ascii="Palatino" w:eastAsia="Times New Roman" w:hAnsi="Palatino" w:cs="Times New Roman"/>
          <w:color w:val="000000" w:themeColor="text1"/>
          <w:sz w:val="22"/>
          <w:szCs w:val="22"/>
        </w:rPr>
        <w:t xml:space="preserve">. Then, I will </w:t>
      </w:r>
      <w:r w:rsidR="00980A2E">
        <w:rPr>
          <w:rFonts w:ascii="Palatino" w:eastAsia="Times New Roman" w:hAnsi="Palatino" w:cs="Times New Roman"/>
          <w:color w:val="000000" w:themeColor="text1"/>
          <w:sz w:val="22"/>
          <w:szCs w:val="22"/>
        </w:rPr>
        <w:t>develop</w:t>
      </w:r>
      <w:r w:rsidR="00980A2E" w:rsidRPr="00351A45">
        <w:rPr>
          <w:rFonts w:ascii="Palatino" w:eastAsia="Times New Roman" w:hAnsi="Palatino" w:cs="Times New Roman"/>
          <w:color w:val="000000" w:themeColor="text1"/>
          <w:sz w:val="22"/>
          <w:szCs w:val="22"/>
        </w:rPr>
        <w:t xml:space="preserve"> </w:t>
      </w:r>
      <w:r w:rsidRPr="00351A45">
        <w:rPr>
          <w:rFonts w:ascii="Palatino" w:eastAsia="Times New Roman" w:hAnsi="Palatino" w:cs="Times New Roman"/>
          <w:color w:val="000000" w:themeColor="text1"/>
          <w:sz w:val="22"/>
          <w:szCs w:val="22"/>
        </w:rPr>
        <w:t>kernel density estimation</w:t>
      </w:r>
      <w:r w:rsidR="00980A2E">
        <w:rPr>
          <w:rFonts w:ascii="Palatino" w:eastAsia="Times New Roman" w:hAnsi="Palatino" w:cs="Times New Roman"/>
          <w:color w:val="000000" w:themeColor="text1"/>
          <w:sz w:val="22"/>
          <w:szCs w:val="22"/>
        </w:rPr>
        <w:t>s</w:t>
      </w:r>
      <w:r w:rsidRPr="00351A45">
        <w:rPr>
          <w:rFonts w:ascii="Palatino" w:eastAsia="Times New Roman" w:hAnsi="Palatino" w:cs="Times New Roman"/>
          <w:color w:val="000000" w:themeColor="text1"/>
          <w:sz w:val="22"/>
          <w:szCs w:val="22"/>
        </w:rPr>
        <w:t xml:space="preserve"> to generate utilization distributions</w:t>
      </w:r>
      <w:r w:rsidR="00566EB1" w:rsidRPr="00351A45">
        <w:rPr>
          <w:rFonts w:ascii="Palatino" w:eastAsia="Times New Roman" w:hAnsi="Palatino" w:cs="Times New Roman"/>
          <w:color w:val="000000" w:themeColor="text1"/>
          <w:sz w:val="22"/>
          <w:szCs w:val="22"/>
        </w:rPr>
        <w:t xml:space="preserve"> (location density maps)</w:t>
      </w:r>
      <w:r w:rsidRPr="00351A45">
        <w:rPr>
          <w:rFonts w:ascii="Palatino" w:eastAsia="Times New Roman" w:hAnsi="Palatino" w:cs="Times New Roman"/>
          <w:color w:val="000000" w:themeColor="text1"/>
          <w:sz w:val="22"/>
          <w:szCs w:val="22"/>
        </w:rPr>
        <w:t xml:space="preserve">. By comparing overlap (and </w:t>
      </w:r>
      <w:r w:rsidR="000D0075" w:rsidRPr="00351A45">
        <w:rPr>
          <w:rFonts w:ascii="Palatino" w:eastAsia="Times New Roman" w:hAnsi="Palatino" w:cs="Times New Roman"/>
          <w:color w:val="000000" w:themeColor="text1"/>
          <w:sz w:val="22"/>
          <w:szCs w:val="22"/>
        </w:rPr>
        <w:t xml:space="preserve">conversely </w:t>
      </w:r>
      <w:r w:rsidRPr="00351A45">
        <w:rPr>
          <w:rFonts w:ascii="Palatino" w:eastAsia="Times New Roman" w:hAnsi="Palatino" w:cs="Times New Roman"/>
          <w:color w:val="000000" w:themeColor="text1"/>
          <w:sz w:val="22"/>
          <w:szCs w:val="22"/>
        </w:rPr>
        <w:t>segregation) of utilization distributions (1) between species across all years, (2) between species from separate colony sites, and (3) within species over time, I can test</w:t>
      </w:r>
      <w:r w:rsidR="00147FC6">
        <w:rPr>
          <w:rFonts w:ascii="Palatino" w:eastAsia="Times New Roman" w:hAnsi="Palatino" w:cs="Times New Roman"/>
          <w:color w:val="000000" w:themeColor="text1"/>
          <w:sz w:val="22"/>
          <w:szCs w:val="22"/>
        </w:rPr>
        <w:t xml:space="preserve"> Hypotheses 1, 2, and 3 respectively</w:t>
      </w:r>
      <w:r w:rsidRPr="00351A45">
        <w:rPr>
          <w:rFonts w:ascii="Palatino" w:eastAsia="Times New Roman" w:hAnsi="Palatino" w:cs="Times New Roman"/>
          <w:color w:val="000000" w:themeColor="text1"/>
          <w:sz w:val="22"/>
          <w:szCs w:val="22"/>
        </w:rPr>
        <w:t xml:space="preserve"> to determine if segregation is maintained in the </w:t>
      </w:r>
      <w:r w:rsidR="001F640A" w:rsidRPr="00351A45">
        <w:rPr>
          <w:rFonts w:ascii="Palatino" w:eastAsia="Times New Roman" w:hAnsi="Palatino" w:cs="Times New Roman"/>
          <w:color w:val="000000" w:themeColor="text1"/>
          <w:sz w:val="22"/>
          <w:szCs w:val="22"/>
        </w:rPr>
        <w:t>non</w:t>
      </w:r>
      <w:r w:rsidRPr="00351A45">
        <w:rPr>
          <w:rFonts w:ascii="Palatino" w:eastAsia="Times New Roman" w:hAnsi="Palatino" w:cs="Times New Roman"/>
          <w:color w:val="000000" w:themeColor="text1"/>
          <w:sz w:val="22"/>
          <w:szCs w:val="22"/>
        </w:rPr>
        <w:t xml:space="preserve">-breeding phase for BFAL and LAAL. </w:t>
      </w:r>
    </w:p>
    <w:p w14:paraId="1C3D962C" w14:textId="77777777" w:rsidR="00EE5173" w:rsidRDefault="00EE5173" w:rsidP="006622E0">
      <w:pPr>
        <w:rPr>
          <w:rFonts w:ascii="Palatino" w:eastAsia="Times New Roman" w:hAnsi="Palatino" w:cs="Times New Roman"/>
          <w:color w:val="000000" w:themeColor="text1"/>
        </w:rPr>
      </w:pPr>
    </w:p>
    <w:p w14:paraId="39972A11" w14:textId="160C904D" w:rsidR="00761E5C" w:rsidRDefault="00BE38BA" w:rsidP="006622E0">
      <w:pPr>
        <w:rPr>
          <w:rFonts w:ascii="Palatino" w:eastAsia="Times New Roman" w:hAnsi="Palatino" w:cs="Times New Roman"/>
          <w:i/>
          <w:iCs/>
          <w:color w:val="000000" w:themeColor="text1"/>
        </w:rPr>
      </w:pPr>
      <w:r>
        <w:rPr>
          <w:rFonts w:ascii="Palatino" w:eastAsia="Times New Roman" w:hAnsi="Palatino" w:cs="Times New Roman"/>
          <w:i/>
          <w:iCs/>
          <w:color w:val="000000" w:themeColor="text1"/>
        </w:rPr>
        <w:t>M</w:t>
      </w:r>
      <w:r w:rsidR="00761E5C">
        <w:rPr>
          <w:rFonts w:ascii="Palatino" w:eastAsia="Times New Roman" w:hAnsi="Palatino" w:cs="Times New Roman"/>
          <w:i/>
          <w:iCs/>
          <w:color w:val="000000" w:themeColor="text1"/>
        </w:rPr>
        <w:t>ovement modeling</w:t>
      </w:r>
      <w:r>
        <w:rPr>
          <w:rFonts w:ascii="Palatino" w:eastAsia="Times New Roman" w:hAnsi="Palatino" w:cs="Times New Roman"/>
          <w:i/>
          <w:iCs/>
          <w:color w:val="000000" w:themeColor="text1"/>
        </w:rPr>
        <w:t xml:space="preserve"> in a Bayesian framework</w:t>
      </w:r>
    </w:p>
    <w:p w14:paraId="3D1C2DAD" w14:textId="77777777" w:rsidR="00692706" w:rsidRDefault="00692706" w:rsidP="00874958">
      <w:pPr>
        <w:tabs>
          <w:tab w:val="right" w:pos="9360"/>
        </w:tabs>
        <w:rPr>
          <w:rFonts w:ascii="Palatino" w:hAnsi="Palatino"/>
          <w:sz w:val="22"/>
          <w:szCs w:val="22"/>
        </w:rPr>
      </w:pPr>
    </w:p>
    <w:p w14:paraId="41C186EE" w14:textId="643FF277" w:rsidR="00077798" w:rsidRPr="00077798" w:rsidRDefault="0060081B" w:rsidP="00077798">
      <w:pPr>
        <w:rPr>
          <w:rFonts w:ascii="Palatino" w:eastAsia="Times New Roman" w:hAnsi="Palatino" w:cs="Times New Roman"/>
          <w:color w:val="000000" w:themeColor="text1"/>
          <w:sz w:val="22"/>
          <w:szCs w:val="22"/>
        </w:rPr>
      </w:pPr>
      <w:r>
        <w:rPr>
          <w:rFonts w:ascii="Palatino" w:eastAsia="Times New Roman" w:hAnsi="Palatino" w:cs="Times New Roman"/>
          <w:color w:val="000000" w:themeColor="text1"/>
          <w:sz w:val="22"/>
          <w:szCs w:val="22"/>
        </w:rPr>
        <w:t xml:space="preserve">MK19 sensors collected “light profiles”, giving daily time-series of light intensities recorded by the sensor. For these devices, the R package ‘SGAT’ and threshold methodology </w:t>
      </w:r>
      <w:r w:rsidRPr="009F2954">
        <w:rPr>
          <w:rFonts w:ascii="Palatino" w:eastAsia="Times New Roman" w:hAnsi="Palatino" w:cs="Times New Roman"/>
          <w:color w:val="000000" w:themeColor="text1"/>
          <w:sz w:val="22"/>
          <w:szCs w:val="22"/>
        </w:rPr>
        <w:t xml:space="preserve">(see </w:t>
      </w:r>
      <w:r w:rsidRPr="009F2954">
        <w:rPr>
          <w:rFonts w:ascii="Palatino" w:eastAsia="Times New Roman" w:hAnsi="Palatino" w:cs="Times New Roman"/>
          <w:color w:val="000000" w:themeColor="text1"/>
          <w:sz w:val="22"/>
          <w:szCs w:val="22"/>
        </w:rPr>
        <w:fldChar w:fldCharType="begin" w:fldLock="1"/>
      </w:r>
      <w:r w:rsidRPr="009F2954">
        <w:rPr>
          <w:rFonts w:ascii="Palatino" w:eastAsia="Times New Roman" w:hAnsi="Palatino" w:cs="Times New Roman"/>
          <w:color w:val="000000" w:themeColor="text1"/>
          <w:sz w:val="22"/>
          <w:szCs w:val="22"/>
        </w:rPr>
        <w:instrText>ADDIN CSL_CITATION {"citationItems":[{"id":"ITEM-1","itemData":{"DOI":"10.1111/1365-2656.13036","ISSN":"0021-8790","abstract":"Light-level geolocator tags use ambient light recordings to estimate the whereabouts of an individual over the time it carried the device. Over the past decade, these tags have emerged as an important tool and have been used extensively for tracking animal migrations, most commonly small birds. Analysing geolocator data can be daunting to new and experienced scientists alike. Over the past decades, several methods with fundamental differences in the analytical approach have been developed to cope with the various caveats and the often complicated data. Here, we explain the concepts behind the analyses of geolocator data and provide a practical guide for the common steps encompassing most analyses – annotation of twilights, calibration, estimating and refining locations, and extraction of movement patterns – describing good practices and common pitfalls for each step. We discuss criteria for deciding whether or not geolocators can answer proposed research questions, provide guidance in choosing an appropriate analysis method and introduce key features of the newest open-source analysis tools. We provide advice for how to interpret and report results, highlighting parameters that should be reported in publications and included in data archiving. Finally, we introduce a comprehensive supplementary online manual that applies the concepts to several datasets, demonstrates the use of open-source analysis tools with step-by-step instructions and code and details our recommendations for interpreting, reporting and archiving.","author":[{"dropping-particle":"","family":"Lisovski","given":"Simeon","non-dropping-particle":"","parse-names":false,"suffix":""},{"dropping-particle":"","family":"Bauer","given":"Silke","non-dropping-particle":"","parse-names":false,"suffix":""},{"dropping-particle":"","family":"Briedis","given":"Martins","non-dropping-particle":"","parse-names":false,"suffix":""},{"dropping-particle":"","family":"Davidson","given":"Sarah C.","non-dropping-particle":"","parse-names":false,"suffix":""},{"dropping-particle":"","family":"Dhanjal</w:instrText>
      </w:r>
      <w:r w:rsidRPr="009F2954">
        <w:rPr>
          <w:rFonts w:ascii="Cambria Math" w:eastAsia="Times New Roman" w:hAnsi="Cambria Math" w:cs="Cambria Math"/>
          <w:color w:val="000000" w:themeColor="text1"/>
          <w:sz w:val="22"/>
          <w:szCs w:val="22"/>
        </w:rPr>
        <w:instrText>‐</w:instrText>
      </w:r>
      <w:r w:rsidRPr="009F2954">
        <w:rPr>
          <w:rFonts w:ascii="Palatino" w:eastAsia="Times New Roman" w:hAnsi="Palatino" w:cs="Times New Roman"/>
          <w:color w:val="000000" w:themeColor="text1"/>
          <w:sz w:val="22"/>
          <w:szCs w:val="22"/>
        </w:rPr>
        <w:instrText>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w:instrText>
      </w:r>
      <w:r w:rsidRPr="009F2954">
        <w:rPr>
          <w:rFonts w:ascii="Cambria Math" w:eastAsia="Times New Roman" w:hAnsi="Cambria Math" w:cs="Cambria Math"/>
          <w:color w:val="000000" w:themeColor="text1"/>
          <w:sz w:val="22"/>
          <w:szCs w:val="22"/>
        </w:rPr>
        <w:instrText>‐</w:instrText>
      </w:r>
      <w:r w:rsidRPr="009F2954">
        <w:rPr>
          <w:rFonts w:ascii="Palatino" w:eastAsia="Times New Roman" w:hAnsi="Palatino" w:cs="Times New Roman"/>
          <w:color w:val="000000" w:themeColor="text1"/>
          <w:sz w:val="22"/>
          <w:szCs w:val="22"/>
        </w:rPr>
        <w:instrText>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S.","non-dropping-particle":"","parse-names":false,"suffix":""}],"container-title":"Journal of Animal Ecology","editor":[{"dropping-particle":"","family":"Street","given":"Garrett","non-dropping-particle":"","parse-names":false,"suffix":""}],"id":"ITEM-1","issue":"1","issued":{"date-parts":[["2020","1","25"]]},"page":"221-236","publisher":"Blackwell Publishing Ltd","title":"Light</w:instrText>
      </w:r>
      <w:r w:rsidRPr="009F2954">
        <w:rPr>
          <w:rFonts w:ascii="Cambria Math" w:eastAsia="Times New Roman" w:hAnsi="Cambria Math" w:cs="Cambria Math"/>
          <w:color w:val="000000" w:themeColor="text1"/>
          <w:sz w:val="22"/>
          <w:szCs w:val="22"/>
        </w:rPr>
        <w:instrText>‐</w:instrText>
      </w:r>
      <w:r w:rsidRPr="009F2954">
        <w:rPr>
          <w:rFonts w:ascii="Palatino" w:eastAsia="Times New Roman" w:hAnsi="Palatino" w:cs="Times New Roman"/>
          <w:color w:val="000000" w:themeColor="text1"/>
          <w:sz w:val="22"/>
          <w:szCs w:val="22"/>
        </w:rPr>
        <w:instrText>level geolocator analyses: A user's guide","type":"article-journal","volume":"89"},"uris":["http://www.mendeley.com/documents/?uuid=66eaa4cd-5aeb-39a5-a18f-10ef850cf40c"]}],"mendeley":{"formattedCitation":"(Lisovski et al. 2020)","plainTextFormattedCitation":"(Lisovski et al. 2020)","previouslyFormattedCitation":"(Lisovski et al. 2020)"},"properties":{"noteIndex":0},"schema":"https://github.com/citation-style-language/schema/raw/master/csl-citation.json"}</w:instrText>
      </w:r>
      <w:r w:rsidRPr="009F2954">
        <w:rPr>
          <w:rFonts w:ascii="Palatino" w:eastAsia="Times New Roman" w:hAnsi="Palatino" w:cs="Times New Roman"/>
          <w:color w:val="000000" w:themeColor="text1"/>
          <w:sz w:val="22"/>
          <w:szCs w:val="22"/>
        </w:rPr>
        <w:fldChar w:fldCharType="separate"/>
      </w:r>
      <w:r w:rsidRPr="009F2954">
        <w:rPr>
          <w:rFonts w:ascii="Palatino" w:eastAsia="Times New Roman" w:hAnsi="Palatino" w:cs="Times New Roman"/>
          <w:noProof/>
          <w:color w:val="000000" w:themeColor="text1"/>
          <w:sz w:val="22"/>
          <w:szCs w:val="22"/>
        </w:rPr>
        <w:t>(Lisovski et al. 2020)</w:t>
      </w:r>
      <w:r w:rsidRPr="009F2954">
        <w:rPr>
          <w:rFonts w:ascii="Palatino" w:eastAsia="Times New Roman" w:hAnsi="Palatino" w:cs="Times New Roman"/>
          <w:color w:val="000000" w:themeColor="text1"/>
          <w:sz w:val="22"/>
          <w:szCs w:val="22"/>
        </w:rPr>
        <w:fldChar w:fldCharType="end"/>
      </w:r>
      <w:r w:rsidRPr="009F2954">
        <w:rPr>
          <w:rFonts w:ascii="Palatino" w:eastAsia="Times New Roman" w:hAnsi="Palatino" w:cs="Times New Roman"/>
          <w:color w:val="000000" w:themeColor="text1"/>
          <w:sz w:val="22"/>
          <w:szCs w:val="22"/>
        </w:rPr>
        <w:t xml:space="preserve"> for reference)</w:t>
      </w:r>
      <w:r>
        <w:rPr>
          <w:rFonts w:ascii="Palatino" w:eastAsia="Times New Roman" w:hAnsi="Palatino" w:cs="Times New Roman"/>
          <w:color w:val="000000" w:themeColor="text1"/>
          <w:sz w:val="22"/>
          <w:szCs w:val="22"/>
        </w:rPr>
        <w:t xml:space="preserve"> will be used to determine twilight events (“twilight annotation”). </w:t>
      </w:r>
      <w:proofErr w:type="spellStart"/>
      <w:r>
        <w:rPr>
          <w:rFonts w:ascii="Palatino" w:eastAsia="Times New Roman" w:hAnsi="Palatino" w:cs="Times New Roman"/>
          <w:color w:val="000000" w:themeColor="text1"/>
          <w:sz w:val="22"/>
          <w:szCs w:val="22"/>
        </w:rPr>
        <w:t>Lotek</w:t>
      </w:r>
      <w:proofErr w:type="spellEnd"/>
      <w:r>
        <w:rPr>
          <w:rFonts w:ascii="Palatino" w:eastAsia="Times New Roman" w:hAnsi="Palatino" w:cs="Times New Roman"/>
          <w:color w:val="000000" w:themeColor="text1"/>
          <w:sz w:val="22"/>
          <w:szCs w:val="22"/>
        </w:rPr>
        <w:t xml:space="preserve"> LTD sensors use on-board algorithms to generate initial location (</w:t>
      </w:r>
      <w:r w:rsidRPr="009F2954">
        <w:rPr>
          <w:rFonts w:ascii="Palatino" w:eastAsia="Times New Roman" w:hAnsi="Palatino" w:cs="Times New Roman"/>
          <w:color w:val="000000" w:themeColor="text1"/>
          <w:sz w:val="22"/>
          <w:szCs w:val="22"/>
        </w:rPr>
        <w:t>latitude/longitude</w:t>
      </w:r>
      <w:r>
        <w:rPr>
          <w:rFonts w:ascii="Palatino" w:eastAsia="Times New Roman" w:hAnsi="Palatino" w:cs="Times New Roman"/>
          <w:color w:val="000000" w:themeColor="text1"/>
          <w:sz w:val="22"/>
          <w:szCs w:val="22"/>
        </w:rPr>
        <w:t>) estimates.</w:t>
      </w:r>
      <w:r w:rsidR="00077798" w:rsidRPr="009F2954">
        <w:rPr>
          <w:rFonts w:ascii="Palatino" w:eastAsia="Times New Roman" w:hAnsi="Palatino" w:cs="Times New Roman"/>
          <w:color w:val="000000" w:themeColor="text1"/>
          <w:sz w:val="22"/>
          <w:szCs w:val="22"/>
        </w:rPr>
        <w:t xml:space="preserve"> </w:t>
      </w:r>
    </w:p>
    <w:p w14:paraId="27C96152" w14:textId="77777777" w:rsidR="00077798" w:rsidRDefault="00077798" w:rsidP="00874958">
      <w:pPr>
        <w:tabs>
          <w:tab w:val="right" w:pos="9360"/>
        </w:tabs>
        <w:rPr>
          <w:rFonts w:ascii="Palatino" w:hAnsi="Palatino"/>
          <w:sz w:val="22"/>
          <w:szCs w:val="22"/>
        </w:rPr>
      </w:pPr>
    </w:p>
    <w:p w14:paraId="654D9606" w14:textId="0173C411" w:rsidR="00874958" w:rsidRDefault="00687AF6" w:rsidP="00874958">
      <w:pPr>
        <w:tabs>
          <w:tab w:val="right" w:pos="9360"/>
        </w:tabs>
        <w:rPr>
          <w:rFonts w:ascii="Palatino" w:hAnsi="Palatino"/>
          <w:sz w:val="22"/>
          <w:szCs w:val="22"/>
        </w:rPr>
      </w:pPr>
      <w:r>
        <w:rPr>
          <w:rFonts w:ascii="Palatino" w:hAnsi="Palatino"/>
          <w:sz w:val="22"/>
          <w:szCs w:val="22"/>
        </w:rPr>
        <w:t>Whether determined by twilight annotation or an on-board algorithm, p</w:t>
      </w:r>
      <w:r w:rsidR="00874958" w:rsidRPr="009F2954">
        <w:rPr>
          <w:rFonts w:ascii="Palatino" w:hAnsi="Palatino"/>
          <w:sz w:val="22"/>
          <w:szCs w:val="22"/>
        </w:rPr>
        <w:t xml:space="preserve">assive collection of light level data leads to relatively low accuracy of initial latitude and longitude </w:t>
      </w:r>
      <w:r>
        <w:rPr>
          <w:rFonts w:ascii="Palatino" w:hAnsi="Palatino"/>
          <w:sz w:val="22"/>
          <w:szCs w:val="22"/>
        </w:rPr>
        <w:t>estimates</w:t>
      </w:r>
      <w:r w:rsidR="00874958" w:rsidRPr="009F2954">
        <w:rPr>
          <w:rFonts w:ascii="Palatino" w:hAnsi="Palatino"/>
          <w:sz w:val="22"/>
          <w:szCs w:val="22"/>
        </w:rPr>
        <w:t xml:space="preserve"> due to technological constraints. Given the low accuracy of these position estimations, modeling is necessary in order determine most likely location</w:t>
      </w:r>
      <w:r>
        <w:rPr>
          <w:rFonts w:ascii="Palatino" w:hAnsi="Palatino"/>
          <w:sz w:val="22"/>
          <w:szCs w:val="22"/>
        </w:rPr>
        <w:t>s</w:t>
      </w:r>
      <w:r w:rsidR="00F16BAE">
        <w:rPr>
          <w:rFonts w:ascii="Palatino" w:hAnsi="Palatino"/>
          <w:sz w:val="22"/>
          <w:szCs w:val="22"/>
        </w:rPr>
        <w:t xml:space="preserve"> </w:t>
      </w:r>
      <w:r w:rsidR="00F16BAE">
        <w:rPr>
          <w:rFonts w:ascii="Palatino" w:hAnsi="Palatino"/>
          <w:sz w:val="22"/>
          <w:szCs w:val="22"/>
        </w:rPr>
        <w:fldChar w:fldCharType="begin" w:fldLock="1"/>
      </w:r>
      <w:r w:rsidR="00681C07">
        <w:rPr>
          <w:rFonts w:ascii="Palatino" w:hAnsi="Palatino"/>
          <w:sz w:val="22"/>
          <w:szCs w:val="22"/>
        </w:rPr>
        <w:instrText>ADDIN CSL_CITATION {"citationItems":[{"id":"ITEM-1","itemData":{"DOI":"10.1371/journal.pone.0007324","ISSN":"19326203","PMID":"19823684","abstract":"The reliable estimation of animal location, and its associated error is fundamental to animal ecology. There are many existing techniques for handling location error, but these are often ad hoc or are used in isolation from each other. In this study we present a Bayesian framework for determining location that uses all the data available, is flexible to all tagging techniques, and provides location estimates with built-in measures of uncertainty. Bayesian methods allow the contributions of multiple data sources to be decomposed into manageable components. We illustrate with two examples for two different location methods: satellite tracking and light level geo-location. We show that many of the problems with uncertainty involved are reduced and quantified by our approach. This approach can use any available information, such as existing knowledge of the animal's potential range, light levels or direct location estimates, auxiliary data, and movement models. The approach provides a substantial contribution to the handling uncertainty in archival tag and satellite tracking data using readily available tools. © 2009 Sumner et al.","author":[{"dropping-particle":"","family":"Sumner","given":"Michael D.","non-dropping-particle":"","parse-names":false,"suffix":""},{"dropping-particle":"","family":"Wotherspoon","given":"Simon J.","non-dropping-particle":"","parse-names":false,"suffix":""},{"dropping-particle":"","family":"Hindell","given":"Mark A.","non-dropping-particle":"","parse-names":false,"suffix":""}],"container-title":"PLoS ONE","id":"ITEM-1","issue":"10","issued":{"date-parts":[["2009"]]},"page":"7324","publisher":"Public Library of Science","title":"Bayesian Estimation of Animal Movement from Archival and Satellite Tags","type":"article-journal","volume":"4"},"uris":["http://www.mendeley.com/documents/?uuid=d159aa1e-b63a-31f3-951a-0af0658bf406"]}],"mendeley":{"formattedCitation":"(Sumner, Wotherspoon, and Hindell 2009)","plainTextFormattedCitation":"(Sumner, Wotherspoon, and Hindell 2009)","previouslyFormattedCitation":"(Sumner, Wotherspoon, and Hindell 2009)"},"properties":{"noteIndex":0},"schema":"https://github.com/citation-style-language/schema/raw/master/csl-citation.json"}</w:instrText>
      </w:r>
      <w:r w:rsidR="00F16BAE">
        <w:rPr>
          <w:rFonts w:ascii="Palatino" w:hAnsi="Palatino"/>
          <w:sz w:val="22"/>
          <w:szCs w:val="22"/>
        </w:rPr>
        <w:fldChar w:fldCharType="separate"/>
      </w:r>
      <w:r w:rsidR="00F16BAE" w:rsidRPr="00F16BAE">
        <w:rPr>
          <w:rFonts w:ascii="Palatino" w:hAnsi="Palatino"/>
          <w:noProof/>
          <w:sz w:val="22"/>
          <w:szCs w:val="22"/>
        </w:rPr>
        <w:t>(Sumner, Wotherspoon, and Hindell 2009)</w:t>
      </w:r>
      <w:r w:rsidR="00F16BAE">
        <w:rPr>
          <w:rFonts w:ascii="Palatino" w:hAnsi="Palatino"/>
          <w:sz w:val="22"/>
          <w:szCs w:val="22"/>
        </w:rPr>
        <w:fldChar w:fldCharType="end"/>
      </w:r>
      <w:r w:rsidR="00874958" w:rsidRPr="009F2954">
        <w:rPr>
          <w:rFonts w:ascii="Palatino" w:hAnsi="Palatino"/>
          <w:sz w:val="22"/>
          <w:szCs w:val="22"/>
        </w:rPr>
        <w:t xml:space="preserve">. The initially determined latitude and longitude </w:t>
      </w:r>
      <w:r>
        <w:rPr>
          <w:rFonts w:ascii="Palatino" w:hAnsi="Palatino"/>
          <w:sz w:val="22"/>
          <w:szCs w:val="22"/>
        </w:rPr>
        <w:t>will be</w:t>
      </w:r>
      <w:r w:rsidR="00874958" w:rsidRPr="009F2954">
        <w:rPr>
          <w:rFonts w:ascii="Palatino" w:hAnsi="Palatino"/>
          <w:sz w:val="22"/>
          <w:szCs w:val="22"/>
        </w:rPr>
        <w:t xml:space="preserve"> passed through</w:t>
      </w:r>
      <w:r>
        <w:rPr>
          <w:rFonts w:ascii="Palatino" w:hAnsi="Palatino"/>
          <w:sz w:val="22"/>
          <w:szCs w:val="22"/>
        </w:rPr>
        <w:t xml:space="preserve"> a</w:t>
      </w:r>
      <w:r w:rsidR="00874958" w:rsidRPr="009F2954">
        <w:rPr>
          <w:rFonts w:ascii="Palatino" w:hAnsi="Palatino"/>
          <w:sz w:val="22"/>
          <w:szCs w:val="22"/>
        </w:rPr>
        <w:t xml:space="preserve"> Bayesian </w:t>
      </w:r>
      <w:r>
        <w:rPr>
          <w:rFonts w:ascii="Palatino" w:hAnsi="Palatino"/>
          <w:sz w:val="22"/>
          <w:szCs w:val="22"/>
        </w:rPr>
        <w:t xml:space="preserve">framework to increase accuracy of tracks using priors and criteria such as sea surface temperature </w:t>
      </w:r>
      <w:r>
        <w:rPr>
          <w:rFonts w:ascii="Palatino" w:hAnsi="Palatino"/>
          <w:sz w:val="22"/>
          <w:szCs w:val="22"/>
        </w:rPr>
        <w:fldChar w:fldCharType="begin" w:fldLock="1"/>
      </w:r>
      <w:r>
        <w:rPr>
          <w:rFonts w:ascii="Palatino" w:hAnsi="Palatino"/>
          <w:sz w:val="22"/>
          <w:szCs w:val="22"/>
        </w:rPr>
        <w:instrText>ADDIN CSL_CITATION {"citationItems":[{"id":"ITEM-1","itemData":{"DOI":"10.1007/s00227-005-1631-8","ISSN":"00253162","abstract":"Light-based archival tags are increasingly being used on free-ranging marine vertebrates to study their movements using geolocation estimates. These methods use algorithms that incorporate threshold light techniques to determine longitude and latitude. More recently, researchers have begun using sea surface temperature (SST) to determine latitude in temperate regions. The accuracy and application of these algorithms have not been validated on free-ranging birds. Errors in both geolocation methods were quantified by double-tagging Laysan (Phoebastria immutabilis Rothschild) and black-footed (P. nigripes Audubon) albatrosses with b</w:instrText>
      </w:r>
      <w:r>
        <w:rPr>
          <w:rFonts w:ascii="Palatino" w:hAnsi="Palatino" w:hint="eastAsia"/>
          <w:sz w:val="22"/>
          <w:szCs w:val="22"/>
        </w:rPr>
        <w:instrText>oth leg-mounted archival tags that measured SST and ambient light, and satellite transmitters. Laysan albatrosses were captured and released from breeding colonies on Tern Island, northwestern Hawaiian Islands (23</w:instrText>
      </w:r>
      <w:r>
        <w:rPr>
          <w:rFonts w:ascii="Palatino" w:hAnsi="Palatino" w:hint="eastAsia"/>
          <w:sz w:val="22"/>
          <w:szCs w:val="22"/>
        </w:rPr>
        <w:instrText>°</w:instrText>
      </w:r>
      <w:r>
        <w:rPr>
          <w:rFonts w:ascii="Palatino" w:hAnsi="Palatino" w:hint="eastAsia"/>
          <w:sz w:val="22"/>
          <w:szCs w:val="22"/>
        </w:rPr>
        <w:instrText>52</w:instrText>
      </w:r>
      <w:r>
        <w:rPr>
          <w:rFonts w:ascii="Palatino" w:hAnsi="Palatino" w:hint="eastAsia"/>
          <w:sz w:val="22"/>
          <w:szCs w:val="22"/>
        </w:rPr>
        <w:instrText>′</w:instrText>
      </w:r>
      <w:r>
        <w:rPr>
          <w:rFonts w:ascii="Palatino" w:hAnsi="Palatino" w:hint="eastAsia"/>
          <w:sz w:val="22"/>
          <w:szCs w:val="22"/>
        </w:rPr>
        <w:instrText>N, 166</w:instrText>
      </w:r>
      <w:r>
        <w:rPr>
          <w:rFonts w:ascii="Palatino" w:hAnsi="Palatino" w:hint="eastAsia"/>
          <w:sz w:val="22"/>
          <w:szCs w:val="22"/>
        </w:rPr>
        <w:instrText>°</w:instrText>
      </w:r>
      <w:r>
        <w:rPr>
          <w:rFonts w:ascii="Palatino" w:hAnsi="Palatino" w:hint="eastAsia"/>
          <w:sz w:val="22"/>
          <w:szCs w:val="22"/>
        </w:rPr>
        <w:instrText>17</w:instrText>
      </w:r>
      <w:r>
        <w:rPr>
          <w:rFonts w:ascii="Palatino" w:hAnsi="Palatino" w:hint="eastAsia"/>
          <w:sz w:val="22"/>
          <w:szCs w:val="22"/>
        </w:rPr>
        <w:instrText>′</w:instrText>
      </w:r>
      <w:r>
        <w:rPr>
          <w:rFonts w:ascii="Palatino" w:hAnsi="Palatino" w:hint="eastAsia"/>
          <w:sz w:val="22"/>
          <w:szCs w:val="22"/>
        </w:rPr>
        <w:instrText>W) and Guadalupe Island, Mexico (28</w:instrText>
      </w:r>
      <w:r>
        <w:rPr>
          <w:rFonts w:ascii="Palatino" w:hAnsi="Palatino" w:hint="eastAsia"/>
          <w:sz w:val="22"/>
          <w:szCs w:val="22"/>
        </w:rPr>
        <w:instrText>°</w:instrText>
      </w:r>
      <w:r>
        <w:rPr>
          <w:rFonts w:ascii="Palatino" w:hAnsi="Palatino" w:hint="eastAsia"/>
          <w:sz w:val="22"/>
          <w:szCs w:val="22"/>
        </w:rPr>
        <w:instrText>31</w:instrText>
      </w:r>
      <w:r>
        <w:rPr>
          <w:rFonts w:ascii="Palatino" w:hAnsi="Palatino" w:hint="eastAsia"/>
          <w:sz w:val="22"/>
          <w:szCs w:val="22"/>
        </w:rPr>
        <w:instrText>′</w:instrText>
      </w:r>
      <w:r>
        <w:rPr>
          <w:rFonts w:ascii="Palatino" w:hAnsi="Palatino" w:hint="eastAsia"/>
          <w:sz w:val="22"/>
          <w:szCs w:val="22"/>
        </w:rPr>
        <w:instrText>N, 118</w:instrText>
      </w:r>
      <w:r>
        <w:rPr>
          <w:rFonts w:ascii="Palatino" w:hAnsi="Palatino" w:hint="eastAsia"/>
          <w:sz w:val="22"/>
          <w:szCs w:val="22"/>
        </w:rPr>
        <w:instrText>°</w:instrText>
      </w:r>
      <w:r>
        <w:rPr>
          <w:rFonts w:ascii="Palatino" w:hAnsi="Palatino" w:hint="eastAsia"/>
          <w:sz w:val="22"/>
          <w:szCs w:val="22"/>
        </w:rPr>
        <w:instrText>10</w:instrText>
      </w:r>
      <w:r>
        <w:rPr>
          <w:rFonts w:ascii="Palatino" w:hAnsi="Palatino" w:hint="eastAsia"/>
          <w:sz w:val="22"/>
          <w:szCs w:val="22"/>
        </w:rPr>
        <w:instrText>′</w:instrText>
      </w:r>
      <w:r>
        <w:rPr>
          <w:rFonts w:ascii="Palatino" w:hAnsi="Palatino" w:hint="eastAsia"/>
          <w:sz w:val="22"/>
          <w:szCs w:val="22"/>
        </w:rPr>
        <w:instrText xml:space="preserve">W) and black-footed albatrosses from Tern Island. Studies were carried out between December 2002 and March 2003. For all birds combined, the mean </w:instrText>
      </w:r>
      <w:r>
        <w:rPr>
          <w:rFonts w:ascii="Palatino" w:hAnsi="Palatino" w:hint="eastAsia"/>
          <w:sz w:val="22"/>
          <w:szCs w:val="22"/>
        </w:rPr>
        <w:instrText>±</w:instrText>
      </w:r>
      <w:r>
        <w:rPr>
          <w:rFonts w:ascii="Palatino" w:hAnsi="Palatino" w:hint="eastAsia"/>
          <w:sz w:val="22"/>
          <w:szCs w:val="22"/>
        </w:rPr>
        <w:instrText xml:space="preserve"> SD great circle (GC) distance between light-based locations and satellite-derived loca</w:instrText>
      </w:r>
      <w:r>
        <w:rPr>
          <w:rFonts w:ascii="Palatino" w:hAnsi="Palatino"/>
          <w:sz w:val="22"/>
          <w:szCs w:val="22"/>
        </w:rPr>
        <w:instrText>tions was 400±298 km (n=131). Errors in geolocation positions were reduced to 202±171 km (n=154) when light-based longitude and SST-based latitude (i.e. SST/light) were used to establish locations. The SST/light method produced comparable results for two Laysan albatross populations that traveled within distinctly different oceanic regions (open ocean vs more coastal) whereas light-based methods produced greater errors in the coastal population. Archival tags deployed on black-footed albatrosses returned a significantly higher proportion of lower-quality locations, which was attributed to interference of the light sensor on the tag. Overall, the results demonstrate that combining measures of light-based longitude and SST-based latitude significantly reduces the error in location estimates for albatrosses and can provide valid latitude estimates during the equinoxes, when light-based latitude measurements are indeterminate. © Springer-Verlag 2005.","author":[{"dropping-particle":"","family":"Shaffer","given":"Scott A.","non-dropping-particle":"","parse-names":false,"suffix":""},{"dropping-particle":"","family":"Tremblay","given":"Yann","non-dropping-particle":"","parse-names":false,"suffix":""},{"dropping-particle":"","family":"Awkerman","given":"Jill A.","non-dropping-particle":"","parse-names":false,"suffix":""},{"dropping-particle":"","family":"Henry","given":"R. William","non-dropping-particle":"","parse-names":false,"suffix":""},{"dropping-particle":"","family":"Teo","given":"Steven L.H.","non-dropping-particle":"","parse-names":false,"suffix":""},{"dropping-particle":"","family":"Anderson","given":"David J.","non-dropping-particle":"","parse-names":false,"suffix":""},{"dropping-particle":"","family":"Croll","given":"Donald A.","non-dropping-particle":"","parse-names":false,"suffix":""},{"dropping-particle":"","family":"Block","given":"Barbara A.","non-dropping-particle":"","parse-names":false,"suffix":""},{"dropping-particle":"","family":"Costa","given":"Daniel P.","non-dropping-particle":"","parse-names":false,"suffix":""}],"container-title":"Marine Biology","id":"ITEM-1","issue":"4","issued":{"date-parts":[["2005","8","26"]]},"page":"833-843","publisher":"Springer","title":"Comparison of light- and SST-based geolocation with satellite telemetry in free-ranging albatrosses","type":"article-journal","volume":"147"},"uris":["http://www.mendeley.com/documents/?uuid=9b1926b5-cc6a-3773-817a-a648967c28eb"]}],"mendeley":{"formattedCitation":"(Shaffer et al. 2005)","plainTextFormattedCitation":"(Shaffer et al. 2005)","previouslyFormattedCitation":"(Shaffer et al. 2005)"},"properties":{"noteIndex":0},"schema":"https://github.com/citation-style-language/schema/raw/master/csl-citation.json"}</w:instrText>
      </w:r>
      <w:r>
        <w:rPr>
          <w:rFonts w:ascii="Palatino" w:hAnsi="Palatino"/>
          <w:sz w:val="22"/>
          <w:szCs w:val="22"/>
        </w:rPr>
        <w:fldChar w:fldCharType="separate"/>
      </w:r>
      <w:r w:rsidRPr="00687AF6">
        <w:rPr>
          <w:rFonts w:ascii="Palatino" w:hAnsi="Palatino"/>
          <w:noProof/>
          <w:sz w:val="22"/>
          <w:szCs w:val="22"/>
        </w:rPr>
        <w:t>(Shaffer et al. 2005)</w:t>
      </w:r>
      <w:r>
        <w:rPr>
          <w:rFonts w:ascii="Palatino" w:hAnsi="Palatino"/>
          <w:sz w:val="22"/>
          <w:szCs w:val="22"/>
        </w:rPr>
        <w:fldChar w:fldCharType="end"/>
      </w:r>
      <w:r>
        <w:rPr>
          <w:rFonts w:ascii="Palatino" w:hAnsi="Palatino"/>
          <w:sz w:val="22"/>
          <w:szCs w:val="22"/>
        </w:rPr>
        <w:t xml:space="preserve">, geolocation estimation uncertainty </w:t>
      </w:r>
      <w:r>
        <w:rPr>
          <w:rFonts w:ascii="Palatino" w:hAnsi="Palatino"/>
          <w:sz w:val="22"/>
          <w:szCs w:val="22"/>
        </w:rPr>
        <w:fldChar w:fldCharType="begin" w:fldLock="1"/>
      </w:r>
      <w:r w:rsidR="00F16BAE">
        <w:rPr>
          <w:rFonts w:ascii="Palatino" w:hAnsi="Palatino"/>
          <w:sz w:val="22"/>
          <w:szCs w:val="22"/>
        </w:rPr>
        <w:instrText>ADDIN CSL_CITATION {"citationItems":[{"id":"ITEM-1","itemData":{"DOI":"10.1111/j.2041-210X.2011.00161.x","ISSN":"2041210X","abstract":"1.Double-tagging experiments are invaluable for determining the accuracy and precision of location data provided by different telemetry technologies used with free-ranging animals. 2.We developed a state-space modelling framework for estimating the precision of telemetry location data based on double-tagging experiments. The model is simultaneously fitted to multiple data types with different temporal resolutions while including errors in all data. 3.We used the model to estimate the precision of a specific geolocation method based on light and sea surface temperature applied to a large marine telemetry dataset. Data were available from double-tagging experiments on 111 animals representing seven marine species including 4 sharks, 2 birds and 1 pinniped. Study animals carried electronic tags that provided geolocation estimates as well as more precise satellite-based location data (Argos and Global Positioning System). 4.Estimates of the precision of geolocations were similar to previous findings. The overall estimated SD of geolocation errors for each species ranged from 0·5 to 3·9° for longitude and 0·8 to 3·6° for latitude. 5.While these results are specific to this particular type of location estimation method, the state-space framework presented here is a robust approach to estimating the precision of various types of telemetry location data from double-tagging experiments. The model simultaneously allows for appropriate inferences about true animal locations and movement. © 2011 The Authors. Methods in Ecology and Evolution © 2011 British Ecological Society.","author":[{"dropping-particle":"","family":"Winship","given":"Arliss J.","non-dropping-particle":"","parse-names":false,"suffix":""},{"dropping-particle":"","family":"Jorgensen","given":"Salvador J.","non-dropping-particle":"","parse-names":false,"suffix":""},{"dropping-particle":"","family":"Shaffer","given":"Scott A.","non-dropping-particle":"","parse-names":false,"suffix":""},{"dropping-particle":"","family":"Jonsen","given":"Ian D.","non-dropping-particle":"","parse-names":false,"suffix":""},{"dropping-particle":"","family":"Robinson","given":"Patrick W.","non-dropping-particle":"","parse-names":false,"suffix":""},{"dropping-particle":"","family":"Costa","given":"Daniel P.","non-dropping-particle":"","parse-names":false,"suffix":""},{"dropping-particle":"","family":"Block","given":"Barbara A.","non-dropping-particle":"","parse-names":false,"suffix":""}],"container-title":"Methods in Ecology and Evolution","id":"ITEM-1","issue":"2","issued":{"date-parts":[["2012","4","1"]]},"page":"291-302","publisher":"John Wiley &amp; Sons, Ltd","title":"State-space framework for estimating measurement error from double-tagging telemetry experiments","type":"article-journal","volume":"3"},"uris":["http://www.mendeley.com/documents/?uuid=10e9f356-54e5-3fad-8bd4-7dce59c04a27"]}],"mendeley":{"formattedCitation":"(Winship et al. 2012)","plainTextFormattedCitation":"(Winship et al. 2012)","previouslyFormattedCitation":"(Winship et al. 2012)"},"properties":{"noteIndex":0},"schema":"https://github.com/citation-style-language/schema/raw/master/csl-citation.json"}</w:instrText>
      </w:r>
      <w:r>
        <w:rPr>
          <w:rFonts w:ascii="Palatino" w:hAnsi="Palatino"/>
          <w:sz w:val="22"/>
          <w:szCs w:val="22"/>
        </w:rPr>
        <w:fldChar w:fldCharType="separate"/>
      </w:r>
      <w:r w:rsidRPr="00687AF6">
        <w:rPr>
          <w:rFonts w:ascii="Palatino" w:hAnsi="Palatino"/>
          <w:noProof/>
          <w:sz w:val="22"/>
          <w:szCs w:val="22"/>
        </w:rPr>
        <w:t>(Winship et al. 2012)</w:t>
      </w:r>
      <w:r>
        <w:rPr>
          <w:rFonts w:ascii="Palatino" w:hAnsi="Palatino"/>
          <w:sz w:val="22"/>
          <w:szCs w:val="22"/>
        </w:rPr>
        <w:fldChar w:fldCharType="end"/>
      </w:r>
      <w:r>
        <w:rPr>
          <w:rFonts w:ascii="Palatino" w:hAnsi="Palatino"/>
          <w:sz w:val="22"/>
          <w:szCs w:val="22"/>
        </w:rPr>
        <w:t xml:space="preserve">, </w:t>
      </w:r>
      <w:r w:rsidR="00874958" w:rsidRPr="009F2954">
        <w:rPr>
          <w:rFonts w:ascii="Palatino" w:hAnsi="Palatino"/>
          <w:sz w:val="22"/>
          <w:szCs w:val="22"/>
        </w:rPr>
        <w:t>maximum possible travel distance</w:t>
      </w:r>
      <w:r>
        <w:rPr>
          <w:rFonts w:ascii="Palatino" w:hAnsi="Palatino"/>
          <w:sz w:val="22"/>
          <w:szCs w:val="22"/>
        </w:rPr>
        <w:t>,</w:t>
      </w:r>
      <w:r w:rsidR="00874958" w:rsidRPr="009F2954">
        <w:rPr>
          <w:rFonts w:ascii="Palatino" w:hAnsi="Palatino"/>
          <w:sz w:val="22"/>
          <w:szCs w:val="22"/>
        </w:rPr>
        <w:t xml:space="preserve"> and presence of land to calculate likely locations and exclude improbable data points. </w:t>
      </w:r>
      <w:r w:rsidR="003A08B9" w:rsidRPr="009F2954">
        <w:rPr>
          <w:rFonts w:ascii="Palatino" w:hAnsi="Palatino"/>
          <w:sz w:val="22"/>
          <w:szCs w:val="22"/>
        </w:rPr>
        <w:t xml:space="preserve">GLS is unable to determine location for </w:t>
      </w:r>
      <w:r w:rsidR="00576476">
        <w:rPr>
          <w:rFonts w:ascii="Palatino" w:hAnsi="Palatino"/>
          <w:sz w:val="22"/>
          <w:szCs w:val="22"/>
        </w:rPr>
        <w:t>approximately two weeks</w:t>
      </w:r>
      <w:r w:rsidR="003A08B9" w:rsidRPr="009F2954">
        <w:rPr>
          <w:rFonts w:ascii="Palatino" w:hAnsi="Palatino"/>
          <w:sz w:val="22"/>
          <w:szCs w:val="22"/>
        </w:rPr>
        <w:t xml:space="preserve"> around equinox, as </w:t>
      </w:r>
      <w:r w:rsidR="00576476">
        <w:rPr>
          <w:rFonts w:ascii="Palatino" w:hAnsi="Palatino"/>
          <w:sz w:val="22"/>
          <w:szCs w:val="22"/>
        </w:rPr>
        <w:t>duration</w:t>
      </w:r>
      <w:r w:rsidR="00823FA5">
        <w:rPr>
          <w:rFonts w:ascii="Palatino" w:hAnsi="Palatino"/>
          <w:sz w:val="22"/>
          <w:szCs w:val="22"/>
        </w:rPr>
        <w:t>s</w:t>
      </w:r>
      <w:r w:rsidR="00576476">
        <w:rPr>
          <w:rFonts w:ascii="Palatino" w:hAnsi="Palatino"/>
          <w:sz w:val="22"/>
          <w:szCs w:val="22"/>
        </w:rPr>
        <w:t xml:space="preserve"> between twilight events</w:t>
      </w:r>
      <w:r w:rsidR="003A08B9" w:rsidRPr="009F2954">
        <w:rPr>
          <w:rFonts w:ascii="Palatino" w:hAnsi="Palatino"/>
          <w:sz w:val="22"/>
          <w:szCs w:val="22"/>
        </w:rPr>
        <w:t xml:space="preserve"> </w:t>
      </w:r>
      <w:r w:rsidR="00576476">
        <w:rPr>
          <w:rFonts w:ascii="Palatino" w:hAnsi="Palatino"/>
          <w:sz w:val="22"/>
          <w:szCs w:val="22"/>
        </w:rPr>
        <w:t xml:space="preserve">are </w:t>
      </w:r>
      <w:r w:rsidR="00CF6A4A">
        <w:rPr>
          <w:rFonts w:ascii="Palatino" w:hAnsi="Palatino"/>
          <w:sz w:val="22"/>
          <w:szCs w:val="22"/>
        </w:rPr>
        <w:t xml:space="preserve">too similar to reliably calculate latitude </w:t>
      </w:r>
      <w:r w:rsidR="003A08B9" w:rsidRPr="009F2954">
        <w:rPr>
          <w:rFonts w:ascii="Palatino" w:hAnsi="Palatino"/>
          <w:sz w:val="22"/>
          <w:szCs w:val="22"/>
        </w:rPr>
        <w:t xml:space="preserve">during these time periods. These gaps in data will be </w:t>
      </w:r>
      <w:r>
        <w:rPr>
          <w:rFonts w:ascii="Palatino" w:hAnsi="Palatino"/>
          <w:sz w:val="22"/>
          <w:szCs w:val="22"/>
        </w:rPr>
        <w:t xml:space="preserve">interpolated </w:t>
      </w:r>
      <w:r w:rsidR="003A08B9" w:rsidRPr="009F2954">
        <w:rPr>
          <w:rFonts w:ascii="Palatino" w:hAnsi="Palatino"/>
          <w:sz w:val="22"/>
          <w:szCs w:val="22"/>
        </w:rPr>
        <w:t xml:space="preserve">using the movement model used to refine the latitude and longitude data. My movement model will be an adaptation of the model used by Conners </w:t>
      </w:r>
      <w:r w:rsidR="00D2074A">
        <w:rPr>
          <w:rFonts w:ascii="Palatino" w:hAnsi="Palatino"/>
          <w:sz w:val="22"/>
          <w:szCs w:val="22"/>
        </w:rPr>
        <w:t>(</w:t>
      </w:r>
      <w:r w:rsidR="003A08B9" w:rsidRPr="009F2954">
        <w:rPr>
          <w:rFonts w:ascii="Palatino" w:hAnsi="Palatino"/>
          <w:sz w:val="22"/>
          <w:szCs w:val="22"/>
        </w:rPr>
        <w:t>2015</w:t>
      </w:r>
      <w:r w:rsidR="00D2074A">
        <w:rPr>
          <w:rFonts w:ascii="Palatino" w:hAnsi="Palatino"/>
          <w:sz w:val="22"/>
          <w:szCs w:val="22"/>
        </w:rPr>
        <w:t>)</w:t>
      </w:r>
      <w:r w:rsidR="00B359D3">
        <w:rPr>
          <w:rFonts w:ascii="Palatino" w:hAnsi="Palatino"/>
          <w:sz w:val="22"/>
          <w:szCs w:val="22"/>
        </w:rPr>
        <w:t>, using the metropolis algorithm to approximate my posterior distribution and the mean of the posterior</w:t>
      </w:r>
      <w:r w:rsidR="00105C34">
        <w:rPr>
          <w:rFonts w:ascii="Palatino" w:hAnsi="Palatino"/>
          <w:sz w:val="22"/>
          <w:szCs w:val="22"/>
        </w:rPr>
        <w:t xml:space="preserve"> distribution</w:t>
      </w:r>
      <w:r w:rsidR="00B359D3">
        <w:rPr>
          <w:rFonts w:ascii="Palatino" w:hAnsi="Palatino"/>
          <w:sz w:val="22"/>
          <w:szCs w:val="22"/>
        </w:rPr>
        <w:t xml:space="preserve"> as the most likely trip path. </w:t>
      </w:r>
    </w:p>
    <w:p w14:paraId="194A89DC" w14:textId="59BFFA32" w:rsidR="00761E5C" w:rsidRDefault="00761E5C" w:rsidP="00761E5C">
      <w:pPr>
        <w:jc w:val="both"/>
        <w:rPr>
          <w:rFonts w:ascii="Palatino" w:eastAsia="Times New Roman" w:hAnsi="Palatino" w:cs="Times New Roman"/>
          <w:i/>
          <w:iCs/>
          <w:color w:val="000000" w:themeColor="text1"/>
        </w:rPr>
      </w:pPr>
    </w:p>
    <w:p w14:paraId="3C3EFC99" w14:textId="49720928" w:rsidR="00E37578" w:rsidRDefault="00761E5C" w:rsidP="00E37578">
      <w:pPr>
        <w:jc w:val="both"/>
        <w:rPr>
          <w:rFonts w:ascii="Palatino" w:eastAsia="Times New Roman" w:hAnsi="Palatino" w:cs="Times New Roman"/>
          <w:i/>
          <w:iCs/>
          <w:color w:val="000000" w:themeColor="text1"/>
        </w:rPr>
      </w:pPr>
      <w:r>
        <w:rPr>
          <w:rFonts w:ascii="Palatino" w:eastAsia="Times New Roman" w:hAnsi="Palatino" w:cs="Times New Roman"/>
          <w:i/>
          <w:iCs/>
          <w:color w:val="000000" w:themeColor="text1"/>
        </w:rPr>
        <w:t>Kernel density estimation</w:t>
      </w:r>
      <w:r w:rsidR="00437E13">
        <w:rPr>
          <w:rFonts w:ascii="Palatino" w:eastAsia="Times New Roman" w:hAnsi="Palatino" w:cs="Times New Roman"/>
          <w:i/>
          <w:iCs/>
          <w:color w:val="000000" w:themeColor="text1"/>
        </w:rPr>
        <w:t xml:space="preserve"> (KDE)</w:t>
      </w:r>
    </w:p>
    <w:p w14:paraId="15128B58" w14:textId="77777777" w:rsidR="00E37578" w:rsidRDefault="00E37578" w:rsidP="00E37578">
      <w:pPr>
        <w:jc w:val="both"/>
        <w:rPr>
          <w:rFonts w:ascii="Palatino" w:eastAsia="Times New Roman" w:hAnsi="Palatino" w:cs="Times New Roman"/>
          <w:i/>
          <w:iCs/>
          <w:color w:val="000000" w:themeColor="text1"/>
        </w:rPr>
      </w:pPr>
    </w:p>
    <w:p w14:paraId="43FB7084" w14:textId="6834D454" w:rsidR="00317483" w:rsidRPr="00E37578" w:rsidRDefault="008709B8" w:rsidP="00E37578">
      <w:pPr>
        <w:jc w:val="both"/>
        <w:rPr>
          <w:rFonts w:ascii="Palatino" w:eastAsia="Times New Roman" w:hAnsi="Palatino" w:cs="Times New Roman"/>
          <w:i/>
          <w:iCs/>
          <w:color w:val="000000" w:themeColor="text1"/>
        </w:rPr>
      </w:pPr>
      <w:r w:rsidRPr="009860D8">
        <w:rPr>
          <w:rFonts w:ascii="Palatino" w:eastAsia="Times New Roman" w:hAnsi="Palatino" w:cs="Times New Roman"/>
          <w:color w:val="000000" w:themeColor="text1"/>
          <w:sz w:val="22"/>
          <w:szCs w:val="22"/>
        </w:rPr>
        <w:t>Once likely position</w:t>
      </w:r>
      <w:r w:rsidR="002E4AE8" w:rsidRPr="009860D8">
        <w:rPr>
          <w:rFonts w:ascii="Palatino" w:eastAsia="Times New Roman" w:hAnsi="Palatino" w:cs="Times New Roman"/>
          <w:color w:val="000000" w:themeColor="text1"/>
          <w:sz w:val="22"/>
          <w:szCs w:val="22"/>
        </w:rPr>
        <w:t>s</w:t>
      </w:r>
      <w:r w:rsidRPr="009860D8">
        <w:rPr>
          <w:rFonts w:ascii="Palatino" w:eastAsia="Times New Roman" w:hAnsi="Palatino" w:cs="Times New Roman"/>
          <w:color w:val="000000" w:themeColor="text1"/>
          <w:sz w:val="22"/>
          <w:szCs w:val="22"/>
        </w:rPr>
        <w:t xml:space="preserve"> are determined from modeling, I will conduct kernel density estimation (KDE) </w:t>
      </w:r>
      <w:r w:rsidR="00E24A13">
        <w:rPr>
          <w:rFonts w:ascii="Palatino" w:eastAsia="Times New Roman" w:hAnsi="Palatino" w:cs="Times New Roman"/>
          <w:color w:val="000000" w:themeColor="text1"/>
          <w:sz w:val="22"/>
          <w:szCs w:val="22"/>
        </w:rPr>
        <w:t xml:space="preserve">with the </w:t>
      </w:r>
      <w:r w:rsidR="00530C20">
        <w:rPr>
          <w:rFonts w:ascii="Palatino" w:eastAsia="Times New Roman" w:hAnsi="Palatino" w:cs="Times New Roman"/>
          <w:color w:val="000000" w:themeColor="text1"/>
          <w:sz w:val="22"/>
          <w:szCs w:val="22"/>
        </w:rPr>
        <w:t>‘</w:t>
      </w:r>
      <w:proofErr w:type="spellStart"/>
      <w:r w:rsidR="00530C20">
        <w:rPr>
          <w:rFonts w:ascii="Palatino" w:eastAsia="Times New Roman" w:hAnsi="Palatino" w:cs="Times New Roman"/>
          <w:color w:val="000000" w:themeColor="text1"/>
          <w:sz w:val="22"/>
          <w:szCs w:val="22"/>
        </w:rPr>
        <w:t>ks</w:t>
      </w:r>
      <w:proofErr w:type="spellEnd"/>
      <w:r w:rsidR="00530C20">
        <w:rPr>
          <w:rFonts w:ascii="Palatino" w:eastAsia="Times New Roman" w:hAnsi="Palatino" w:cs="Times New Roman"/>
          <w:color w:val="000000" w:themeColor="text1"/>
          <w:sz w:val="22"/>
          <w:szCs w:val="22"/>
        </w:rPr>
        <w:t>’, ‘move’, and ‘</w:t>
      </w:r>
      <w:proofErr w:type="spellStart"/>
      <w:r w:rsidR="00530C20">
        <w:rPr>
          <w:rFonts w:ascii="Palatino" w:eastAsia="Times New Roman" w:hAnsi="Palatino" w:cs="Times New Roman"/>
          <w:color w:val="000000" w:themeColor="text1"/>
          <w:sz w:val="22"/>
          <w:szCs w:val="22"/>
        </w:rPr>
        <w:t>adehabitatHR</w:t>
      </w:r>
      <w:proofErr w:type="spellEnd"/>
      <w:r w:rsidR="00530C20">
        <w:rPr>
          <w:rFonts w:ascii="Palatino" w:eastAsia="Times New Roman" w:hAnsi="Palatino" w:cs="Times New Roman"/>
          <w:color w:val="000000" w:themeColor="text1"/>
          <w:sz w:val="22"/>
          <w:szCs w:val="22"/>
        </w:rPr>
        <w:t xml:space="preserve">’ </w:t>
      </w:r>
      <w:r w:rsidR="00E24A13">
        <w:rPr>
          <w:rFonts w:ascii="Palatino" w:eastAsia="Times New Roman" w:hAnsi="Palatino" w:cs="Times New Roman"/>
          <w:color w:val="000000" w:themeColor="text1"/>
          <w:sz w:val="22"/>
          <w:szCs w:val="22"/>
        </w:rPr>
        <w:t>package</w:t>
      </w:r>
      <w:r w:rsidR="00530C20">
        <w:rPr>
          <w:rFonts w:ascii="Palatino" w:eastAsia="Times New Roman" w:hAnsi="Palatino" w:cs="Times New Roman"/>
          <w:color w:val="000000" w:themeColor="text1"/>
          <w:sz w:val="22"/>
          <w:szCs w:val="22"/>
        </w:rPr>
        <w:t>s</w:t>
      </w:r>
      <w:r w:rsidR="00E24A13">
        <w:rPr>
          <w:rFonts w:ascii="Palatino" w:eastAsia="Times New Roman" w:hAnsi="Palatino" w:cs="Times New Roman"/>
          <w:color w:val="000000" w:themeColor="text1"/>
          <w:sz w:val="22"/>
          <w:szCs w:val="22"/>
        </w:rPr>
        <w:t xml:space="preserve"> </w:t>
      </w:r>
      <w:r w:rsidRPr="009860D8">
        <w:rPr>
          <w:rFonts w:ascii="Palatino" w:eastAsia="Times New Roman" w:hAnsi="Palatino" w:cs="Times New Roman"/>
          <w:color w:val="000000" w:themeColor="text1"/>
          <w:sz w:val="22"/>
          <w:szCs w:val="22"/>
        </w:rPr>
        <w:t>in R</w:t>
      </w:r>
      <w:r w:rsidR="007172DC">
        <w:rPr>
          <w:rFonts w:ascii="Palatino" w:eastAsia="Times New Roman" w:hAnsi="Palatino" w:cs="Times New Roman"/>
          <w:color w:val="000000" w:themeColor="text1"/>
          <w:sz w:val="22"/>
          <w:szCs w:val="22"/>
        </w:rPr>
        <w:t xml:space="preserve"> to determine </w:t>
      </w:r>
      <w:r w:rsidR="00425474">
        <w:rPr>
          <w:rFonts w:ascii="Palatino" w:eastAsia="Times New Roman" w:hAnsi="Palatino" w:cs="Times New Roman"/>
          <w:color w:val="000000" w:themeColor="text1"/>
          <w:sz w:val="22"/>
          <w:szCs w:val="22"/>
        </w:rPr>
        <w:t>utilization distributions</w:t>
      </w:r>
      <w:r w:rsidR="007172DC">
        <w:rPr>
          <w:rFonts w:ascii="Palatino" w:eastAsia="Times New Roman" w:hAnsi="Palatino" w:cs="Times New Roman"/>
          <w:color w:val="000000" w:themeColor="text1"/>
          <w:sz w:val="22"/>
          <w:szCs w:val="22"/>
        </w:rPr>
        <w:t xml:space="preserve"> </w:t>
      </w:r>
      <w:r w:rsidR="003F3048">
        <w:rPr>
          <w:rFonts w:ascii="Palatino" w:eastAsia="Times New Roman" w:hAnsi="Palatino" w:cs="Times New Roman"/>
          <w:color w:val="000000" w:themeColor="text1"/>
          <w:sz w:val="22"/>
          <w:szCs w:val="22"/>
        </w:rPr>
        <w:t xml:space="preserve">(UD) </w:t>
      </w:r>
      <w:r w:rsidR="007172DC">
        <w:rPr>
          <w:rFonts w:ascii="Palatino" w:eastAsia="Times New Roman" w:hAnsi="Palatino" w:cs="Times New Roman"/>
          <w:color w:val="000000" w:themeColor="text1"/>
          <w:sz w:val="22"/>
          <w:szCs w:val="22"/>
        </w:rPr>
        <w:t>by species, year, and colony site</w:t>
      </w:r>
      <w:r w:rsidR="00E24A13">
        <w:rPr>
          <w:rFonts w:ascii="Palatino" w:eastAsia="Times New Roman" w:hAnsi="Palatino" w:cs="Times New Roman"/>
          <w:color w:val="000000" w:themeColor="text1"/>
          <w:sz w:val="22"/>
          <w:szCs w:val="22"/>
        </w:rPr>
        <w:t xml:space="preserve"> </w:t>
      </w:r>
      <w:r w:rsidR="00E24A13">
        <w:rPr>
          <w:rFonts w:ascii="Palatino" w:eastAsia="Times New Roman" w:hAnsi="Palatino" w:cs="Times New Roman"/>
          <w:color w:val="000000" w:themeColor="text1"/>
          <w:sz w:val="22"/>
          <w:szCs w:val="22"/>
        </w:rPr>
        <w:fldChar w:fldCharType="begin" w:fldLock="1"/>
      </w:r>
      <w:r w:rsidR="00DB7519">
        <w:rPr>
          <w:rFonts w:ascii="Palatino" w:eastAsia="Times New Roman" w:hAnsi="Palatino" w:cs="Times New Roman"/>
          <w:color w:val="000000" w:themeColor="text1"/>
          <w:sz w:val="22"/>
          <w:szCs w:val="22"/>
        </w:rPr>
        <w:instrText>ADDIN CSL_CITATION {"citationItems":[{"id":"ITEM-1","itemData":{"DOI":"10.2307/1938423","ISSN":"00129658","abstract":"Kernel methods for the nonparametric estimation of the utilization distribution from a random sample of locational observations made on an animal in its home range are described. -from Author","author":[{"dropping-particle":"","family":"Worton","given":"B. J.","non-dropping-particle":"","parse-names":false,"suffix":""}],"container-title":"Ecology","id":"ITEM-1","issue":"1","issued":{"date-parts":[["1989"]]},"page":"164-168","title":"Kernel methods for estimating the utilization distribution in home- range studies","type":"article-journal","volume":"70"},"uris":["http://www.mendeley.com/documents/?uuid=dd6d8d8a-b1fa-3d72-bf34-6bbfbce5e4e5"]}],"mendeley":{"formattedCitation":"(Worton 1989)","plainTextFormattedCitation":"(Worton 1989)","previouslyFormattedCitation":"(Worton 1989)"},"properties":{"noteIndex":0},"schema":"https://github.com/citation-style-language/schema/raw/master/csl-citation.json"}</w:instrText>
      </w:r>
      <w:r w:rsidR="00E24A13">
        <w:rPr>
          <w:rFonts w:ascii="Palatino" w:eastAsia="Times New Roman" w:hAnsi="Palatino" w:cs="Times New Roman"/>
          <w:color w:val="000000" w:themeColor="text1"/>
          <w:sz w:val="22"/>
          <w:szCs w:val="22"/>
        </w:rPr>
        <w:fldChar w:fldCharType="separate"/>
      </w:r>
      <w:r w:rsidR="00E24A13" w:rsidRPr="00E24A13">
        <w:rPr>
          <w:rFonts w:ascii="Palatino" w:eastAsia="Times New Roman" w:hAnsi="Palatino" w:cs="Times New Roman"/>
          <w:noProof/>
          <w:color w:val="000000" w:themeColor="text1"/>
          <w:sz w:val="22"/>
          <w:szCs w:val="22"/>
        </w:rPr>
        <w:t>(Worton 1989)</w:t>
      </w:r>
      <w:r w:rsidR="00E24A13">
        <w:rPr>
          <w:rFonts w:ascii="Palatino" w:eastAsia="Times New Roman" w:hAnsi="Palatino" w:cs="Times New Roman"/>
          <w:color w:val="000000" w:themeColor="text1"/>
          <w:sz w:val="22"/>
          <w:szCs w:val="22"/>
        </w:rPr>
        <w:fldChar w:fldCharType="end"/>
      </w:r>
      <w:r w:rsidR="007172DC">
        <w:rPr>
          <w:rFonts w:ascii="Palatino" w:eastAsia="Times New Roman" w:hAnsi="Palatino" w:cs="Times New Roman"/>
          <w:color w:val="000000" w:themeColor="text1"/>
          <w:sz w:val="22"/>
          <w:szCs w:val="22"/>
        </w:rPr>
        <w:t xml:space="preserve">. </w:t>
      </w:r>
      <w:r w:rsidR="003F3048">
        <w:rPr>
          <w:rFonts w:ascii="Palatino" w:eastAsia="Times New Roman" w:hAnsi="Palatino" w:cs="Times New Roman"/>
          <w:color w:val="000000" w:themeColor="text1"/>
          <w:sz w:val="22"/>
          <w:szCs w:val="22"/>
        </w:rPr>
        <w:t xml:space="preserve">KDE is a method that visualizes densities of data points (e.g. 50% UD indicates 50% of all data points are within that contour). </w:t>
      </w:r>
      <w:r w:rsidR="005E62A1" w:rsidRPr="009860D8">
        <w:rPr>
          <w:rFonts w:ascii="Palatino" w:eastAsia="Times New Roman" w:hAnsi="Palatino" w:cs="Times New Roman"/>
          <w:color w:val="000000" w:themeColor="text1"/>
          <w:sz w:val="22"/>
          <w:szCs w:val="22"/>
        </w:rPr>
        <w:t xml:space="preserve">Here, I will be adapting methods from Clay et al. </w:t>
      </w:r>
      <w:r w:rsidR="00DF76D3">
        <w:rPr>
          <w:rFonts w:ascii="Palatino" w:eastAsia="Times New Roman" w:hAnsi="Palatino" w:cs="Times New Roman"/>
          <w:color w:val="000000" w:themeColor="text1"/>
          <w:sz w:val="22"/>
          <w:szCs w:val="22"/>
        </w:rPr>
        <w:t>(</w:t>
      </w:r>
      <w:r w:rsidR="005E62A1" w:rsidRPr="009860D8">
        <w:rPr>
          <w:rFonts w:ascii="Palatino" w:eastAsia="Times New Roman" w:hAnsi="Palatino" w:cs="Times New Roman"/>
          <w:color w:val="000000" w:themeColor="text1"/>
          <w:sz w:val="22"/>
          <w:szCs w:val="22"/>
        </w:rPr>
        <w:t>2016</w:t>
      </w:r>
      <w:r w:rsidR="00DF76D3">
        <w:rPr>
          <w:rFonts w:ascii="Palatino" w:eastAsia="Times New Roman" w:hAnsi="Palatino" w:cs="Times New Roman"/>
          <w:color w:val="000000" w:themeColor="text1"/>
          <w:sz w:val="22"/>
          <w:szCs w:val="22"/>
        </w:rPr>
        <w:t>)</w:t>
      </w:r>
      <w:r w:rsidR="005E62A1" w:rsidRPr="009860D8">
        <w:rPr>
          <w:rFonts w:ascii="Palatino" w:eastAsia="Times New Roman" w:hAnsi="Palatino" w:cs="Times New Roman"/>
          <w:color w:val="000000" w:themeColor="text1"/>
          <w:sz w:val="22"/>
          <w:szCs w:val="22"/>
        </w:rPr>
        <w:t xml:space="preserve"> and </w:t>
      </w:r>
      <w:proofErr w:type="spellStart"/>
      <w:r w:rsidR="005E62A1" w:rsidRPr="009860D8">
        <w:rPr>
          <w:rFonts w:ascii="Palatino" w:eastAsia="Times New Roman" w:hAnsi="Palatino" w:cs="Times New Roman"/>
          <w:color w:val="000000" w:themeColor="text1"/>
          <w:sz w:val="22"/>
          <w:szCs w:val="22"/>
        </w:rPr>
        <w:t>Kappes</w:t>
      </w:r>
      <w:proofErr w:type="spellEnd"/>
      <w:r w:rsidR="005E62A1" w:rsidRPr="009860D8">
        <w:rPr>
          <w:rFonts w:ascii="Palatino" w:eastAsia="Times New Roman" w:hAnsi="Palatino" w:cs="Times New Roman"/>
          <w:color w:val="000000" w:themeColor="text1"/>
          <w:sz w:val="22"/>
          <w:szCs w:val="22"/>
        </w:rPr>
        <w:t xml:space="preserve"> et al. </w:t>
      </w:r>
      <w:r w:rsidR="00DF76D3">
        <w:rPr>
          <w:rFonts w:ascii="Palatino" w:eastAsia="Times New Roman" w:hAnsi="Palatino" w:cs="Times New Roman"/>
          <w:color w:val="000000" w:themeColor="text1"/>
          <w:sz w:val="22"/>
          <w:szCs w:val="22"/>
        </w:rPr>
        <w:t>(</w:t>
      </w:r>
      <w:r w:rsidR="005E62A1" w:rsidRPr="009860D8">
        <w:rPr>
          <w:rFonts w:ascii="Palatino" w:eastAsia="Times New Roman" w:hAnsi="Palatino" w:cs="Times New Roman"/>
          <w:color w:val="000000" w:themeColor="text1"/>
          <w:sz w:val="22"/>
          <w:szCs w:val="22"/>
        </w:rPr>
        <w:t>2015</w:t>
      </w:r>
      <w:r w:rsidR="00DF76D3">
        <w:rPr>
          <w:rFonts w:ascii="Palatino" w:eastAsia="Times New Roman" w:hAnsi="Palatino" w:cs="Times New Roman"/>
          <w:color w:val="000000" w:themeColor="text1"/>
          <w:sz w:val="22"/>
          <w:szCs w:val="22"/>
        </w:rPr>
        <w:t>)</w:t>
      </w:r>
      <w:r w:rsidR="00EB3A84">
        <w:rPr>
          <w:rFonts w:ascii="Palatino" w:eastAsia="Times New Roman" w:hAnsi="Palatino" w:cs="Times New Roman"/>
          <w:color w:val="000000" w:themeColor="text1"/>
          <w:sz w:val="22"/>
          <w:szCs w:val="22"/>
        </w:rPr>
        <w:t>.</w:t>
      </w:r>
      <w:r w:rsidR="00524B2C">
        <w:rPr>
          <w:rFonts w:ascii="Palatino" w:eastAsia="Times New Roman" w:hAnsi="Palatino" w:cs="Times New Roman"/>
          <w:color w:val="000000" w:themeColor="text1"/>
          <w:sz w:val="22"/>
          <w:szCs w:val="22"/>
        </w:rPr>
        <w:t xml:space="preserve"> KDE will be applied to post-processed data and compared at the 90% utilization contour. </w:t>
      </w:r>
      <w:r w:rsidR="00540725">
        <w:rPr>
          <w:rFonts w:ascii="Palatino" w:eastAsia="Times New Roman" w:hAnsi="Palatino" w:cs="Times New Roman"/>
          <w:color w:val="000000" w:themeColor="text1"/>
          <w:sz w:val="22"/>
          <w:szCs w:val="22"/>
        </w:rPr>
        <w:t xml:space="preserve"> </w:t>
      </w:r>
    </w:p>
    <w:p w14:paraId="071BA569" w14:textId="4AA56E68" w:rsidR="009860D8" w:rsidRPr="009860D8" w:rsidRDefault="009860D8" w:rsidP="003E1E82">
      <w:pPr>
        <w:rPr>
          <w:rFonts w:ascii="Palatino" w:eastAsia="Times New Roman" w:hAnsi="Palatino" w:cs="Times New Roman"/>
          <w:color w:val="000000" w:themeColor="text1"/>
          <w:sz w:val="22"/>
          <w:szCs w:val="22"/>
        </w:rPr>
      </w:pPr>
    </w:p>
    <w:p w14:paraId="47896DA3" w14:textId="6C0A9D44" w:rsidR="009860D8" w:rsidRDefault="000C086A" w:rsidP="003E1E82">
      <w:pPr>
        <w:rPr>
          <w:rFonts w:ascii="Palatino" w:hAnsi="Palatino"/>
          <w:sz w:val="22"/>
          <w:szCs w:val="22"/>
        </w:rPr>
      </w:pPr>
      <w:r>
        <w:rPr>
          <w:rFonts w:ascii="Palatino" w:hAnsi="Palatino"/>
          <w:sz w:val="22"/>
          <w:szCs w:val="22"/>
        </w:rPr>
        <w:t>Preliminary</w:t>
      </w:r>
      <w:r w:rsidR="009860D8" w:rsidRPr="009860D8">
        <w:rPr>
          <w:rFonts w:ascii="Palatino" w:hAnsi="Palatino"/>
          <w:sz w:val="22"/>
          <w:szCs w:val="22"/>
        </w:rPr>
        <w:t xml:space="preserve"> </w:t>
      </w:r>
      <w:r w:rsidR="00682F2D">
        <w:rPr>
          <w:rFonts w:ascii="Palatino" w:hAnsi="Palatino"/>
          <w:sz w:val="22"/>
          <w:szCs w:val="22"/>
        </w:rPr>
        <w:t>KDE</w:t>
      </w:r>
      <w:r w:rsidR="00530C20">
        <w:rPr>
          <w:rFonts w:ascii="Palatino" w:hAnsi="Palatino"/>
          <w:sz w:val="22"/>
          <w:szCs w:val="22"/>
        </w:rPr>
        <w:t xml:space="preserve"> on location data that has been</w:t>
      </w:r>
      <w:r w:rsidR="001F4397">
        <w:rPr>
          <w:rFonts w:ascii="Palatino" w:hAnsi="Palatino"/>
          <w:sz w:val="22"/>
          <w:szCs w:val="22"/>
        </w:rPr>
        <w:t xml:space="preserve"> processed</w:t>
      </w:r>
      <w:r w:rsidR="00530C20">
        <w:rPr>
          <w:rFonts w:ascii="Palatino" w:hAnsi="Palatino"/>
          <w:sz w:val="22"/>
          <w:szCs w:val="22"/>
        </w:rPr>
        <w:t xml:space="preserve"> in a movement model</w:t>
      </w:r>
      <w:r w:rsidR="00682F2D">
        <w:rPr>
          <w:rFonts w:ascii="Palatino" w:hAnsi="Palatino"/>
          <w:sz w:val="22"/>
          <w:szCs w:val="22"/>
        </w:rPr>
        <w:t xml:space="preserve"> </w:t>
      </w:r>
      <w:r w:rsidR="009860D8" w:rsidRPr="009860D8">
        <w:rPr>
          <w:rFonts w:ascii="Palatino" w:hAnsi="Palatino"/>
          <w:sz w:val="22"/>
          <w:szCs w:val="22"/>
        </w:rPr>
        <w:t xml:space="preserve">for individuals tagged on </w:t>
      </w:r>
      <w:r>
        <w:rPr>
          <w:rFonts w:ascii="Palatino" w:hAnsi="Palatino"/>
          <w:sz w:val="22"/>
          <w:szCs w:val="22"/>
        </w:rPr>
        <w:t xml:space="preserve">both </w:t>
      </w:r>
      <w:r w:rsidR="003E1E82">
        <w:rPr>
          <w:rFonts w:ascii="Palatino" w:hAnsi="Palatino"/>
          <w:sz w:val="22"/>
          <w:szCs w:val="22"/>
        </w:rPr>
        <w:t>Tern</w:t>
      </w:r>
      <w:r>
        <w:rPr>
          <w:rFonts w:ascii="Palatino" w:hAnsi="Palatino"/>
          <w:sz w:val="22"/>
          <w:szCs w:val="22"/>
        </w:rPr>
        <w:t xml:space="preserve"> Island and Midway Atoll</w:t>
      </w:r>
      <w:r w:rsidR="003E1E82">
        <w:rPr>
          <w:rFonts w:ascii="Palatino" w:hAnsi="Palatino"/>
          <w:sz w:val="22"/>
          <w:szCs w:val="22"/>
        </w:rPr>
        <w:t xml:space="preserve"> </w:t>
      </w:r>
      <w:r>
        <w:rPr>
          <w:rFonts w:ascii="Palatino" w:hAnsi="Palatino"/>
          <w:sz w:val="22"/>
          <w:szCs w:val="22"/>
        </w:rPr>
        <w:t>between 2008 and 2012</w:t>
      </w:r>
      <w:r w:rsidR="009860D8" w:rsidRPr="009860D8">
        <w:rPr>
          <w:rFonts w:ascii="Palatino" w:hAnsi="Palatino"/>
          <w:sz w:val="22"/>
          <w:szCs w:val="22"/>
        </w:rPr>
        <w:t xml:space="preserve"> </w:t>
      </w:r>
      <w:r w:rsidR="006B275E">
        <w:rPr>
          <w:rFonts w:ascii="Palatino" w:hAnsi="Palatino"/>
          <w:sz w:val="22"/>
          <w:szCs w:val="22"/>
        </w:rPr>
        <w:t>is</w:t>
      </w:r>
      <w:r w:rsidR="009860D8" w:rsidRPr="009860D8">
        <w:rPr>
          <w:rFonts w:ascii="Palatino" w:hAnsi="Palatino"/>
          <w:sz w:val="22"/>
          <w:szCs w:val="22"/>
        </w:rPr>
        <w:t xml:space="preserve"> shown in Figure</w:t>
      </w:r>
      <w:r>
        <w:rPr>
          <w:rFonts w:ascii="Palatino" w:hAnsi="Palatino"/>
          <w:sz w:val="22"/>
          <w:szCs w:val="22"/>
        </w:rPr>
        <w:t>s</w:t>
      </w:r>
      <w:r w:rsidR="009860D8" w:rsidRPr="009860D8">
        <w:rPr>
          <w:rFonts w:ascii="Palatino" w:hAnsi="Palatino"/>
          <w:sz w:val="22"/>
          <w:szCs w:val="22"/>
        </w:rPr>
        <w:t xml:space="preserve"> 1</w:t>
      </w:r>
      <w:r>
        <w:rPr>
          <w:rFonts w:ascii="Palatino" w:hAnsi="Palatino"/>
          <w:sz w:val="22"/>
          <w:szCs w:val="22"/>
        </w:rPr>
        <w:t xml:space="preserve"> and 2</w:t>
      </w:r>
      <w:r w:rsidR="009860D8" w:rsidRPr="009860D8">
        <w:rPr>
          <w:rFonts w:ascii="Palatino" w:hAnsi="Palatino"/>
          <w:sz w:val="22"/>
          <w:szCs w:val="22"/>
        </w:rPr>
        <w:t>.</w:t>
      </w:r>
    </w:p>
    <w:p w14:paraId="5943F2D1" w14:textId="650878B1" w:rsidR="000D0ACE" w:rsidRDefault="000D0ACE" w:rsidP="00E37578">
      <w:pPr>
        <w:keepNext/>
        <w:tabs>
          <w:tab w:val="right" w:pos="9360"/>
        </w:tabs>
      </w:pPr>
    </w:p>
    <w:p w14:paraId="15F00D11" w14:textId="77777777" w:rsidR="000341D1" w:rsidRDefault="000341D1" w:rsidP="00E37578">
      <w:pPr>
        <w:keepNext/>
        <w:tabs>
          <w:tab w:val="right" w:pos="9360"/>
        </w:tabs>
        <w:rPr>
          <w:rFonts w:ascii="Palatino" w:eastAsia="Times New Roman" w:hAnsi="Palatino" w:cs="Times New Roman"/>
          <w:i/>
          <w:iCs/>
          <w:color w:val="000000" w:themeColor="text1"/>
        </w:rPr>
      </w:pPr>
    </w:p>
    <w:p w14:paraId="3D0F492B" w14:textId="2D93B0BD" w:rsidR="00761E5C" w:rsidRPr="00E37578" w:rsidRDefault="00761E5C" w:rsidP="00E37578">
      <w:pPr>
        <w:keepNext/>
        <w:tabs>
          <w:tab w:val="right" w:pos="9360"/>
        </w:tabs>
      </w:pPr>
      <w:r w:rsidRPr="00761E5C">
        <w:rPr>
          <w:rFonts w:ascii="Palatino" w:eastAsia="Times New Roman" w:hAnsi="Palatino" w:cs="Times New Roman"/>
          <w:i/>
          <w:iCs/>
          <w:color w:val="000000" w:themeColor="text1"/>
        </w:rPr>
        <w:t>Spatial overlap indices and randomization</w:t>
      </w:r>
    </w:p>
    <w:p w14:paraId="6386EB09" w14:textId="44B29585" w:rsidR="00637019" w:rsidRDefault="00637019" w:rsidP="00761E5C">
      <w:pPr>
        <w:jc w:val="both"/>
        <w:rPr>
          <w:rFonts w:ascii="Palatino" w:eastAsia="Times New Roman" w:hAnsi="Palatino" w:cs="Times New Roman"/>
          <w:i/>
          <w:iCs/>
          <w:color w:val="000000" w:themeColor="text1"/>
        </w:rPr>
      </w:pPr>
    </w:p>
    <w:p w14:paraId="33B3C77A" w14:textId="6E40272C" w:rsidR="00761E5C" w:rsidRDefault="00DB02D4" w:rsidP="00DB7519">
      <w:pPr>
        <w:tabs>
          <w:tab w:val="right" w:pos="9360"/>
        </w:tabs>
        <w:rPr>
          <w:rFonts w:ascii="Palatino" w:eastAsia="Times New Roman" w:hAnsi="Palatino" w:cs="Times New Roman"/>
          <w:color w:val="000000" w:themeColor="text1"/>
          <w:sz w:val="22"/>
          <w:szCs w:val="22"/>
        </w:rPr>
      </w:pPr>
      <w:r w:rsidRPr="00EB0D74">
        <w:rPr>
          <w:rFonts w:ascii="Palatino" w:eastAsia="Times New Roman" w:hAnsi="Palatino" w:cs="Times New Roman"/>
          <w:color w:val="000000" w:themeColor="text1"/>
          <w:sz w:val="22"/>
          <w:szCs w:val="22"/>
        </w:rPr>
        <w:t xml:space="preserve">As with kernel density estimation, my methods for determining a test statistic for spatial overlap and randomization will be adapted from Clay et al. </w:t>
      </w:r>
      <w:r w:rsidR="0065132D">
        <w:rPr>
          <w:rFonts w:ascii="Palatino" w:eastAsia="Times New Roman" w:hAnsi="Palatino" w:cs="Times New Roman"/>
          <w:color w:val="000000" w:themeColor="text1"/>
          <w:sz w:val="22"/>
          <w:szCs w:val="22"/>
        </w:rPr>
        <w:t>(</w:t>
      </w:r>
      <w:r w:rsidRPr="00EB0D74">
        <w:rPr>
          <w:rFonts w:ascii="Palatino" w:eastAsia="Times New Roman" w:hAnsi="Palatino" w:cs="Times New Roman"/>
          <w:color w:val="000000" w:themeColor="text1"/>
          <w:sz w:val="22"/>
          <w:szCs w:val="22"/>
        </w:rPr>
        <w:t>2016</w:t>
      </w:r>
      <w:r w:rsidR="0065132D">
        <w:rPr>
          <w:rFonts w:ascii="Palatino" w:eastAsia="Times New Roman" w:hAnsi="Palatino" w:cs="Times New Roman"/>
          <w:color w:val="000000" w:themeColor="text1"/>
          <w:sz w:val="22"/>
          <w:szCs w:val="22"/>
        </w:rPr>
        <w:t>)</w:t>
      </w:r>
      <w:r w:rsidRPr="00EB0D74">
        <w:rPr>
          <w:rFonts w:ascii="Palatino" w:eastAsia="Times New Roman" w:hAnsi="Palatino" w:cs="Times New Roman"/>
          <w:color w:val="000000" w:themeColor="text1"/>
          <w:sz w:val="22"/>
          <w:szCs w:val="22"/>
        </w:rPr>
        <w:t xml:space="preserve"> and </w:t>
      </w:r>
      <w:proofErr w:type="spellStart"/>
      <w:r w:rsidRPr="00EB0D74">
        <w:rPr>
          <w:rFonts w:ascii="Palatino" w:eastAsia="Times New Roman" w:hAnsi="Palatino" w:cs="Times New Roman"/>
          <w:color w:val="000000" w:themeColor="text1"/>
          <w:sz w:val="22"/>
          <w:szCs w:val="22"/>
        </w:rPr>
        <w:t>Kappes</w:t>
      </w:r>
      <w:proofErr w:type="spellEnd"/>
      <w:r w:rsidRPr="00EB0D74">
        <w:rPr>
          <w:rFonts w:ascii="Palatino" w:eastAsia="Times New Roman" w:hAnsi="Palatino" w:cs="Times New Roman"/>
          <w:color w:val="000000" w:themeColor="text1"/>
          <w:sz w:val="22"/>
          <w:szCs w:val="22"/>
        </w:rPr>
        <w:t xml:space="preserve"> et al. </w:t>
      </w:r>
      <w:r w:rsidR="0065132D">
        <w:rPr>
          <w:rFonts w:ascii="Palatino" w:eastAsia="Times New Roman" w:hAnsi="Palatino" w:cs="Times New Roman"/>
          <w:color w:val="000000" w:themeColor="text1"/>
          <w:sz w:val="22"/>
          <w:szCs w:val="22"/>
        </w:rPr>
        <w:t>(</w:t>
      </w:r>
      <w:r w:rsidRPr="00EB0D74">
        <w:rPr>
          <w:rFonts w:ascii="Palatino" w:eastAsia="Times New Roman" w:hAnsi="Palatino" w:cs="Times New Roman"/>
          <w:color w:val="000000" w:themeColor="text1"/>
          <w:sz w:val="22"/>
          <w:szCs w:val="22"/>
        </w:rPr>
        <w:t>2015</w:t>
      </w:r>
      <w:r w:rsidR="0065132D">
        <w:rPr>
          <w:rFonts w:ascii="Palatino" w:eastAsia="Times New Roman" w:hAnsi="Palatino" w:cs="Times New Roman"/>
          <w:color w:val="000000" w:themeColor="text1"/>
          <w:sz w:val="22"/>
          <w:szCs w:val="22"/>
        </w:rPr>
        <w:t>)</w:t>
      </w:r>
      <w:r w:rsidRPr="00EB0D74">
        <w:rPr>
          <w:rFonts w:ascii="Palatino" w:eastAsia="Times New Roman" w:hAnsi="Palatino" w:cs="Times New Roman"/>
          <w:color w:val="000000" w:themeColor="text1"/>
          <w:sz w:val="22"/>
          <w:szCs w:val="22"/>
        </w:rPr>
        <w:t>.</w:t>
      </w:r>
      <w:r>
        <w:rPr>
          <w:rFonts w:ascii="Palatino" w:eastAsia="Times New Roman" w:hAnsi="Palatino" w:cs="Times New Roman"/>
          <w:color w:val="000000" w:themeColor="text1"/>
          <w:sz w:val="22"/>
          <w:szCs w:val="22"/>
        </w:rPr>
        <w:t xml:space="preserve"> </w:t>
      </w:r>
      <w:r w:rsidR="00EB0D74">
        <w:rPr>
          <w:rFonts w:ascii="Palatino" w:eastAsia="Times New Roman" w:hAnsi="Palatino" w:cs="Times New Roman"/>
          <w:color w:val="000000" w:themeColor="text1"/>
          <w:sz w:val="22"/>
          <w:szCs w:val="22"/>
        </w:rPr>
        <w:t>To test the null hypotheses that no segregation will be observed across my treatments, I will do a permutation test to see if observed overlap in my data is significantly less than what would be expected due to random chance</w:t>
      </w:r>
      <w:r w:rsidR="00DC6444">
        <w:rPr>
          <w:rFonts w:ascii="Palatino" w:eastAsia="Times New Roman" w:hAnsi="Palatino" w:cs="Times New Roman"/>
          <w:color w:val="000000" w:themeColor="text1"/>
          <w:sz w:val="22"/>
          <w:szCs w:val="22"/>
        </w:rPr>
        <w:t xml:space="preserve"> (P-values will represent the proportion of overlaps from the randomized data that is smaller than the overlaps from the observed data)</w:t>
      </w:r>
      <w:r w:rsidR="00EB0D74">
        <w:rPr>
          <w:rFonts w:ascii="Palatino" w:eastAsia="Times New Roman" w:hAnsi="Palatino" w:cs="Times New Roman"/>
          <w:color w:val="000000" w:themeColor="text1"/>
          <w:sz w:val="22"/>
          <w:szCs w:val="22"/>
        </w:rPr>
        <w:t>.</w:t>
      </w:r>
      <w:r>
        <w:rPr>
          <w:rFonts w:ascii="Palatino" w:eastAsia="Times New Roman" w:hAnsi="Palatino" w:cs="Times New Roman"/>
          <w:color w:val="000000" w:themeColor="text1"/>
          <w:sz w:val="22"/>
          <w:szCs w:val="22"/>
        </w:rPr>
        <w:t xml:space="preserve"> The test statistic for each comparison </w:t>
      </w:r>
      <w:r w:rsidR="00DB7519">
        <w:rPr>
          <w:rFonts w:ascii="Palatino" w:eastAsia="Times New Roman" w:hAnsi="Palatino" w:cs="Times New Roman"/>
          <w:color w:val="000000" w:themeColor="text1"/>
          <w:sz w:val="22"/>
          <w:szCs w:val="22"/>
        </w:rPr>
        <w:t>will be t</w:t>
      </w:r>
      <w:r w:rsidR="00DB7519" w:rsidRPr="00DB7519">
        <w:rPr>
          <w:rFonts w:ascii="Palatino" w:eastAsia="Times New Roman" w:hAnsi="Palatino" w:cs="Times New Roman"/>
          <w:color w:val="000000" w:themeColor="text1"/>
          <w:sz w:val="22"/>
          <w:szCs w:val="22"/>
        </w:rPr>
        <w:t xml:space="preserve">he area of overlap divided by the area of the larger of the two </w:t>
      </w:r>
      <w:r w:rsidR="00DB7519">
        <w:rPr>
          <w:rFonts w:ascii="Palatino" w:eastAsia="Times New Roman" w:hAnsi="Palatino" w:cs="Times New Roman"/>
          <w:color w:val="000000" w:themeColor="text1"/>
          <w:sz w:val="22"/>
          <w:szCs w:val="22"/>
        </w:rPr>
        <w:t>utilization distributions (</w:t>
      </w:r>
      <w:proofErr w:type="spellStart"/>
      <w:r w:rsidR="00DB7519">
        <w:rPr>
          <w:rFonts w:ascii="Palatino" w:hAnsi="Palatino"/>
          <w:i/>
          <w:iCs/>
        </w:rPr>
        <w:t>HR</w:t>
      </w:r>
      <w:r w:rsidR="00DB7519">
        <w:rPr>
          <w:rFonts w:ascii="Palatino" w:hAnsi="Palatino"/>
          <w:i/>
          <w:iCs/>
          <w:vertAlign w:val="subscript"/>
        </w:rPr>
        <w:t>i,j</w:t>
      </w:r>
      <w:proofErr w:type="spellEnd"/>
      <w:r w:rsidR="00DB7519">
        <w:rPr>
          <w:rFonts w:ascii="Palatino" w:hAnsi="Palatino"/>
        </w:rPr>
        <w:t xml:space="preserve"> = </w:t>
      </w:r>
      <w:proofErr w:type="spellStart"/>
      <w:r w:rsidR="00DB7519">
        <w:rPr>
          <w:rFonts w:ascii="Palatino" w:hAnsi="Palatino"/>
          <w:i/>
          <w:iCs/>
        </w:rPr>
        <w:t>A</w:t>
      </w:r>
      <w:r w:rsidR="00DB7519">
        <w:rPr>
          <w:rFonts w:ascii="Palatino" w:hAnsi="Palatino"/>
          <w:i/>
          <w:iCs/>
          <w:vertAlign w:val="subscript"/>
        </w:rPr>
        <w:t>i,j</w:t>
      </w:r>
      <w:proofErr w:type="spellEnd"/>
      <w:r w:rsidR="00DB7519">
        <w:rPr>
          <w:rFonts w:ascii="Palatino" w:hAnsi="Palatino"/>
          <w:i/>
          <w:iCs/>
        </w:rPr>
        <w:t>/A</w:t>
      </w:r>
      <w:r w:rsidR="00DB7519">
        <w:rPr>
          <w:rFonts w:ascii="Palatino" w:hAnsi="Palatino"/>
          <w:i/>
          <w:iCs/>
          <w:vertAlign w:val="subscript"/>
        </w:rPr>
        <w:t>i</w:t>
      </w:r>
      <w:r w:rsidR="00DB7519">
        <w:rPr>
          <w:rFonts w:ascii="Palatino" w:hAnsi="Palatino"/>
          <w:i/>
          <w:iCs/>
        </w:rPr>
        <w:t xml:space="preserve"> </w:t>
      </w:r>
      <w:r w:rsidR="00DB7519">
        <w:rPr>
          <w:rFonts w:ascii="Palatino" w:hAnsi="Palatino"/>
        </w:rPr>
        <w:t xml:space="preserve">; </w:t>
      </w:r>
      <w:proofErr w:type="spellStart"/>
      <w:r w:rsidR="00980A2E">
        <w:rPr>
          <w:rFonts w:ascii="Palatino" w:eastAsia="Times New Roman" w:hAnsi="Palatino" w:cs="Times New Roman"/>
          <w:color w:val="000000" w:themeColor="text1"/>
          <w:sz w:val="22"/>
          <w:szCs w:val="22"/>
        </w:rPr>
        <w:t>Kappes</w:t>
      </w:r>
      <w:proofErr w:type="spellEnd"/>
      <w:r w:rsidR="00980A2E">
        <w:rPr>
          <w:rFonts w:ascii="Palatino" w:eastAsia="Times New Roman" w:hAnsi="Palatino" w:cs="Times New Roman"/>
          <w:color w:val="000000" w:themeColor="text1"/>
          <w:sz w:val="22"/>
          <w:szCs w:val="22"/>
        </w:rPr>
        <w:t xml:space="preserve"> et al. 2015,</w:t>
      </w:r>
      <w:r w:rsidR="00DB7519">
        <w:rPr>
          <w:rFonts w:ascii="Palatino" w:eastAsia="Times New Roman" w:hAnsi="Palatino" w:cs="Times New Roman"/>
          <w:color w:val="000000" w:themeColor="text1"/>
          <w:sz w:val="22"/>
          <w:szCs w:val="22"/>
        </w:rPr>
        <w:t xml:space="preserve"> </w:t>
      </w:r>
      <w:r w:rsidR="00DB7519">
        <w:rPr>
          <w:rFonts w:ascii="Palatino" w:eastAsia="Times New Roman" w:hAnsi="Palatino" w:cs="Times New Roman"/>
          <w:color w:val="000000" w:themeColor="text1"/>
          <w:sz w:val="22"/>
          <w:szCs w:val="22"/>
        </w:rPr>
        <w:fldChar w:fldCharType="begin" w:fldLock="1"/>
      </w:r>
      <w:r w:rsidR="00681C07">
        <w:rPr>
          <w:rFonts w:ascii="Palatino" w:eastAsia="Times New Roman" w:hAnsi="Palatino" w:cs="Times New Roman"/>
          <w:color w:val="000000" w:themeColor="text1"/>
          <w:sz w:val="22"/>
          <w:szCs w:val="22"/>
        </w:rPr>
        <w:instrText>ADDIN CSL_CITATION {"citationItems":[{"id":"ITEM-1","itemData":{"DOI":"10.1098/rspb.2006.3581","ISSN":"0962-8452","abstract":"Many animal species segregate by sex. Such segregation may be social in nature, or ecological, or both. Grey seals (Halichoerus grypus), like many large mammals, are sexually size dimorphic. In size dimorphic species, allometric differences in morphology, metabolic rate and reproductive costs are likely. Such differences may require the sexes to use different foraging strategies or different habitats. To investigate sexual segregation of habitat in grey seals, we used satellite tracks from 95 (male 46; female 49) adults breeding at Sable Island, Nova Scotia (44 °N, 60 °W) collected from 1995 to 2005. Location estimates were made from satellite fixes using a state-space movement model to estimate true locations and regularize them in time. Location estimates were used to calculate home range kernels of male and female habitat use each month. Month by sex kernel home ranges revealed striking differences and dynamics in habitat use between males and females on spatial scales broader than most terrestrial examples and at temporal and spatial resolutions rarely available for marine species. Differences were most pronounced just before (October-December) and immediately after breeding (February-March). During both periods, males primarily used areas along the continental shelf break, while females mainly used mid-shelf regions. Coupled with previously identified sex-specific seasonal patterns of energy storage, diving and diet, our findings suggest that males and females differ profoundly in their spatial foraging strategies. These differences may serve to maximize fitness by reducing intersexual competition during key foraging periods. © 2006 The Royal Society.","author":[{"dropping-particle":"","family":"Breed","given":"Greg A","non-dropping-particle":"","parse-names":false,"suffix":""},{"dropping-particle":"","family":"Bowen","given":"W.D","non-dropping-particle":"","parse-names":false,"suffix":""},{"dropping-particle":"","family":"McMillan","given":"J.I","non-dropping-particle":"","parse-names":false,"suffix":""},{"dropping-particle":"","family":"Leonard","given":"M.L","non-dropping-particle":"","parse-names":false,"suffix":""}],"container-title":"Proceedings of the Royal Society B: Biological Sciences","id":"ITEM-1","issue":"1599","issued":{"date-parts":[["2006","9","22"]]},"page":"2319-2326","publisher":"Royal Society","title":"Sexual segregation of seasonal foraging habitats in a non-migratory marine mammal","type":"article-journal","volume":"273"},"uris":["http://www.mendeley.com/documents/?uuid=ceb8f8f5-f089-3574-a02f-a7fa29922042"]}],"mendeley":{"formattedCitation":"(Breed et al. 2006)","manualFormatting":"Breed et al. 2006)","plainTextFormattedCitation":"(Breed et al. 2006)","previouslyFormattedCitation":"(Breed et al. 2006)"},"properties":{"noteIndex":0},"schema":"https://github.com/citation-style-language/schema/raw/master/csl-citation.json"}</w:instrText>
      </w:r>
      <w:r w:rsidR="00DB7519">
        <w:rPr>
          <w:rFonts w:ascii="Palatino" w:eastAsia="Times New Roman" w:hAnsi="Palatino" w:cs="Times New Roman"/>
          <w:color w:val="000000" w:themeColor="text1"/>
          <w:sz w:val="22"/>
          <w:szCs w:val="22"/>
        </w:rPr>
        <w:fldChar w:fldCharType="separate"/>
      </w:r>
      <w:r w:rsidR="00DB7519" w:rsidRPr="00DB7519">
        <w:rPr>
          <w:rFonts w:ascii="Palatino" w:eastAsia="Times New Roman" w:hAnsi="Palatino" w:cs="Times New Roman"/>
          <w:noProof/>
          <w:color w:val="000000" w:themeColor="text1"/>
          <w:sz w:val="22"/>
          <w:szCs w:val="22"/>
        </w:rPr>
        <w:t>Breed et al. 2006)</w:t>
      </w:r>
      <w:r w:rsidR="00DB7519">
        <w:rPr>
          <w:rFonts w:ascii="Palatino" w:eastAsia="Times New Roman" w:hAnsi="Palatino" w:cs="Times New Roman"/>
          <w:color w:val="000000" w:themeColor="text1"/>
          <w:sz w:val="22"/>
          <w:szCs w:val="22"/>
        </w:rPr>
        <w:fldChar w:fldCharType="end"/>
      </w:r>
      <w:r w:rsidR="00DB7519">
        <w:rPr>
          <w:rFonts w:ascii="Palatino" w:eastAsia="Times New Roman" w:hAnsi="Palatino" w:cs="Times New Roman"/>
          <w:color w:val="000000" w:themeColor="text1"/>
          <w:sz w:val="22"/>
          <w:szCs w:val="22"/>
        </w:rPr>
        <w:t xml:space="preserve">. </w:t>
      </w:r>
      <w:r w:rsidR="00E37578">
        <w:rPr>
          <w:rFonts w:ascii="Palatino" w:eastAsia="Times New Roman" w:hAnsi="Palatino" w:cs="Times New Roman"/>
          <w:color w:val="000000" w:themeColor="text1"/>
          <w:sz w:val="22"/>
          <w:szCs w:val="22"/>
        </w:rPr>
        <w:t xml:space="preserve">For each comparison (e.g. </w:t>
      </w:r>
      <w:r w:rsidR="00980A2E">
        <w:rPr>
          <w:rFonts w:ascii="Palatino" w:eastAsia="Times New Roman" w:hAnsi="Palatino" w:cs="Times New Roman"/>
          <w:color w:val="000000" w:themeColor="text1"/>
          <w:sz w:val="22"/>
          <w:szCs w:val="22"/>
        </w:rPr>
        <w:t xml:space="preserve">to assess whether </w:t>
      </w:r>
      <w:r w:rsidR="00E37578">
        <w:rPr>
          <w:rFonts w:ascii="Palatino" w:eastAsia="Times New Roman" w:hAnsi="Palatino" w:cs="Times New Roman"/>
          <w:color w:val="000000" w:themeColor="text1"/>
          <w:sz w:val="22"/>
          <w:szCs w:val="22"/>
        </w:rPr>
        <w:t xml:space="preserve">BFAL and LAAL from Midway overlap in the </w:t>
      </w:r>
      <w:r w:rsidR="001F640A">
        <w:rPr>
          <w:rFonts w:ascii="Palatino" w:eastAsia="Times New Roman" w:hAnsi="Palatino" w:cs="Times New Roman"/>
          <w:color w:val="000000" w:themeColor="text1"/>
          <w:sz w:val="22"/>
          <w:szCs w:val="22"/>
        </w:rPr>
        <w:t>non</w:t>
      </w:r>
      <w:r w:rsidR="00E37578">
        <w:rPr>
          <w:rFonts w:ascii="Palatino" w:eastAsia="Times New Roman" w:hAnsi="Palatino" w:cs="Times New Roman"/>
          <w:color w:val="000000" w:themeColor="text1"/>
          <w:sz w:val="22"/>
          <w:szCs w:val="22"/>
        </w:rPr>
        <w:t xml:space="preserve">-breeding distributions in </w:t>
      </w:r>
      <w:r w:rsidR="00980A2E">
        <w:rPr>
          <w:rFonts w:ascii="Palatino" w:eastAsia="Times New Roman" w:hAnsi="Palatino" w:cs="Times New Roman"/>
          <w:color w:val="000000" w:themeColor="text1"/>
          <w:sz w:val="22"/>
          <w:szCs w:val="22"/>
        </w:rPr>
        <w:t>a given year</w:t>
      </w:r>
      <w:r w:rsidR="00E37578">
        <w:rPr>
          <w:rFonts w:ascii="Palatino" w:eastAsia="Times New Roman" w:hAnsi="Palatino" w:cs="Times New Roman"/>
          <w:color w:val="000000" w:themeColor="text1"/>
          <w:sz w:val="22"/>
          <w:szCs w:val="22"/>
        </w:rPr>
        <w:t>)</w:t>
      </w:r>
      <w:r>
        <w:rPr>
          <w:rFonts w:ascii="Palatino" w:eastAsia="Times New Roman" w:hAnsi="Palatino" w:cs="Times New Roman"/>
          <w:color w:val="000000" w:themeColor="text1"/>
          <w:sz w:val="22"/>
          <w:szCs w:val="22"/>
        </w:rPr>
        <w:t xml:space="preserve">, I will resample my </w:t>
      </w:r>
      <w:r w:rsidR="007D74A4">
        <w:rPr>
          <w:rFonts w:ascii="Palatino" w:eastAsia="Times New Roman" w:hAnsi="Palatino" w:cs="Times New Roman"/>
          <w:color w:val="000000" w:themeColor="text1"/>
          <w:sz w:val="22"/>
          <w:szCs w:val="22"/>
        </w:rPr>
        <w:t xml:space="preserve">existing </w:t>
      </w:r>
      <w:r>
        <w:rPr>
          <w:rFonts w:ascii="Palatino" w:eastAsia="Times New Roman" w:hAnsi="Palatino" w:cs="Times New Roman"/>
          <w:color w:val="000000" w:themeColor="text1"/>
          <w:sz w:val="22"/>
          <w:szCs w:val="22"/>
        </w:rPr>
        <w:t>data to create randomized data sets</w:t>
      </w:r>
      <w:r w:rsidR="007D74A4">
        <w:rPr>
          <w:rFonts w:ascii="Palatino" w:eastAsia="Times New Roman" w:hAnsi="Palatino" w:cs="Times New Roman"/>
          <w:color w:val="000000" w:themeColor="text1"/>
          <w:sz w:val="22"/>
          <w:szCs w:val="22"/>
        </w:rPr>
        <w:t xml:space="preserve"> (permuted labels)</w:t>
      </w:r>
      <w:r>
        <w:rPr>
          <w:rFonts w:ascii="Palatino" w:eastAsia="Times New Roman" w:hAnsi="Palatino" w:cs="Times New Roman"/>
          <w:color w:val="000000" w:themeColor="text1"/>
          <w:sz w:val="22"/>
          <w:szCs w:val="22"/>
        </w:rPr>
        <w:t xml:space="preserve">, and calculate the overlap </w:t>
      </w:r>
      <w:r w:rsidR="007D74A4">
        <w:rPr>
          <w:rFonts w:ascii="Palatino" w:eastAsia="Times New Roman" w:hAnsi="Palatino" w:cs="Times New Roman"/>
          <w:color w:val="000000" w:themeColor="text1"/>
          <w:sz w:val="22"/>
          <w:szCs w:val="22"/>
        </w:rPr>
        <w:t>index for each randomized set</w:t>
      </w:r>
      <w:r w:rsidR="00336140">
        <w:rPr>
          <w:rFonts w:ascii="Palatino" w:eastAsia="Times New Roman" w:hAnsi="Palatino" w:cs="Times New Roman"/>
          <w:color w:val="000000" w:themeColor="text1"/>
          <w:sz w:val="22"/>
          <w:szCs w:val="22"/>
        </w:rPr>
        <w:t>, testing if the observed overlap is significantly smaller</w:t>
      </w:r>
      <w:r w:rsidR="00980A2E">
        <w:rPr>
          <w:rFonts w:ascii="Palatino" w:eastAsia="Times New Roman" w:hAnsi="Palatino" w:cs="Times New Roman"/>
          <w:color w:val="000000" w:themeColor="text1"/>
          <w:sz w:val="22"/>
          <w:szCs w:val="22"/>
        </w:rPr>
        <w:t xml:space="preserve"> than expected from random</w:t>
      </w:r>
      <w:r w:rsidR="00336140">
        <w:rPr>
          <w:rFonts w:ascii="Palatino" w:eastAsia="Times New Roman" w:hAnsi="Palatino" w:cs="Times New Roman"/>
          <w:color w:val="000000" w:themeColor="text1"/>
          <w:sz w:val="22"/>
          <w:szCs w:val="22"/>
        </w:rPr>
        <w:t xml:space="preserve">. </w:t>
      </w:r>
      <w:r w:rsidR="00881434">
        <w:rPr>
          <w:rFonts w:ascii="Palatino" w:eastAsia="Times New Roman" w:hAnsi="Palatino" w:cs="Times New Roman"/>
          <w:color w:val="000000" w:themeColor="text1"/>
          <w:sz w:val="22"/>
          <w:szCs w:val="22"/>
        </w:rPr>
        <w:t xml:space="preserve">If so, it can be determined that segregation occurred for that comparison. </w:t>
      </w:r>
      <w:r w:rsidR="00395B07">
        <w:rPr>
          <w:rFonts w:ascii="Palatino" w:eastAsia="Times New Roman" w:hAnsi="Palatino" w:cs="Times New Roman"/>
          <w:color w:val="000000" w:themeColor="text1"/>
          <w:sz w:val="22"/>
          <w:szCs w:val="22"/>
        </w:rPr>
        <w:t xml:space="preserve">Conclusions will be drawn by assessing the number of significant findings of segregation for each relevant hypothesis.  </w:t>
      </w:r>
    </w:p>
    <w:p w14:paraId="06F73E8B" w14:textId="5626FEC3" w:rsidR="0019388E" w:rsidRDefault="0019388E" w:rsidP="00286490">
      <w:pPr>
        <w:tabs>
          <w:tab w:val="right" w:pos="9360"/>
        </w:tabs>
        <w:rPr>
          <w:rFonts w:ascii="Palatino" w:eastAsia="Times New Roman" w:hAnsi="Palatino" w:cs="Times New Roman"/>
          <w:color w:val="000000" w:themeColor="text1"/>
          <w:sz w:val="22"/>
          <w:szCs w:val="22"/>
        </w:rPr>
      </w:pPr>
    </w:p>
    <w:p w14:paraId="31085562" w14:textId="4E5B074D" w:rsidR="0019388E" w:rsidRDefault="0019388E" w:rsidP="00286490">
      <w:pPr>
        <w:tabs>
          <w:tab w:val="right" w:pos="9360"/>
        </w:tabs>
        <w:rPr>
          <w:rFonts w:ascii="Palatino" w:eastAsia="Times New Roman" w:hAnsi="Palatino" w:cs="Times New Roman"/>
          <w:i/>
          <w:iCs/>
          <w:color w:val="000000" w:themeColor="text1"/>
          <w:sz w:val="22"/>
          <w:szCs w:val="22"/>
        </w:rPr>
      </w:pPr>
      <w:r>
        <w:rPr>
          <w:rFonts w:ascii="Palatino" w:eastAsia="Times New Roman" w:hAnsi="Palatino" w:cs="Times New Roman"/>
          <w:i/>
          <w:iCs/>
          <w:color w:val="000000" w:themeColor="text1"/>
          <w:sz w:val="22"/>
          <w:szCs w:val="22"/>
        </w:rPr>
        <w:t>Significance</w:t>
      </w:r>
    </w:p>
    <w:p w14:paraId="1533FEED" w14:textId="77777777" w:rsidR="0019388E" w:rsidRDefault="0019388E" w:rsidP="00286490">
      <w:pPr>
        <w:tabs>
          <w:tab w:val="right" w:pos="9360"/>
        </w:tabs>
        <w:rPr>
          <w:rFonts w:ascii="Palatino" w:eastAsia="Times New Roman" w:hAnsi="Palatino" w:cs="Times New Roman"/>
          <w:color w:val="000000" w:themeColor="text1"/>
          <w:sz w:val="22"/>
          <w:szCs w:val="22"/>
        </w:rPr>
      </w:pPr>
    </w:p>
    <w:p w14:paraId="16B2F3D2" w14:textId="77777777" w:rsidR="007334A9" w:rsidRDefault="007334A9" w:rsidP="007334A9">
      <w:pPr>
        <w:tabs>
          <w:tab w:val="right" w:pos="9360"/>
        </w:tabs>
        <w:rPr>
          <w:rFonts w:ascii="Palatino" w:eastAsia="Times New Roman" w:hAnsi="Palatino" w:cs="Times New Roman"/>
          <w:color w:val="000000" w:themeColor="text1"/>
          <w:sz w:val="22"/>
          <w:szCs w:val="22"/>
        </w:rPr>
      </w:pPr>
      <w:r>
        <w:rPr>
          <w:rFonts w:ascii="Palatino" w:eastAsia="Times New Roman" w:hAnsi="Palatino" w:cs="Times New Roman"/>
          <w:color w:val="000000" w:themeColor="text1"/>
          <w:sz w:val="22"/>
          <w:szCs w:val="22"/>
        </w:rPr>
        <w:t xml:space="preserve">This proposal seeks to establish whether or not non-breeding spatial segregation consistently occurs in LAAL and BFAL and to contribute an immensely valuable dataset to the literature. If segregation is found in the majority of comparisons, then future work could begin to examine underlying drivers of that segregation. A first step would be examining oceanographic drivers of spatial segregation such as wind patterns or the utilization of the Transition Zone Chlorophyll Front. </w:t>
      </w:r>
    </w:p>
    <w:p w14:paraId="7F1EE3F9" w14:textId="5F1CC4A9" w:rsidR="00770FCB" w:rsidRDefault="00770FCB" w:rsidP="00286E0C">
      <w:pPr>
        <w:rPr>
          <w:rFonts w:ascii="Palatino" w:hAnsi="Palatino"/>
          <w:b/>
          <w:bCs/>
          <w:sz w:val="28"/>
          <w:szCs w:val="28"/>
        </w:rPr>
      </w:pPr>
    </w:p>
    <w:p w14:paraId="0FA3499F" w14:textId="5F2541EF" w:rsidR="00B61D5D" w:rsidRDefault="00286E0C" w:rsidP="005B0D56">
      <w:pPr>
        <w:tabs>
          <w:tab w:val="right" w:pos="9360"/>
        </w:tabs>
        <w:rPr>
          <w:rFonts w:ascii="Palatino" w:eastAsia="Times New Roman" w:hAnsi="Palatino" w:cs="Times New Roman"/>
          <w:color w:val="000000" w:themeColor="text1"/>
          <w:sz w:val="22"/>
          <w:szCs w:val="22"/>
        </w:rPr>
      </w:pPr>
      <w:r>
        <w:rPr>
          <w:rFonts w:ascii="Palatino" w:eastAsia="Times New Roman" w:hAnsi="Palatino" w:cs="Times New Roman"/>
          <w:color w:val="000000" w:themeColor="text1"/>
          <w:sz w:val="22"/>
          <w:szCs w:val="22"/>
        </w:rPr>
        <w:t xml:space="preserve">This proposal outlines </w:t>
      </w:r>
      <w:r w:rsidR="006A2ED4">
        <w:rPr>
          <w:rFonts w:ascii="Palatino" w:eastAsia="Times New Roman" w:hAnsi="Palatino" w:cs="Times New Roman"/>
          <w:color w:val="000000" w:themeColor="text1"/>
          <w:sz w:val="22"/>
          <w:szCs w:val="22"/>
        </w:rPr>
        <w:t xml:space="preserve">the foundation for several further analyses of the factors shaping spatial distributions. As a major objective is exploratory, the proposed timeline for the research is relatively short. </w:t>
      </w:r>
      <w:r w:rsidR="000B6227">
        <w:rPr>
          <w:rFonts w:ascii="Palatino" w:eastAsia="Times New Roman" w:hAnsi="Palatino" w:cs="Times New Roman"/>
          <w:color w:val="000000" w:themeColor="text1"/>
          <w:sz w:val="22"/>
          <w:szCs w:val="22"/>
        </w:rPr>
        <w:t>It is anticipated that f</w:t>
      </w:r>
      <w:r w:rsidR="006A2ED4">
        <w:rPr>
          <w:rFonts w:ascii="Palatino" w:eastAsia="Times New Roman" w:hAnsi="Palatino" w:cs="Times New Roman"/>
          <w:color w:val="000000" w:themeColor="text1"/>
          <w:sz w:val="22"/>
          <w:szCs w:val="22"/>
        </w:rPr>
        <w:t>uture work based on the findings of this proposal will exten</w:t>
      </w:r>
      <w:r w:rsidR="000B6227">
        <w:rPr>
          <w:rFonts w:ascii="Palatino" w:eastAsia="Times New Roman" w:hAnsi="Palatino" w:cs="Times New Roman"/>
          <w:color w:val="000000" w:themeColor="text1"/>
          <w:sz w:val="22"/>
          <w:szCs w:val="22"/>
        </w:rPr>
        <w:t>d into 2021.</w:t>
      </w:r>
    </w:p>
    <w:p w14:paraId="467AEF42" w14:textId="176A55B1" w:rsidR="00621401" w:rsidRDefault="00621401" w:rsidP="00B61D5D">
      <w:pPr>
        <w:widowControl w:val="0"/>
        <w:autoSpaceDE w:val="0"/>
        <w:autoSpaceDN w:val="0"/>
        <w:adjustRightInd w:val="0"/>
        <w:jc w:val="center"/>
        <w:rPr>
          <w:rFonts w:ascii="Palatino" w:hAnsi="Palatino"/>
        </w:rPr>
      </w:pPr>
    </w:p>
    <w:p w14:paraId="3D3BCAAD" w14:textId="77777777" w:rsidR="00621401" w:rsidRDefault="00621401" w:rsidP="00B61D5D">
      <w:pPr>
        <w:widowControl w:val="0"/>
        <w:autoSpaceDE w:val="0"/>
        <w:autoSpaceDN w:val="0"/>
        <w:adjustRightInd w:val="0"/>
        <w:jc w:val="center"/>
        <w:rPr>
          <w:rFonts w:ascii="Palatino" w:hAnsi="Palatino"/>
        </w:rPr>
      </w:pPr>
    </w:p>
    <w:p w14:paraId="1477D116" w14:textId="38A63CD6" w:rsidR="002042C6" w:rsidRDefault="002042C6" w:rsidP="00CD382D">
      <w:pPr>
        <w:widowControl w:val="0"/>
        <w:autoSpaceDE w:val="0"/>
        <w:autoSpaceDN w:val="0"/>
        <w:adjustRightInd w:val="0"/>
        <w:jc w:val="center"/>
        <w:rPr>
          <w:rFonts w:ascii="Palatino" w:hAnsi="Palatino"/>
        </w:rPr>
      </w:pPr>
    </w:p>
    <w:p w14:paraId="246B247B" w14:textId="77777777" w:rsidR="000C086A" w:rsidRDefault="000C086A" w:rsidP="00CD382D">
      <w:pPr>
        <w:widowControl w:val="0"/>
        <w:autoSpaceDE w:val="0"/>
        <w:autoSpaceDN w:val="0"/>
        <w:adjustRightInd w:val="0"/>
        <w:jc w:val="center"/>
        <w:rPr>
          <w:rFonts w:ascii="Palatino" w:hAnsi="Palatino"/>
        </w:rPr>
      </w:pPr>
    </w:p>
    <w:p w14:paraId="222D140D" w14:textId="77777777" w:rsidR="000C086A" w:rsidRDefault="000C086A" w:rsidP="00CD382D">
      <w:pPr>
        <w:widowControl w:val="0"/>
        <w:autoSpaceDE w:val="0"/>
        <w:autoSpaceDN w:val="0"/>
        <w:adjustRightInd w:val="0"/>
        <w:jc w:val="center"/>
        <w:rPr>
          <w:rFonts w:ascii="Palatino" w:hAnsi="Palatino"/>
        </w:rPr>
      </w:pPr>
    </w:p>
    <w:p w14:paraId="28699337" w14:textId="77777777" w:rsidR="000C086A" w:rsidRDefault="000C086A" w:rsidP="00CD382D">
      <w:pPr>
        <w:widowControl w:val="0"/>
        <w:autoSpaceDE w:val="0"/>
        <w:autoSpaceDN w:val="0"/>
        <w:adjustRightInd w:val="0"/>
        <w:jc w:val="center"/>
        <w:rPr>
          <w:rFonts w:ascii="Palatino" w:hAnsi="Palatino"/>
        </w:rPr>
      </w:pPr>
    </w:p>
    <w:p w14:paraId="68724096" w14:textId="77777777" w:rsidR="000C086A" w:rsidRDefault="000C086A" w:rsidP="00CD382D">
      <w:pPr>
        <w:widowControl w:val="0"/>
        <w:autoSpaceDE w:val="0"/>
        <w:autoSpaceDN w:val="0"/>
        <w:adjustRightInd w:val="0"/>
        <w:jc w:val="center"/>
        <w:rPr>
          <w:rFonts w:ascii="Palatino" w:hAnsi="Palatino"/>
        </w:rPr>
      </w:pPr>
    </w:p>
    <w:p w14:paraId="528EB934" w14:textId="77777777" w:rsidR="000C086A" w:rsidRDefault="000C086A" w:rsidP="00CD382D">
      <w:pPr>
        <w:widowControl w:val="0"/>
        <w:autoSpaceDE w:val="0"/>
        <w:autoSpaceDN w:val="0"/>
        <w:adjustRightInd w:val="0"/>
        <w:jc w:val="center"/>
        <w:rPr>
          <w:rFonts w:ascii="Palatino" w:hAnsi="Palatino"/>
        </w:rPr>
      </w:pPr>
    </w:p>
    <w:p w14:paraId="5927684F" w14:textId="77777777" w:rsidR="003F26F9" w:rsidRDefault="000C086A" w:rsidP="003F26F9">
      <w:pPr>
        <w:keepNext/>
        <w:widowControl w:val="0"/>
        <w:autoSpaceDE w:val="0"/>
        <w:autoSpaceDN w:val="0"/>
        <w:adjustRightInd w:val="0"/>
        <w:jc w:val="center"/>
      </w:pPr>
      <w:r>
        <w:rPr>
          <w:rFonts w:ascii="Palatino" w:hAnsi="Palatino"/>
          <w:noProof/>
        </w:rPr>
        <w:lastRenderedPageBreak/>
        <w:drawing>
          <wp:inline distT="0" distB="0" distL="0" distR="0" wp14:anchorId="1265B823" wp14:editId="0C4CA3DE">
            <wp:extent cx="5163127" cy="7656540"/>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169930" cy="7666628"/>
                    </a:xfrm>
                    <a:prstGeom prst="rect">
                      <a:avLst/>
                    </a:prstGeom>
                  </pic:spPr>
                </pic:pic>
              </a:graphicData>
            </a:graphic>
          </wp:inline>
        </w:drawing>
      </w:r>
    </w:p>
    <w:p w14:paraId="39430802" w14:textId="05C554C7" w:rsidR="000C086A" w:rsidRDefault="003F26F9" w:rsidP="003F26F9">
      <w:pPr>
        <w:pStyle w:val="Caption"/>
        <w:jc w:val="center"/>
        <w:rPr>
          <w:rFonts w:ascii="Palatino" w:hAnsi="Palatino"/>
        </w:rPr>
      </w:pPr>
      <w:r>
        <w:t xml:space="preserve">Figure </w:t>
      </w:r>
      <w:fldSimple w:instr=" SEQ Figure \* ARABIC ">
        <w:r>
          <w:rPr>
            <w:noProof/>
          </w:rPr>
          <w:t>1</w:t>
        </w:r>
      </w:fldSimple>
      <w:r>
        <w:t>. Yearly aggregate density estimates for modeled tracks of Midway LAAL and BFAL</w:t>
      </w:r>
    </w:p>
    <w:p w14:paraId="0B0EAB39" w14:textId="29476BA9" w:rsidR="000C086A" w:rsidRDefault="000C086A" w:rsidP="00CD382D">
      <w:pPr>
        <w:widowControl w:val="0"/>
        <w:autoSpaceDE w:val="0"/>
        <w:autoSpaceDN w:val="0"/>
        <w:adjustRightInd w:val="0"/>
        <w:jc w:val="center"/>
        <w:rPr>
          <w:rFonts w:ascii="Palatino" w:hAnsi="Palatino"/>
        </w:rPr>
      </w:pPr>
    </w:p>
    <w:p w14:paraId="33F9EA98" w14:textId="15A9858A" w:rsidR="000C086A" w:rsidRDefault="000C086A" w:rsidP="00CD382D">
      <w:pPr>
        <w:widowControl w:val="0"/>
        <w:autoSpaceDE w:val="0"/>
        <w:autoSpaceDN w:val="0"/>
        <w:adjustRightInd w:val="0"/>
        <w:jc w:val="center"/>
        <w:rPr>
          <w:rFonts w:ascii="Palatino" w:hAnsi="Palatino"/>
        </w:rPr>
      </w:pPr>
    </w:p>
    <w:p w14:paraId="2374BB14" w14:textId="5039ADBB" w:rsidR="000C086A" w:rsidRDefault="000C086A" w:rsidP="00CD382D">
      <w:pPr>
        <w:widowControl w:val="0"/>
        <w:autoSpaceDE w:val="0"/>
        <w:autoSpaceDN w:val="0"/>
        <w:adjustRightInd w:val="0"/>
        <w:jc w:val="center"/>
        <w:rPr>
          <w:rFonts w:ascii="Palatino" w:hAnsi="Palatino"/>
        </w:rPr>
      </w:pPr>
    </w:p>
    <w:p w14:paraId="5C19B857" w14:textId="77777777" w:rsidR="003F26F9" w:rsidRDefault="000C086A" w:rsidP="003F26F9">
      <w:pPr>
        <w:keepNext/>
        <w:widowControl w:val="0"/>
        <w:autoSpaceDE w:val="0"/>
        <w:autoSpaceDN w:val="0"/>
        <w:adjustRightInd w:val="0"/>
        <w:jc w:val="center"/>
      </w:pPr>
      <w:r>
        <w:rPr>
          <w:rFonts w:ascii="Palatino" w:hAnsi="Palatino"/>
          <w:noProof/>
        </w:rPr>
        <w:drawing>
          <wp:inline distT="0" distB="0" distL="0" distR="0" wp14:anchorId="318C4C84" wp14:editId="1D5639A4">
            <wp:extent cx="5163399" cy="7656945"/>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182060" cy="7684618"/>
                    </a:xfrm>
                    <a:prstGeom prst="rect">
                      <a:avLst/>
                    </a:prstGeom>
                  </pic:spPr>
                </pic:pic>
              </a:graphicData>
            </a:graphic>
          </wp:inline>
        </w:drawing>
      </w:r>
    </w:p>
    <w:p w14:paraId="14DE413D" w14:textId="40473AF6" w:rsidR="000C086A" w:rsidRDefault="003F26F9" w:rsidP="00172B2B">
      <w:pPr>
        <w:pStyle w:val="Caption"/>
        <w:jc w:val="center"/>
        <w:rPr>
          <w:rFonts w:ascii="Palatino" w:hAnsi="Palatino"/>
        </w:rPr>
      </w:pPr>
      <w:r>
        <w:t xml:space="preserve">Figure </w:t>
      </w:r>
      <w:fldSimple w:instr=" SEQ Figure \* ARABIC ">
        <w:r>
          <w:rPr>
            <w:noProof/>
          </w:rPr>
          <w:t>2</w:t>
        </w:r>
      </w:fldSimple>
      <w:r>
        <w:t>. Yearly aggregate density estimates for modeled tracks of Midway LAAL and BFAL</w:t>
      </w:r>
    </w:p>
    <w:p w14:paraId="5B5B7E58" w14:textId="14D39A97" w:rsidR="005B06D8" w:rsidRDefault="005B06D8" w:rsidP="00CD382D">
      <w:pPr>
        <w:widowControl w:val="0"/>
        <w:autoSpaceDE w:val="0"/>
        <w:autoSpaceDN w:val="0"/>
        <w:adjustRightInd w:val="0"/>
        <w:jc w:val="center"/>
        <w:rPr>
          <w:rFonts w:ascii="Palatino" w:hAnsi="Palatino"/>
        </w:rPr>
      </w:pPr>
      <w:r>
        <w:rPr>
          <w:rFonts w:ascii="Palatino" w:hAnsi="Palatino"/>
        </w:rPr>
        <w:lastRenderedPageBreak/>
        <w:t>Works Cited</w:t>
      </w:r>
    </w:p>
    <w:p w14:paraId="6A9D674C" w14:textId="66C8C48D" w:rsidR="005B0D56" w:rsidRDefault="005B0D56" w:rsidP="00B61D5D">
      <w:pPr>
        <w:widowControl w:val="0"/>
        <w:autoSpaceDE w:val="0"/>
        <w:autoSpaceDN w:val="0"/>
        <w:adjustRightInd w:val="0"/>
        <w:jc w:val="center"/>
        <w:rPr>
          <w:rFonts w:ascii="Palatino" w:hAnsi="Palatino"/>
        </w:rPr>
      </w:pPr>
    </w:p>
    <w:p w14:paraId="1E791455" w14:textId="77777777" w:rsidR="005B06D8" w:rsidRDefault="005B06D8" w:rsidP="00154767">
      <w:pPr>
        <w:widowControl w:val="0"/>
        <w:autoSpaceDE w:val="0"/>
        <w:autoSpaceDN w:val="0"/>
        <w:adjustRightInd w:val="0"/>
        <w:ind w:left="480" w:hanging="480"/>
        <w:rPr>
          <w:rFonts w:ascii="Palatino" w:hAnsi="Palatino"/>
        </w:rPr>
      </w:pPr>
    </w:p>
    <w:p w14:paraId="7464CD27" w14:textId="46EF9811" w:rsidR="007D3679" w:rsidRPr="007D3679" w:rsidRDefault="00154767" w:rsidP="007D3679">
      <w:pPr>
        <w:widowControl w:val="0"/>
        <w:autoSpaceDE w:val="0"/>
        <w:autoSpaceDN w:val="0"/>
        <w:adjustRightInd w:val="0"/>
        <w:ind w:left="480" w:hanging="480"/>
        <w:rPr>
          <w:rFonts w:ascii="Palatino" w:hAnsi="Palatino" w:cs="Times New Roman"/>
          <w:noProof/>
        </w:rPr>
      </w:pPr>
      <w:r>
        <w:rPr>
          <w:rFonts w:ascii="Palatino" w:hAnsi="Palatino"/>
        </w:rPr>
        <w:fldChar w:fldCharType="begin" w:fldLock="1"/>
      </w:r>
      <w:r>
        <w:rPr>
          <w:rFonts w:ascii="Palatino" w:hAnsi="Palatino"/>
        </w:rPr>
        <w:instrText xml:space="preserve">ADDIN Mendeley Bibliography CSL_BIBLIOGRAPHY </w:instrText>
      </w:r>
      <w:r>
        <w:rPr>
          <w:rFonts w:ascii="Palatino" w:hAnsi="Palatino"/>
        </w:rPr>
        <w:fldChar w:fldCharType="separate"/>
      </w:r>
      <w:r w:rsidR="007D3679" w:rsidRPr="007D3679">
        <w:rPr>
          <w:rFonts w:ascii="Palatino" w:hAnsi="Palatino" w:cs="Times New Roman"/>
          <w:noProof/>
        </w:rPr>
        <w:t>Arata, J.A., Sievert, P.R., and Naughton, M.B. 2009. “Status Assessment of Laysan and Black-Footed Albatrosses , North Pacific Ocean , 1923 – 2005 Scientific Investigations Report 2009-5131,” 1923–2005. https://pubs.usgs.gov/sir/2009/5131/.</w:t>
      </w:r>
    </w:p>
    <w:p w14:paraId="5A1F4CF3"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Ashmole, N Philip. 1971. “Seabird Ecology and the Marine Environment.” </w:t>
      </w:r>
      <w:r w:rsidRPr="007D3679">
        <w:rPr>
          <w:rFonts w:ascii="Palatino" w:hAnsi="Palatino" w:cs="Times New Roman"/>
          <w:i/>
          <w:iCs/>
          <w:noProof/>
        </w:rPr>
        <w:t>Avian Biology</w:t>
      </w:r>
      <w:r w:rsidRPr="007D3679">
        <w:rPr>
          <w:rFonts w:ascii="Palatino" w:hAnsi="Palatino" w:cs="Times New Roman"/>
          <w:noProof/>
        </w:rPr>
        <w:t xml:space="preserve"> 1: 223–86.</w:t>
      </w:r>
    </w:p>
    <w:p w14:paraId="7DD7E2CF"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Birt, VL, TP Birt, D Goulet, DK Cairns, and WA Montevecchi. 1987. “Ashmole’s Halo: Direct Evidence for Prey Depletion by a Seabird.” </w:t>
      </w:r>
      <w:r w:rsidRPr="007D3679">
        <w:rPr>
          <w:rFonts w:ascii="Palatino" w:hAnsi="Palatino" w:cs="Times New Roman"/>
          <w:i/>
          <w:iCs/>
          <w:noProof/>
        </w:rPr>
        <w:t>Marine Ecology Progress Series</w:t>
      </w:r>
      <w:r w:rsidRPr="007D3679">
        <w:rPr>
          <w:rFonts w:ascii="Palatino" w:hAnsi="Palatino" w:cs="Times New Roman"/>
          <w:noProof/>
        </w:rPr>
        <w:t xml:space="preserve"> 40: 205–8. https://doi.org/10.3354/meps040205.</w:t>
      </w:r>
    </w:p>
    <w:p w14:paraId="5E252BEA"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Breed, Greg A, W.D Bowen, J.I McMillan, and M.L Leonard. 2006. “Sexual Segregation of Seasonal Foraging Habitats in a Non-Migratory Marine Mammal.” </w:t>
      </w:r>
      <w:r w:rsidRPr="007D3679">
        <w:rPr>
          <w:rFonts w:ascii="Palatino" w:hAnsi="Palatino" w:cs="Times New Roman"/>
          <w:i/>
          <w:iCs/>
          <w:noProof/>
        </w:rPr>
        <w:t>Proceedings of the Royal Society B: Biological Sciences</w:t>
      </w:r>
      <w:r w:rsidRPr="007D3679">
        <w:rPr>
          <w:rFonts w:ascii="Palatino" w:hAnsi="Palatino" w:cs="Times New Roman"/>
          <w:noProof/>
        </w:rPr>
        <w:t xml:space="preserve"> 273 (1599): 2319–26. https://doi.org/10.1098/rspb.2006.3581.</w:t>
      </w:r>
    </w:p>
    <w:p w14:paraId="53128EA4"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Burger, Alan E., and Scott A. Shaffer. 2008. “Application of Tracking and Data-Logging Technology in Research and Conservation of Seabirds.” </w:t>
      </w:r>
      <w:r w:rsidRPr="007D3679">
        <w:rPr>
          <w:rFonts w:ascii="Palatino" w:hAnsi="Palatino" w:cs="Times New Roman"/>
          <w:i/>
          <w:iCs/>
          <w:noProof/>
        </w:rPr>
        <w:t>The Auk</w:t>
      </w:r>
      <w:r w:rsidRPr="007D3679">
        <w:rPr>
          <w:rFonts w:ascii="Palatino" w:hAnsi="Palatino" w:cs="Times New Roman"/>
          <w:noProof/>
        </w:rPr>
        <w:t xml:space="preserve"> 125 (2): 253–64. https://doi.org/10.1525/auk.2008.1408.</w:t>
      </w:r>
    </w:p>
    <w:p w14:paraId="09F7133B"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Catry, Paulo, Maria P. Dias, Richard A. Phillips, and José P. Granadeiro. 2011. “Different Means to the Same End: Long-Distance Migrant Seabirds from Two Colonies Differ in Behaviour, Despite Common Wintering Grounds.” Edited by R. Mark Brigham. </w:t>
      </w:r>
      <w:r w:rsidRPr="007D3679">
        <w:rPr>
          <w:rFonts w:ascii="Palatino" w:hAnsi="Palatino" w:cs="Times New Roman"/>
          <w:i/>
          <w:iCs/>
          <w:noProof/>
        </w:rPr>
        <w:t>PLoS ONE</w:t>
      </w:r>
      <w:r w:rsidRPr="007D3679">
        <w:rPr>
          <w:rFonts w:ascii="Palatino" w:hAnsi="Palatino" w:cs="Times New Roman"/>
          <w:noProof/>
        </w:rPr>
        <w:t xml:space="preserve"> 6 (10): e26079. https://doi.org/10.1371/journal.pone.0026079.</w:t>
      </w:r>
    </w:p>
    <w:p w14:paraId="66A97641"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Clay, Thomas A., Andrea Manica, Peter G. Ryan, Janet R.D. Silk, John P. Croxall, Louise Ireland, and Richard A. Phillips. 2016. “Proximate Drivers of Spatial Segregation in Non-Breeding Albatrosses.” </w:t>
      </w:r>
      <w:r w:rsidRPr="007D3679">
        <w:rPr>
          <w:rFonts w:ascii="Palatino" w:hAnsi="Palatino" w:cs="Times New Roman"/>
          <w:i/>
          <w:iCs/>
          <w:noProof/>
        </w:rPr>
        <w:t>Scientific Reports</w:t>
      </w:r>
      <w:r w:rsidRPr="007D3679">
        <w:rPr>
          <w:rFonts w:ascii="Palatino" w:hAnsi="Palatino" w:cs="Times New Roman"/>
          <w:noProof/>
        </w:rPr>
        <w:t xml:space="preserve"> 6 (1): 1–13. https://doi.org/10.1038/srep29932.</w:t>
      </w:r>
    </w:p>
    <w:p w14:paraId="0E2A81D2"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Conners, Melinda G. 2015. “Comparative Behavior, Diet, and Post-Breeding Strategies of Two Sympatric North Pacific Albatross Species (Phoebastria Sp.).” UC Santa Cruz. https://doi.org/Conners_ucsc_0036E_10949.</w:t>
      </w:r>
    </w:p>
    <w:p w14:paraId="0FC2FF7A"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Copello, Sofía, Juan Pablo Seco Pon, and Marco Favero. 2014. “Spatial Overlap of Black-Browed Albatrosses with Longline and Trawl Fisheries in the Patagonian Shelf during the Non-Breeding Season.” </w:t>
      </w:r>
      <w:r w:rsidRPr="007D3679">
        <w:rPr>
          <w:rFonts w:ascii="Palatino" w:hAnsi="Palatino" w:cs="Times New Roman"/>
          <w:i/>
          <w:iCs/>
          <w:noProof/>
        </w:rPr>
        <w:t>Journal of Sea Research</w:t>
      </w:r>
      <w:r w:rsidRPr="007D3679">
        <w:rPr>
          <w:rFonts w:ascii="Palatino" w:hAnsi="Palatino" w:cs="Times New Roman"/>
          <w:noProof/>
        </w:rPr>
        <w:t xml:space="preserve"> 89 (May): 44–51. https://doi.org/10.1016/j.seares.2014.02.006.</w:t>
      </w:r>
    </w:p>
    <w:p w14:paraId="46CFA8E9"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Fischer, Karen N., Robert M. Suryan, Daniel D. Roby, and Gregory R. Balogh. 2009. “Post-Breeding Season Distribution of Black-Footed and Laysan Albatrosses Satellite-Tagged in Alaska: Inter-Specific Differences in Spatial Overlap with North Pacific Fisheries.” </w:t>
      </w:r>
      <w:r w:rsidRPr="007D3679">
        <w:rPr>
          <w:rFonts w:ascii="Palatino" w:hAnsi="Palatino" w:cs="Times New Roman"/>
          <w:i/>
          <w:iCs/>
          <w:noProof/>
        </w:rPr>
        <w:t>Biological Conservation</w:t>
      </w:r>
      <w:r w:rsidRPr="007D3679">
        <w:rPr>
          <w:rFonts w:ascii="Palatino" w:hAnsi="Palatino" w:cs="Times New Roman"/>
          <w:noProof/>
        </w:rPr>
        <w:t xml:space="preserve"> 142 (4): 751–60. https://doi.org/10.1016/j.biocon.2008.12.007.</w:t>
      </w:r>
    </w:p>
    <w:p w14:paraId="278FD853"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Gutowsky, Sarah E., Lee F.G. Gutowsky, Ian D. Jonsen, Marty L. Leonard, Maura B. Naughton, Marc D. Romano, and Scott A. Shaffer. 2014. “Daily Activity Budgets Reveal a Quasi-Flightless Stage during Non-Breeding in Hawaiian Albatrosses.” </w:t>
      </w:r>
      <w:r w:rsidRPr="007D3679">
        <w:rPr>
          <w:rFonts w:ascii="Palatino" w:hAnsi="Palatino" w:cs="Times New Roman"/>
          <w:i/>
          <w:iCs/>
          <w:noProof/>
        </w:rPr>
        <w:t>Movement Ecology</w:t>
      </w:r>
      <w:r w:rsidRPr="007D3679">
        <w:rPr>
          <w:rFonts w:ascii="Palatino" w:hAnsi="Palatino" w:cs="Times New Roman"/>
          <w:noProof/>
        </w:rPr>
        <w:t xml:space="preserve"> 2 (1): 1–14. https://doi.org/10.1186/s40462-014-0023-4.</w:t>
      </w:r>
    </w:p>
    <w:p w14:paraId="546AAE49"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Gutowsky, Sarah E, Yann Tremblay, Michelle A Kappes, Elizabeth N Flint, John Klavitter, Leona Laniawe, Dan P Costa, Maura B Naughton, Marc D Romano, and Scott A Shaffer. 2014. “Divergent Post-Breeding Distribution and Habitat Associations of Fledgling and Adult Black-Footed Albatrosses Phoebastria Nigripes in the North Pacific.” </w:t>
      </w:r>
      <w:r w:rsidRPr="007D3679">
        <w:rPr>
          <w:rFonts w:ascii="Palatino" w:hAnsi="Palatino" w:cs="Times New Roman"/>
          <w:i/>
          <w:iCs/>
          <w:noProof/>
        </w:rPr>
        <w:t>Ibis</w:t>
      </w:r>
      <w:r w:rsidRPr="007D3679">
        <w:rPr>
          <w:rFonts w:ascii="Palatino" w:hAnsi="Palatino" w:cs="Times New Roman"/>
          <w:noProof/>
        </w:rPr>
        <w:t xml:space="preserve"> 156 (1): 60–72. https://doi.org/10.1111/ibi.12119.</w:t>
      </w:r>
    </w:p>
    <w:p w14:paraId="1BAD00F6"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lastRenderedPageBreak/>
        <w:t xml:space="preserve">Hedd, A, WA Montevecchi, H Otley, RA Phillips, and DA Fifield. 2012. “Trans-Equatorial Migration and Habitat Use by Sooty Shearwaters Puffinus Griseus from the South Atlantic during the Nonbreeding Season.” </w:t>
      </w:r>
      <w:r w:rsidRPr="007D3679">
        <w:rPr>
          <w:rFonts w:ascii="Palatino" w:hAnsi="Palatino" w:cs="Times New Roman"/>
          <w:i/>
          <w:iCs/>
          <w:noProof/>
        </w:rPr>
        <w:t>Marine Ecology Progress Series</w:t>
      </w:r>
      <w:r w:rsidRPr="007D3679">
        <w:rPr>
          <w:rFonts w:ascii="Palatino" w:hAnsi="Palatino" w:cs="Times New Roman"/>
          <w:noProof/>
        </w:rPr>
        <w:t xml:space="preserve"> 449 (March): 277–90. https://doi.org/10.3354/meps09538.</w:t>
      </w:r>
    </w:p>
    <w:p w14:paraId="570A9A0F"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Hyrenbach, K. D., C. Keiper, S. G. Allen, D. G. Ainley, and D. J. Anderson. 2006. “Use of Marine Sanctuaries by Far-Ranging Predators: Commuting Flights to the California Current System by Breeding Hawaiian Albatrosses.” </w:t>
      </w:r>
      <w:r w:rsidRPr="007D3679">
        <w:rPr>
          <w:rFonts w:ascii="Palatino" w:hAnsi="Palatino" w:cs="Times New Roman"/>
          <w:i/>
          <w:iCs/>
          <w:noProof/>
        </w:rPr>
        <w:t>Fisheries Oceanography</w:t>
      </w:r>
      <w:r w:rsidRPr="007D3679">
        <w:rPr>
          <w:rFonts w:ascii="Palatino" w:hAnsi="Palatino" w:cs="Times New Roman"/>
          <w:noProof/>
        </w:rPr>
        <w:t xml:space="preserve"> 15 (2): 95–103. https://doi.org/10.1111/j.1365-2419.2005.00350.x.</w:t>
      </w:r>
    </w:p>
    <w:p w14:paraId="4CC5103C"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Hyrenbach, K David, Patricia Fernandez, and David J Anderson. 2002. “Oceanographic Habitats of Two Sympatric North Pacific Albatrosses during the Breeding Season.” </w:t>
      </w:r>
      <w:r w:rsidRPr="007D3679">
        <w:rPr>
          <w:rFonts w:ascii="Palatino" w:hAnsi="Palatino" w:cs="Times New Roman"/>
          <w:i/>
          <w:iCs/>
          <w:noProof/>
        </w:rPr>
        <w:t>Marine Ecology Progress Series</w:t>
      </w:r>
      <w:r w:rsidRPr="007D3679">
        <w:rPr>
          <w:rFonts w:ascii="Palatino" w:hAnsi="Palatino" w:cs="Times New Roman"/>
          <w:noProof/>
        </w:rPr>
        <w:t xml:space="preserve"> 233: 283–301. https://www.int-res.com/abstracts/meps/v233/p283-301/.</w:t>
      </w:r>
    </w:p>
    <w:p w14:paraId="3F0C9F05"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Kappes, Michelle A., Scott A. Shaffer, Yann Tremblay, David G. Foley, Daniel M. Palacios, Steven J. Bograd, and Daniel P. Costa. 2015. “Reproductive Constraints Influence Habitat Accessibility, Segregation, and Preference of Sympatric Albatross Species.” </w:t>
      </w:r>
      <w:r w:rsidRPr="007D3679">
        <w:rPr>
          <w:rFonts w:ascii="Palatino" w:hAnsi="Palatino" w:cs="Times New Roman"/>
          <w:i/>
          <w:iCs/>
          <w:noProof/>
        </w:rPr>
        <w:t>Movement Ecology</w:t>
      </w:r>
      <w:r w:rsidRPr="007D3679">
        <w:rPr>
          <w:rFonts w:ascii="Palatino" w:hAnsi="Palatino" w:cs="Times New Roman"/>
          <w:noProof/>
        </w:rPr>
        <w:t xml:space="preserve"> 3 (1): 1–24. https://doi.org/10.1186/s40462-015-0063-4.</w:t>
      </w:r>
    </w:p>
    <w:p w14:paraId="623D58C2"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Lisovski, Simeon, Silke Bauer, Martins Briedis, Sarah C. Davidson, Kiran L. Dhanjal</w:t>
      </w:r>
      <w:r w:rsidRPr="007D3679">
        <w:rPr>
          <w:rFonts w:ascii="Cambria Math" w:hAnsi="Cambria Math" w:cs="Cambria Math"/>
          <w:noProof/>
        </w:rPr>
        <w:t>‐</w:t>
      </w:r>
      <w:r w:rsidRPr="007D3679">
        <w:rPr>
          <w:rFonts w:ascii="Palatino" w:hAnsi="Palatino" w:cs="Times New Roman"/>
          <w:noProof/>
        </w:rPr>
        <w:t>Adams, Michael T. Hallworth, Julia Karagicheva, et al. 2020. “Light</w:t>
      </w:r>
      <w:r w:rsidRPr="007D3679">
        <w:rPr>
          <w:rFonts w:ascii="Cambria Math" w:hAnsi="Cambria Math" w:cs="Cambria Math"/>
          <w:noProof/>
        </w:rPr>
        <w:t>‐</w:t>
      </w:r>
      <w:r w:rsidRPr="007D3679">
        <w:rPr>
          <w:rFonts w:ascii="Palatino" w:hAnsi="Palatino" w:cs="Times New Roman"/>
          <w:noProof/>
        </w:rPr>
        <w:t xml:space="preserve">level Geolocator Analyses: A User’s Guide.” Edited by Garrett Street. </w:t>
      </w:r>
      <w:r w:rsidRPr="007D3679">
        <w:rPr>
          <w:rFonts w:ascii="Palatino" w:hAnsi="Palatino" w:cs="Times New Roman"/>
          <w:i/>
          <w:iCs/>
          <w:noProof/>
        </w:rPr>
        <w:t>Journal of Animal Ecology</w:t>
      </w:r>
      <w:r w:rsidRPr="007D3679">
        <w:rPr>
          <w:rFonts w:ascii="Palatino" w:hAnsi="Palatino" w:cs="Times New Roman"/>
          <w:noProof/>
        </w:rPr>
        <w:t xml:space="preserve"> 89 (1): 221–36. https://doi.org/10.1111/1365-2656.13036.</w:t>
      </w:r>
    </w:p>
    <w:p w14:paraId="6682F16D"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MacArthur, Robert H. 1958. “Population Ecology of Some Warblers of Northeastern Coniferous Forests.” </w:t>
      </w:r>
      <w:r w:rsidRPr="007D3679">
        <w:rPr>
          <w:rFonts w:ascii="Palatino" w:hAnsi="Palatino" w:cs="Times New Roman"/>
          <w:i/>
          <w:iCs/>
          <w:noProof/>
        </w:rPr>
        <w:t>Ecology</w:t>
      </w:r>
      <w:r w:rsidRPr="007D3679">
        <w:rPr>
          <w:rFonts w:ascii="Palatino" w:hAnsi="Palatino" w:cs="Times New Roman"/>
          <w:noProof/>
        </w:rPr>
        <w:t xml:space="preserve"> 39 (4): 599–619. https://doi.org/10.2307/1931600.</w:t>
      </w:r>
    </w:p>
    <w:p w14:paraId="4874D277"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Mackley, EK, RA Phillips, JRD Silk, ED Wakefield, V Afanasyev, JW Fox, and RW Furness. 2010. “Free as a Bird? Activity Patterns of Albatrosses during the Nonbreeding Period.” </w:t>
      </w:r>
      <w:r w:rsidRPr="007D3679">
        <w:rPr>
          <w:rFonts w:ascii="Palatino" w:hAnsi="Palatino" w:cs="Times New Roman"/>
          <w:i/>
          <w:iCs/>
          <w:noProof/>
        </w:rPr>
        <w:t>Marine Ecology Progress Series</w:t>
      </w:r>
      <w:r w:rsidRPr="007D3679">
        <w:rPr>
          <w:rFonts w:ascii="Palatino" w:hAnsi="Palatino" w:cs="Times New Roman"/>
          <w:noProof/>
        </w:rPr>
        <w:t xml:space="preserve"> 406 (May): 291–303. https://doi.org/10.3354/meps08532.</w:t>
      </w:r>
    </w:p>
    <w:p w14:paraId="44BB0056"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Murphy, Mary E. 1996. “Energetics and Nutrition of Molt.” In </w:t>
      </w:r>
      <w:r w:rsidRPr="007D3679">
        <w:rPr>
          <w:rFonts w:ascii="Palatino" w:hAnsi="Palatino" w:cs="Times New Roman"/>
          <w:i/>
          <w:iCs/>
          <w:noProof/>
        </w:rPr>
        <w:t>Avian Energetics and Nutritional Ecology</w:t>
      </w:r>
      <w:r w:rsidRPr="007D3679">
        <w:rPr>
          <w:rFonts w:ascii="Palatino" w:hAnsi="Palatino" w:cs="Times New Roman"/>
          <w:noProof/>
        </w:rPr>
        <w:t>, 158–98. Springer US. https://doi.org/10.1007/978-1-4613-0425-8_6.</w:t>
      </w:r>
    </w:p>
    <w:p w14:paraId="5508CCAA"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Nishizawa, Bungo, Daisuke Ochi, Hiroshi Minami, Kotaro Yokawa, Sei Ichi Saitoh, and Yutaka Watanuki. 2015. “Habitats of Two Albatross Species during the Non-Breeding Season in the North Pacific Transition Zone.” </w:t>
      </w:r>
      <w:r w:rsidRPr="007D3679">
        <w:rPr>
          <w:rFonts w:ascii="Palatino" w:hAnsi="Palatino" w:cs="Times New Roman"/>
          <w:i/>
          <w:iCs/>
          <w:noProof/>
        </w:rPr>
        <w:t>Marine Biology</w:t>
      </w:r>
      <w:r w:rsidRPr="007D3679">
        <w:rPr>
          <w:rFonts w:ascii="Palatino" w:hAnsi="Palatino" w:cs="Times New Roman"/>
          <w:noProof/>
        </w:rPr>
        <w:t xml:space="preserve"> 162 (4): 743–52. https://doi.org/10.1007/s00227-015-2620-1.</w:t>
      </w:r>
    </w:p>
    <w:p w14:paraId="4DA08567"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Orians, G H, and N E Pearson. 1979. “On the Ecology of Central Place Foraging.” </w:t>
      </w:r>
      <w:r w:rsidRPr="007D3679">
        <w:rPr>
          <w:rFonts w:ascii="Palatino" w:hAnsi="Palatino" w:cs="Times New Roman"/>
          <w:i/>
          <w:iCs/>
          <w:noProof/>
        </w:rPr>
        <w:t>Analysis of Ecological Systems</w:t>
      </w:r>
      <w:r w:rsidRPr="007D3679">
        <w:rPr>
          <w:rFonts w:ascii="Palatino" w:hAnsi="Palatino" w:cs="Times New Roman"/>
          <w:noProof/>
        </w:rPr>
        <w:t>, 155–77.</w:t>
      </w:r>
    </w:p>
    <w:p w14:paraId="222A8C9F"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Parsons, Matt, Ian Mitchell, Adam Butler, Norman Ratcliffe, Morten Frederiksen, Simon Foster, and James B. Reid. 2008. “Seabirds as Indicators of the Marine Environment.” </w:t>
      </w:r>
      <w:r w:rsidRPr="007D3679">
        <w:rPr>
          <w:rFonts w:ascii="Palatino" w:hAnsi="Palatino" w:cs="Times New Roman"/>
          <w:i/>
          <w:iCs/>
          <w:noProof/>
        </w:rPr>
        <w:t>ICES Journal of Marine Science</w:t>
      </w:r>
      <w:r w:rsidRPr="007D3679">
        <w:rPr>
          <w:rFonts w:ascii="Palatino" w:hAnsi="Palatino" w:cs="Times New Roman"/>
          <w:noProof/>
        </w:rPr>
        <w:t xml:space="preserve"> 65 (8): 1520–26. https://doi.org/10.1093/icesjms/fsn155.</w:t>
      </w:r>
    </w:p>
    <w:p w14:paraId="55617F2F"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Pettex, Emeline, Charlotte Lambert, Jérôme Fort, Ghislain Dorémus, and Vincent Ridoux. 2019. “Spatial Segregation between Immatures and Adults in a Pelagic Seabird Suggests Age</w:t>
      </w:r>
      <w:r w:rsidRPr="007D3679">
        <w:rPr>
          <w:rFonts w:ascii="Cambria Math" w:hAnsi="Cambria Math" w:cs="Cambria Math"/>
          <w:noProof/>
        </w:rPr>
        <w:t>‐</w:t>
      </w:r>
      <w:r w:rsidRPr="007D3679">
        <w:rPr>
          <w:rFonts w:ascii="Palatino" w:hAnsi="Palatino" w:cs="Times New Roman"/>
          <w:noProof/>
        </w:rPr>
        <w:t xml:space="preserve">related Competition.” </w:t>
      </w:r>
      <w:r w:rsidRPr="007D3679">
        <w:rPr>
          <w:rFonts w:ascii="Palatino" w:hAnsi="Palatino" w:cs="Times New Roman"/>
          <w:i/>
          <w:iCs/>
          <w:noProof/>
        </w:rPr>
        <w:t>Journal of Avian Biology</w:t>
      </w:r>
      <w:r w:rsidRPr="007D3679">
        <w:rPr>
          <w:rFonts w:ascii="Palatino" w:hAnsi="Palatino" w:cs="Times New Roman"/>
          <w:noProof/>
        </w:rPr>
        <w:t xml:space="preserve"> 50 (5): jav.01935. https://doi.org/10.1111/jav.01935.</w:t>
      </w:r>
    </w:p>
    <w:p w14:paraId="18591C99"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Phillips, RA, JRD Silk, JP Croxall, V Afanasyev, and DR Briggs. 2004. “Accuracy of Geolocation Estimates for Flying Seabirds.” </w:t>
      </w:r>
      <w:r w:rsidRPr="007D3679">
        <w:rPr>
          <w:rFonts w:ascii="Palatino" w:hAnsi="Palatino" w:cs="Times New Roman"/>
          <w:i/>
          <w:iCs/>
          <w:noProof/>
        </w:rPr>
        <w:t>Marine Ecology Progress Series</w:t>
      </w:r>
      <w:r w:rsidRPr="007D3679">
        <w:rPr>
          <w:rFonts w:ascii="Palatino" w:hAnsi="Palatino" w:cs="Times New Roman"/>
          <w:noProof/>
        </w:rPr>
        <w:t xml:space="preserve"> 266 (January): 265–72. https://doi.org/10.3354/meps266265.</w:t>
      </w:r>
    </w:p>
    <w:p w14:paraId="2DAAC9FD"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Reid, Tim A., Geoffrey N. Tuck, Mark A. Hindell, Sam Thalmann, Richard A. Phillips, and Chris Wilcox. 2013. “Nonbreeding Distribution of Flesh-Footed Shearwaters </w:t>
      </w:r>
      <w:r w:rsidRPr="007D3679">
        <w:rPr>
          <w:rFonts w:ascii="Palatino" w:hAnsi="Palatino" w:cs="Times New Roman"/>
          <w:noProof/>
        </w:rPr>
        <w:lastRenderedPageBreak/>
        <w:t xml:space="preserve">and the Potential for Overlap with North Pacific Fisheries.” </w:t>
      </w:r>
      <w:r w:rsidRPr="007D3679">
        <w:rPr>
          <w:rFonts w:ascii="Palatino" w:hAnsi="Palatino" w:cs="Times New Roman"/>
          <w:i/>
          <w:iCs/>
          <w:noProof/>
        </w:rPr>
        <w:t>Biological Conservation</w:t>
      </w:r>
      <w:r w:rsidRPr="007D3679">
        <w:rPr>
          <w:rFonts w:ascii="Palatino" w:hAnsi="Palatino" w:cs="Times New Roman"/>
          <w:noProof/>
        </w:rPr>
        <w:t xml:space="preserve"> 166 (October): 3–10. https://doi.org/10.1016/j.biocon.2013.06.006.</w:t>
      </w:r>
    </w:p>
    <w:p w14:paraId="0C13AF6D"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Shaffer, Scott A., Yann Tremblay, Jill A. Awkerman, R. William Henry, Steven L.H. Teo, David J. Anderson, Donald A. Croll, Barbara A. Block, and Daniel P. Costa. 2005. “Comparison of Light- and SST-Based Geolocation with Satellite Telemetry in Free-Ranging Albatrosses.” </w:t>
      </w:r>
      <w:r w:rsidRPr="007D3679">
        <w:rPr>
          <w:rFonts w:ascii="Palatino" w:hAnsi="Palatino" w:cs="Times New Roman"/>
          <w:i/>
          <w:iCs/>
          <w:noProof/>
        </w:rPr>
        <w:t>Marine Biology</w:t>
      </w:r>
      <w:r w:rsidRPr="007D3679">
        <w:rPr>
          <w:rFonts w:ascii="Palatino" w:hAnsi="Palatino" w:cs="Times New Roman"/>
          <w:noProof/>
        </w:rPr>
        <w:t xml:space="preserve"> 147 (4): 833–43. https://doi.org/10.1007/s00227-005-1631-8.</w:t>
      </w:r>
    </w:p>
    <w:p w14:paraId="6A3DAB22"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Sumner, Michael D., Simon J. Wotherspoon, and Mark A. Hindell. 2009. “Bayesian Estimation of Animal Movement from Archival and Satellite Tags.” </w:t>
      </w:r>
      <w:r w:rsidRPr="007D3679">
        <w:rPr>
          <w:rFonts w:ascii="Palatino" w:hAnsi="Palatino" w:cs="Times New Roman"/>
          <w:i/>
          <w:iCs/>
          <w:noProof/>
        </w:rPr>
        <w:t>PLoS ONE</w:t>
      </w:r>
      <w:r w:rsidRPr="007D3679">
        <w:rPr>
          <w:rFonts w:ascii="Palatino" w:hAnsi="Palatino" w:cs="Times New Roman"/>
          <w:noProof/>
        </w:rPr>
        <w:t xml:space="preserve"> 4 (10): 7324. https://doi.org/10.1371/journal.pone.0007324.</w:t>
      </w:r>
    </w:p>
    <w:p w14:paraId="5ADB1C94"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Suryan, Robert M., Kimberly S. Dietrich, Edward F. Melvin, Gregory R. Balogh, Fumio Sato, and Kiyoaki Ozaki. 2007. “Migratory Routes of Short-Tailed Albatrosses: Use of Exclusive Economic Zones of North Pacific Rim Countries and Spatial Overlap with Commercial Fisheries in Alaska.” </w:t>
      </w:r>
      <w:r w:rsidRPr="007D3679">
        <w:rPr>
          <w:rFonts w:ascii="Palatino" w:hAnsi="Palatino" w:cs="Times New Roman"/>
          <w:i/>
          <w:iCs/>
          <w:noProof/>
        </w:rPr>
        <w:t>Biological Conservation</w:t>
      </w:r>
      <w:r w:rsidRPr="007D3679">
        <w:rPr>
          <w:rFonts w:ascii="Palatino" w:hAnsi="Palatino" w:cs="Times New Roman"/>
          <w:noProof/>
        </w:rPr>
        <w:t xml:space="preserve"> 137 (3): 450–60. https://doi.org/10.1016/j.biocon.2007.03.015.</w:t>
      </w:r>
    </w:p>
    <w:p w14:paraId="22E442D1"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Suryan, Robert M., Fumio Sato, Gregory R. Balogh, K. David Hyrenbach, Paul R. Sievert, and Kiyoaki Ozaki. 2006. “Foraging Destinations and Marine Habitat Use of Short-Tailed Albatrosses: A Multi-Scale Approach Using First-Passage Time Analysis.” </w:t>
      </w:r>
      <w:r w:rsidRPr="007D3679">
        <w:rPr>
          <w:rFonts w:ascii="Palatino" w:hAnsi="Palatino" w:cs="Times New Roman"/>
          <w:i/>
          <w:iCs/>
          <w:noProof/>
        </w:rPr>
        <w:t>Deep-Sea Research Part II: Topical Studies in Oceanography</w:t>
      </w:r>
      <w:r w:rsidRPr="007D3679">
        <w:rPr>
          <w:rFonts w:ascii="Palatino" w:hAnsi="Palatino" w:cs="Times New Roman"/>
          <w:noProof/>
        </w:rPr>
        <w:t xml:space="preserve"> 53 (3–4): 370–86. https://doi.org/10.1016/j.dsr2.2006.01.012.</w:t>
      </w:r>
    </w:p>
    <w:p w14:paraId="29E418BB"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Thorne, L. H., M. G. Conners, E. L. Hazen, S. J. Bograd, M. Antolos, D. P. Costa, and S. A. Shaffer. 2016. “Effects of El Niño-Driven Changes in Wind Patterns on North Pacific Albatrosses.” </w:t>
      </w:r>
      <w:r w:rsidRPr="007D3679">
        <w:rPr>
          <w:rFonts w:ascii="Palatino" w:hAnsi="Palatino" w:cs="Times New Roman"/>
          <w:i/>
          <w:iCs/>
          <w:noProof/>
        </w:rPr>
        <w:t>Journal of the Royal Society Interface</w:t>
      </w:r>
      <w:r w:rsidRPr="007D3679">
        <w:rPr>
          <w:rFonts w:ascii="Palatino" w:hAnsi="Palatino" w:cs="Times New Roman"/>
          <w:noProof/>
        </w:rPr>
        <w:t xml:space="preserve"> 13 (119). https://doi.org/10.1098/rsif.2016.0196.</w:t>
      </w:r>
    </w:p>
    <w:p w14:paraId="2E957861"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Tickell, W L N. 2000. </w:t>
      </w:r>
      <w:r w:rsidRPr="007D3679">
        <w:rPr>
          <w:rFonts w:ascii="Palatino" w:hAnsi="Palatino" w:cs="Times New Roman"/>
          <w:i/>
          <w:iCs/>
          <w:noProof/>
        </w:rPr>
        <w:t>Albatrosses</w:t>
      </w:r>
      <w:r w:rsidRPr="007D3679">
        <w:rPr>
          <w:rFonts w:ascii="Palatino" w:hAnsi="Palatino" w:cs="Times New Roman"/>
          <w:noProof/>
        </w:rPr>
        <w:t>. Yale University Press.</w:t>
      </w:r>
    </w:p>
    <w:p w14:paraId="3737EECA"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Wakefield, ED, RA Phillips, and J Matthiopoulos. 2009. “Quantifying Habitat Use and Preferences of Pelagic Seabirds Using Individual Movement Data: A Review.” </w:t>
      </w:r>
      <w:r w:rsidRPr="007D3679">
        <w:rPr>
          <w:rFonts w:ascii="Palatino" w:hAnsi="Palatino" w:cs="Times New Roman"/>
          <w:i/>
          <w:iCs/>
          <w:noProof/>
        </w:rPr>
        <w:t>Marine Ecology Progress Series</w:t>
      </w:r>
      <w:r w:rsidRPr="007D3679">
        <w:rPr>
          <w:rFonts w:ascii="Palatino" w:hAnsi="Palatino" w:cs="Times New Roman"/>
          <w:noProof/>
        </w:rPr>
        <w:t xml:space="preserve"> 391 (September): 165–82. https://doi.org/10.3354/meps08203.</w:t>
      </w:r>
    </w:p>
    <w:p w14:paraId="77D09525"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Wearmouth, Victoria J, and David W B T - Advances in Marine Biology Sims. 2008. “Chapter 2 Sexual Segregation in Marine Fish, Reptiles, Birds and Mammals: Behaviour Patterns, Mechanisms and Conservation Implications.” In , 54:107–70. Academic Press. https://doi.org/https://doi.org/10.1016/S0065-2881(08)00002-3.</w:t>
      </w:r>
    </w:p>
    <w:p w14:paraId="17F69D83"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Wilson, R P, J J Ducamp, W G Rees, B M Culik, and K Niekamp. 1992. “Estimation of Location: Global Coverage Using Light Intensity.” </w:t>
      </w:r>
      <w:r w:rsidRPr="007D3679">
        <w:rPr>
          <w:rFonts w:ascii="Palatino" w:hAnsi="Palatino" w:cs="Times New Roman"/>
          <w:i/>
          <w:iCs/>
          <w:noProof/>
        </w:rPr>
        <w:t>Wildlife Telemetry: Remote Monitoring and Tracking of Animals</w:t>
      </w:r>
      <w:r w:rsidRPr="007D3679">
        <w:rPr>
          <w:rFonts w:ascii="Palatino" w:hAnsi="Palatino" w:cs="Times New Roman"/>
          <w:noProof/>
        </w:rPr>
        <w:t>, no. December 2015: 131–34. http://ci.nii.ac.jp/naid/10018066932/en/.</w:t>
      </w:r>
    </w:p>
    <w:p w14:paraId="6B0561CF"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Wilson, R P, D Grémillet, J Syder, MAM Kierspel, S Garthe, H Weimerskirch, C Schäfer-Neth, et al. 2002. “Remote-Sensing Systems and Seabirds: Their Use, Abuse and Potential for Measuring Marine Environmental Variables.” </w:t>
      </w:r>
      <w:r w:rsidRPr="007D3679">
        <w:rPr>
          <w:rFonts w:ascii="Palatino" w:hAnsi="Palatino" w:cs="Times New Roman"/>
          <w:i/>
          <w:iCs/>
          <w:noProof/>
        </w:rPr>
        <w:t>Marine Ecology Progress Series</w:t>
      </w:r>
      <w:r w:rsidRPr="007D3679">
        <w:rPr>
          <w:rFonts w:ascii="Palatino" w:hAnsi="Palatino" w:cs="Times New Roman"/>
          <w:noProof/>
        </w:rPr>
        <w:t xml:space="preserve"> 228 (March): 241–61. https://doi.org/10.3354/meps228241.</w:t>
      </w:r>
    </w:p>
    <w:p w14:paraId="48863D62"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Wilson, Rory P., Henri Weimerskirch, and Patrice Lys. 1995. “A Device for Measuring Seabird Activity at Sea.” </w:t>
      </w:r>
      <w:r w:rsidRPr="007D3679">
        <w:rPr>
          <w:rFonts w:ascii="Palatino" w:hAnsi="Palatino" w:cs="Times New Roman"/>
          <w:i/>
          <w:iCs/>
          <w:noProof/>
        </w:rPr>
        <w:t>Journal of Avian Biology</w:t>
      </w:r>
      <w:r w:rsidRPr="007D3679">
        <w:rPr>
          <w:rFonts w:ascii="Palatino" w:hAnsi="Palatino" w:cs="Times New Roman"/>
          <w:noProof/>
        </w:rPr>
        <w:t xml:space="preserve"> 26 (2): 172. https://doi.org/10.2307/3677067.</w:t>
      </w:r>
    </w:p>
    <w:p w14:paraId="60EDA3C1" w14:textId="77777777" w:rsidR="007D3679" w:rsidRPr="007D3679" w:rsidRDefault="007D3679" w:rsidP="007D3679">
      <w:pPr>
        <w:widowControl w:val="0"/>
        <w:autoSpaceDE w:val="0"/>
        <w:autoSpaceDN w:val="0"/>
        <w:adjustRightInd w:val="0"/>
        <w:ind w:left="480" w:hanging="480"/>
        <w:rPr>
          <w:rFonts w:ascii="Palatino" w:hAnsi="Palatino" w:cs="Times New Roman"/>
          <w:noProof/>
        </w:rPr>
      </w:pPr>
      <w:r w:rsidRPr="007D3679">
        <w:rPr>
          <w:rFonts w:ascii="Palatino" w:hAnsi="Palatino" w:cs="Times New Roman"/>
          <w:noProof/>
        </w:rPr>
        <w:t xml:space="preserve">Winship, Arliss J., Salvador J. Jorgensen, Scott A. Shaffer, Ian D. Jonsen, Patrick W. Robinson, Daniel P. Costa, and Barbara A. Block. 2012. “State-Space Framework for Estimating Measurement Error from Double-Tagging Telemetry Experiments.” </w:t>
      </w:r>
      <w:r w:rsidRPr="007D3679">
        <w:rPr>
          <w:rFonts w:ascii="Palatino" w:hAnsi="Palatino" w:cs="Times New Roman"/>
          <w:i/>
          <w:iCs/>
          <w:noProof/>
        </w:rPr>
        <w:t>Methods in Ecology and Evolution</w:t>
      </w:r>
      <w:r w:rsidRPr="007D3679">
        <w:rPr>
          <w:rFonts w:ascii="Palatino" w:hAnsi="Palatino" w:cs="Times New Roman"/>
          <w:noProof/>
        </w:rPr>
        <w:t xml:space="preserve"> 3 (2): 291–302. https://doi.org/10.1111/j.2041-210X.2011.00161.x.</w:t>
      </w:r>
    </w:p>
    <w:p w14:paraId="17B00413" w14:textId="77777777" w:rsidR="007D3679" w:rsidRPr="007D3679" w:rsidRDefault="007D3679" w:rsidP="007D3679">
      <w:pPr>
        <w:widowControl w:val="0"/>
        <w:autoSpaceDE w:val="0"/>
        <w:autoSpaceDN w:val="0"/>
        <w:adjustRightInd w:val="0"/>
        <w:ind w:left="480" w:hanging="480"/>
        <w:rPr>
          <w:rFonts w:ascii="Palatino" w:hAnsi="Palatino"/>
          <w:noProof/>
        </w:rPr>
      </w:pPr>
      <w:r w:rsidRPr="007D3679">
        <w:rPr>
          <w:rFonts w:ascii="Palatino" w:hAnsi="Palatino" w:cs="Times New Roman"/>
          <w:noProof/>
        </w:rPr>
        <w:lastRenderedPageBreak/>
        <w:t xml:space="preserve">Worton, B. J. 1989. “Kernel Methods for Estimating the Utilization Distribution in Home- Range Studies.” </w:t>
      </w:r>
      <w:r w:rsidRPr="007D3679">
        <w:rPr>
          <w:rFonts w:ascii="Palatino" w:hAnsi="Palatino" w:cs="Times New Roman"/>
          <w:i/>
          <w:iCs/>
          <w:noProof/>
        </w:rPr>
        <w:t>Ecology</w:t>
      </w:r>
      <w:r w:rsidRPr="007D3679">
        <w:rPr>
          <w:rFonts w:ascii="Palatino" w:hAnsi="Palatino" w:cs="Times New Roman"/>
          <w:noProof/>
        </w:rPr>
        <w:t xml:space="preserve"> 70 (1): 164–68. https://doi.org/10.2307/1938423.</w:t>
      </w:r>
    </w:p>
    <w:p w14:paraId="64F211CB" w14:textId="56990207" w:rsidR="00154767" w:rsidRPr="00DB6D05" w:rsidRDefault="00154767" w:rsidP="007D3679">
      <w:pPr>
        <w:widowControl w:val="0"/>
        <w:autoSpaceDE w:val="0"/>
        <w:autoSpaceDN w:val="0"/>
        <w:adjustRightInd w:val="0"/>
        <w:ind w:left="480" w:hanging="480"/>
        <w:rPr>
          <w:rFonts w:ascii="Palatino" w:hAnsi="Palatino"/>
        </w:rPr>
      </w:pPr>
      <w:r>
        <w:rPr>
          <w:rFonts w:ascii="Palatino" w:hAnsi="Palatino"/>
        </w:rPr>
        <w:fldChar w:fldCharType="end"/>
      </w:r>
    </w:p>
    <w:sectPr w:rsidR="00154767" w:rsidRPr="00DB6D05" w:rsidSect="00426213">
      <w:headerReference w:type="default" r:id="rId10"/>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838B9F" w14:textId="77777777" w:rsidR="00E91146" w:rsidRDefault="00E91146" w:rsidP="00A577F3">
      <w:r>
        <w:separator/>
      </w:r>
    </w:p>
  </w:endnote>
  <w:endnote w:type="continuationSeparator" w:id="0">
    <w:p w14:paraId="4F9E7B05" w14:textId="77777777" w:rsidR="00E91146" w:rsidRDefault="00E91146" w:rsidP="00A57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w:altName w:val="﷽﷽﷽﷽﷽﷽﷽﷽iqua"/>
    <w:panose1 w:val="00000000000000000000"/>
    <w:charset w:val="4D"/>
    <w:family w:val="auto"/>
    <w:pitch w:val="variable"/>
    <w:sig w:usb0="A00002FF" w:usb1="7800205A" w:usb2="14600000" w:usb3="00000000" w:csb0="00000193"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5335292"/>
      <w:docPartObj>
        <w:docPartGallery w:val="Page Numbers (Bottom of Page)"/>
        <w:docPartUnique/>
      </w:docPartObj>
    </w:sdtPr>
    <w:sdtEndPr>
      <w:rPr>
        <w:rStyle w:val="PageNumber"/>
      </w:rPr>
    </w:sdtEndPr>
    <w:sdtContent>
      <w:p w14:paraId="060D6232" w14:textId="302FE92A" w:rsidR="00507E30" w:rsidRDefault="00507E30" w:rsidP="00600B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FCA117A" w14:textId="77777777" w:rsidR="00507E30" w:rsidRDefault="00507E30" w:rsidP="00507E3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56200122"/>
      <w:docPartObj>
        <w:docPartGallery w:val="Page Numbers (Bottom of Page)"/>
        <w:docPartUnique/>
      </w:docPartObj>
    </w:sdtPr>
    <w:sdtEndPr>
      <w:rPr>
        <w:rStyle w:val="PageNumber"/>
      </w:rPr>
    </w:sdtEndPr>
    <w:sdtContent>
      <w:p w14:paraId="3F18A1BD" w14:textId="09656DC1" w:rsidR="00507E30" w:rsidRDefault="00507E30" w:rsidP="00600B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80A2E">
          <w:rPr>
            <w:rStyle w:val="PageNumber"/>
            <w:noProof/>
          </w:rPr>
          <w:t>9</w:t>
        </w:r>
        <w:r>
          <w:rPr>
            <w:rStyle w:val="PageNumber"/>
          </w:rPr>
          <w:fldChar w:fldCharType="end"/>
        </w:r>
      </w:p>
    </w:sdtContent>
  </w:sdt>
  <w:p w14:paraId="7E9F44A0" w14:textId="77777777" w:rsidR="00507E30" w:rsidRDefault="00507E30" w:rsidP="00507E3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2EBA9" w14:textId="77777777" w:rsidR="00E91146" w:rsidRDefault="00E91146" w:rsidP="00A577F3">
      <w:r>
        <w:separator/>
      </w:r>
    </w:p>
  </w:footnote>
  <w:footnote w:type="continuationSeparator" w:id="0">
    <w:p w14:paraId="6410516B" w14:textId="77777777" w:rsidR="00E91146" w:rsidRDefault="00E91146" w:rsidP="00A577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D3971" w14:textId="68B61A73" w:rsidR="001F62A5" w:rsidRPr="00A577F3" w:rsidRDefault="003643D1" w:rsidP="00A577F3">
    <w:pPr>
      <w:tabs>
        <w:tab w:val="right" w:pos="9360"/>
      </w:tabs>
      <w:rPr>
        <w:rFonts w:ascii="Palatino" w:eastAsia="Times New Roman" w:hAnsi="Palatino" w:cs="Times New Roman"/>
      </w:rPr>
    </w:pPr>
    <w:r>
      <w:rPr>
        <w:rFonts w:ascii="Palatino" w:eastAsia="Times New Roman" w:hAnsi="Palatino" w:cs="Times New Roman"/>
      </w:rPr>
      <w:t>M.S. Thesis Proposal</w:t>
    </w:r>
    <w:r w:rsidR="007832A7">
      <w:rPr>
        <w:rFonts w:ascii="Palatino" w:eastAsia="Times New Roman" w:hAnsi="Palatino" w:cs="Times New Roman"/>
      </w:rPr>
      <w:t>, Dallas Jordan</w:t>
    </w:r>
    <w:r w:rsidR="001F62A5">
      <w:rPr>
        <w:rFonts w:ascii="Palatino" w:eastAsia="Times New Roman" w:hAnsi="Palatino" w:cs="Times New Roman"/>
      </w:rPr>
      <w:tab/>
    </w:r>
  </w:p>
  <w:p w14:paraId="0096F5BA" w14:textId="77777777" w:rsidR="001F62A5" w:rsidRDefault="001F62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57B11"/>
    <w:multiLevelType w:val="hybridMultilevel"/>
    <w:tmpl w:val="1710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B72D8"/>
    <w:multiLevelType w:val="hybridMultilevel"/>
    <w:tmpl w:val="5310F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F52E2"/>
    <w:multiLevelType w:val="hybridMultilevel"/>
    <w:tmpl w:val="14F2024E"/>
    <w:lvl w:ilvl="0" w:tplc="8796E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00008D"/>
    <w:multiLevelType w:val="hybridMultilevel"/>
    <w:tmpl w:val="A2E0F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557F4"/>
    <w:multiLevelType w:val="hybridMultilevel"/>
    <w:tmpl w:val="E8220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B61906"/>
    <w:multiLevelType w:val="hybridMultilevel"/>
    <w:tmpl w:val="60CE59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93CCA"/>
    <w:multiLevelType w:val="hybridMultilevel"/>
    <w:tmpl w:val="93302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2"/>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7F3"/>
    <w:rsid w:val="0000244A"/>
    <w:rsid w:val="00007EED"/>
    <w:rsid w:val="00011114"/>
    <w:rsid w:val="0001676C"/>
    <w:rsid w:val="00020B56"/>
    <w:rsid w:val="00027A58"/>
    <w:rsid w:val="000341D1"/>
    <w:rsid w:val="000428E7"/>
    <w:rsid w:val="00044325"/>
    <w:rsid w:val="00046818"/>
    <w:rsid w:val="00050D88"/>
    <w:rsid w:val="00066ACC"/>
    <w:rsid w:val="00074605"/>
    <w:rsid w:val="000766CA"/>
    <w:rsid w:val="00077798"/>
    <w:rsid w:val="00085D2A"/>
    <w:rsid w:val="00090650"/>
    <w:rsid w:val="000960CB"/>
    <w:rsid w:val="000A3196"/>
    <w:rsid w:val="000B5A48"/>
    <w:rsid w:val="000B60E6"/>
    <w:rsid w:val="000B6227"/>
    <w:rsid w:val="000C086A"/>
    <w:rsid w:val="000D0075"/>
    <w:rsid w:val="000D0ACE"/>
    <w:rsid w:val="000E2CFE"/>
    <w:rsid w:val="0010597E"/>
    <w:rsid w:val="00105C34"/>
    <w:rsid w:val="001207D8"/>
    <w:rsid w:val="00122DCC"/>
    <w:rsid w:val="00134290"/>
    <w:rsid w:val="00147922"/>
    <w:rsid w:val="00147FC6"/>
    <w:rsid w:val="00154767"/>
    <w:rsid w:val="00155B25"/>
    <w:rsid w:val="00172B2B"/>
    <w:rsid w:val="00190875"/>
    <w:rsid w:val="0019388E"/>
    <w:rsid w:val="001A5DEE"/>
    <w:rsid w:val="001A6537"/>
    <w:rsid w:val="001B5405"/>
    <w:rsid w:val="001B6FB6"/>
    <w:rsid w:val="001C62B1"/>
    <w:rsid w:val="001E6EE0"/>
    <w:rsid w:val="001F230F"/>
    <w:rsid w:val="001F3833"/>
    <w:rsid w:val="001F4397"/>
    <w:rsid w:val="001F5787"/>
    <w:rsid w:val="001F62A5"/>
    <w:rsid w:val="001F640A"/>
    <w:rsid w:val="002042C6"/>
    <w:rsid w:val="00210EA6"/>
    <w:rsid w:val="00211A3E"/>
    <w:rsid w:val="002150CD"/>
    <w:rsid w:val="0021680B"/>
    <w:rsid w:val="00221102"/>
    <w:rsid w:val="002228E7"/>
    <w:rsid w:val="00236F81"/>
    <w:rsid w:val="00240363"/>
    <w:rsid w:val="0025078D"/>
    <w:rsid w:val="00272FB5"/>
    <w:rsid w:val="0027569B"/>
    <w:rsid w:val="002844C3"/>
    <w:rsid w:val="00286490"/>
    <w:rsid w:val="00286E0C"/>
    <w:rsid w:val="00292B04"/>
    <w:rsid w:val="002930E9"/>
    <w:rsid w:val="0029433A"/>
    <w:rsid w:val="002A050E"/>
    <w:rsid w:val="002C02BD"/>
    <w:rsid w:val="002C04A9"/>
    <w:rsid w:val="002C50D6"/>
    <w:rsid w:val="002C5FB2"/>
    <w:rsid w:val="002D2711"/>
    <w:rsid w:val="002E4AE8"/>
    <w:rsid w:val="002E6089"/>
    <w:rsid w:val="002F06DC"/>
    <w:rsid w:val="00300B84"/>
    <w:rsid w:val="00312847"/>
    <w:rsid w:val="00317483"/>
    <w:rsid w:val="00324E19"/>
    <w:rsid w:val="0032581D"/>
    <w:rsid w:val="0033542D"/>
    <w:rsid w:val="00336140"/>
    <w:rsid w:val="00342F66"/>
    <w:rsid w:val="00344372"/>
    <w:rsid w:val="003461D9"/>
    <w:rsid w:val="00351A45"/>
    <w:rsid w:val="00360E6C"/>
    <w:rsid w:val="003643D1"/>
    <w:rsid w:val="00366EA5"/>
    <w:rsid w:val="00367875"/>
    <w:rsid w:val="00382179"/>
    <w:rsid w:val="00385557"/>
    <w:rsid w:val="00386EE9"/>
    <w:rsid w:val="003937EC"/>
    <w:rsid w:val="0039470D"/>
    <w:rsid w:val="00394EC7"/>
    <w:rsid w:val="00395B07"/>
    <w:rsid w:val="00396341"/>
    <w:rsid w:val="003A08B9"/>
    <w:rsid w:val="003A2522"/>
    <w:rsid w:val="003A5886"/>
    <w:rsid w:val="003B7069"/>
    <w:rsid w:val="003D01DA"/>
    <w:rsid w:val="003D4CEF"/>
    <w:rsid w:val="003E1E82"/>
    <w:rsid w:val="003E5AAC"/>
    <w:rsid w:val="003E62E8"/>
    <w:rsid w:val="003F26F9"/>
    <w:rsid w:val="003F3048"/>
    <w:rsid w:val="003F5F52"/>
    <w:rsid w:val="00402935"/>
    <w:rsid w:val="00405C9C"/>
    <w:rsid w:val="00406104"/>
    <w:rsid w:val="00416FAF"/>
    <w:rsid w:val="00425474"/>
    <w:rsid w:val="00426213"/>
    <w:rsid w:val="00426513"/>
    <w:rsid w:val="004301C1"/>
    <w:rsid w:val="00437E13"/>
    <w:rsid w:val="0044207C"/>
    <w:rsid w:val="004512E6"/>
    <w:rsid w:val="00464519"/>
    <w:rsid w:val="004663F7"/>
    <w:rsid w:val="0046771F"/>
    <w:rsid w:val="00482770"/>
    <w:rsid w:val="004901BE"/>
    <w:rsid w:val="00492BFF"/>
    <w:rsid w:val="00492CF9"/>
    <w:rsid w:val="00492FDD"/>
    <w:rsid w:val="00495964"/>
    <w:rsid w:val="00496D71"/>
    <w:rsid w:val="00496D9D"/>
    <w:rsid w:val="004A1E39"/>
    <w:rsid w:val="004A2AF4"/>
    <w:rsid w:val="004A2B3A"/>
    <w:rsid w:val="004A2C61"/>
    <w:rsid w:val="004B3EBA"/>
    <w:rsid w:val="004B730F"/>
    <w:rsid w:val="004C4821"/>
    <w:rsid w:val="004D1E49"/>
    <w:rsid w:val="004D4A9A"/>
    <w:rsid w:val="004E30BD"/>
    <w:rsid w:val="004E34E2"/>
    <w:rsid w:val="004F7CF8"/>
    <w:rsid w:val="00507E30"/>
    <w:rsid w:val="00515163"/>
    <w:rsid w:val="00516BC0"/>
    <w:rsid w:val="0052032B"/>
    <w:rsid w:val="00524B2C"/>
    <w:rsid w:val="00530C20"/>
    <w:rsid w:val="00532CBA"/>
    <w:rsid w:val="00540725"/>
    <w:rsid w:val="005532AB"/>
    <w:rsid w:val="00553879"/>
    <w:rsid w:val="00556D43"/>
    <w:rsid w:val="00566EB1"/>
    <w:rsid w:val="00575CE5"/>
    <w:rsid w:val="00576476"/>
    <w:rsid w:val="005834E9"/>
    <w:rsid w:val="0058362A"/>
    <w:rsid w:val="00591DDC"/>
    <w:rsid w:val="005921F3"/>
    <w:rsid w:val="005923AD"/>
    <w:rsid w:val="0059688B"/>
    <w:rsid w:val="00596CEF"/>
    <w:rsid w:val="00597B62"/>
    <w:rsid w:val="005A702D"/>
    <w:rsid w:val="005B06D8"/>
    <w:rsid w:val="005B0D56"/>
    <w:rsid w:val="005B3A25"/>
    <w:rsid w:val="005B73E4"/>
    <w:rsid w:val="005C031E"/>
    <w:rsid w:val="005C3FF6"/>
    <w:rsid w:val="005D1C1B"/>
    <w:rsid w:val="005D58C4"/>
    <w:rsid w:val="005D6DC0"/>
    <w:rsid w:val="005E62A1"/>
    <w:rsid w:val="0060081B"/>
    <w:rsid w:val="00602B82"/>
    <w:rsid w:val="00621401"/>
    <w:rsid w:val="00632351"/>
    <w:rsid w:val="00637019"/>
    <w:rsid w:val="00644165"/>
    <w:rsid w:val="00646149"/>
    <w:rsid w:val="00647C18"/>
    <w:rsid w:val="0065132D"/>
    <w:rsid w:val="00651693"/>
    <w:rsid w:val="00651EBB"/>
    <w:rsid w:val="00653C76"/>
    <w:rsid w:val="006577D2"/>
    <w:rsid w:val="00657E2F"/>
    <w:rsid w:val="006622E0"/>
    <w:rsid w:val="00681C07"/>
    <w:rsid w:val="00682F2D"/>
    <w:rsid w:val="006854DD"/>
    <w:rsid w:val="00687AF6"/>
    <w:rsid w:val="00692706"/>
    <w:rsid w:val="006A2ED4"/>
    <w:rsid w:val="006B189B"/>
    <w:rsid w:val="006B275E"/>
    <w:rsid w:val="006B3B2D"/>
    <w:rsid w:val="006B76C8"/>
    <w:rsid w:val="006D5E11"/>
    <w:rsid w:val="006D791A"/>
    <w:rsid w:val="006E7A1B"/>
    <w:rsid w:val="006F0DF7"/>
    <w:rsid w:val="006F7532"/>
    <w:rsid w:val="00710027"/>
    <w:rsid w:val="007105B1"/>
    <w:rsid w:val="00713D68"/>
    <w:rsid w:val="0071499D"/>
    <w:rsid w:val="007172DC"/>
    <w:rsid w:val="0072599C"/>
    <w:rsid w:val="00730520"/>
    <w:rsid w:val="007334A9"/>
    <w:rsid w:val="007403ED"/>
    <w:rsid w:val="00752227"/>
    <w:rsid w:val="00752F6A"/>
    <w:rsid w:val="00761E5C"/>
    <w:rsid w:val="00770370"/>
    <w:rsid w:val="00770FCB"/>
    <w:rsid w:val="00773056"/>
    <w:rsid w:val="00776080"/>
    <w:rsid w:val="007832A7"/>
    <w:rsid w:val="00790092"/>
    <w:rsid w:val="0079609B"/>
    <w:rsid w:val="007A5E2C"/>
    <w:rsid w:val="007D3679"/>
    <w:rsid w:val="007D3BA4"/>
    <w:rsid w:val="007D61C5"/>
    <w:rsid w:val="007D74A4"/>
    <w:rsid w:val="007E1117"/>
    <w:rsid w:val="007E1EB6"/>
    <w:rsid w:val="007E60EC"/>
    <w:rsid w:val="007F1120"/>
    <w:rsid w:val="007F48B4"/>
    <w:rsid w:val="007F764A"/>
    <w:rsid w:val="008107B8"/>
    <w:rsid w:val="0081478C"/>
    <w:rsid w:val="008158A8"/>
    <w:rsid w:val="00823109"/>
    <w:rsid w:val="00823FA5"/>
    <w:rsid w:val="00827EDD"/>
    <w:rsid w:val="00831A1F"/>
    <w:rsid w:val="00837657"/>
    <w:rsid w:val="008709B8"/>
    <w:rsid w:val="00873C68"/>
    <w:rsid w:val="00874958"/>
    <w:rsid w:val="00881434"/>
    <w:rsid w:val="008823C1"/>
    <w:rsid w:val="00890989"/>
    <w:rsid w:val="008A259B"/>
    <w:rsid w:val="008A3CEC"/>
    <w:rsid w:val="008B1347"/>
    <w:rsid w:val="008B204F"/>
    <w:rsid w:val="008C1A68"/>
    <w:rsid w:val="008C567A"/>
    <w:rsid w:val="008E09C8"/>
    <w:rsid w:val="008E444C"/>
    <w:rsid w:val="008F5403"/>
    <w:rsid w:val="00900C34"/>
    <w:rsid w:val="00911286"/>
    <w:rsid w:val="009122B7"/>
    <w:rsid w:val="0092007A"/>
    <w:rsid w:val="0093123A"/>
    <w:rsid w:val="00934092"/>
    <w:rsid w:val="0093682A"/>
    <w:rsid w:val="00941A48"/>
    <w:rsid w:val="00943023"/>
    <w:rsid w:val="00944ED7"/>
    <w:rsid w:val="00945E23"/>
    <w:rsid w:val="00945E8E"/>
    <w:rsid w:val="00955ABE"/>
    <w:rsid w:val="00957705"/>
    <w:rsid w:val="00963C3E"/>
    <w:rsid w:val="009800A3"/>
    <w:rsid w:val="00980A2E"/>
    <w:rsid w:val="009850CB"/>
    <w:rsid w:val="009860D8"/>
    <w:rsid w:val="00993023"/>
    <w:rsid w:val="009A56B1"/>
    <w:rsid w:val="009B1892"/>
    <w:rsid w:val="009B60D3"/>
    <w:rsid w:val="009C0B57"/>
    <w:rsid w:val="009C11C2"/>
    <w:rsid w:val="009D5E68"/>
    <w:rsid w:val="009E0B21"/>
    <w:rsid w:val="009E4B8E"/>
    <w:rsid w:val="009F0773"/>
    <w:rsid w:val="009F17A4"/>
    <w:rsid w:val="009F1A2D"/>
    <w:rsid w:val="009F25DC"/>
    <w:rsid w:val="009F2954"/>
    <w:rsid w:val="009F4F6C"/>
    <w:rsid w:val="009F4FE4"/>
    <w:rsid w:val="009F79EB"/>
    <w:rsid w:val="00A01669"/>
    <w:rsid w:val="00A04B52"/>
    <w:rsid w:val="00A06A9D"/>
    <w:rsid w:val="00A10765"/>
    <w:rsid w:val="00A1571A"/>
    <w:rsid w:val="00A246F6"/>
    <w:rsid w:val="00A403D4"/>
    <w:rsid w:val="00A405B4"/>
    <w:rsid w:val="00A44882"/>
    <w:rsid w:val="00A5743E"/>
    <w:rsid w:val="00A577F3"/>
    <w:rsid w:val="00A66B88"/>
    <w:rsid w:val="00A7501E"/>
    <w:rsid w:val="00A75A62"/>
    <w:rsid w:val="00A76112"/>
    <w:rsid w:val="00A77848"/>
    <w:rsid w:val="00A77AF1"/>
    <w:rsid w:val="00A80829"/>
    <w:rsid w:val="00A809F7"/>
    <w:rsid w:val="00A80D95"/>
    <w:rsid w:val="00A82C48"/>
    <w:rsid w:val="00A86A23"/>
    <w:rsid w:val="00A86B64"/>
    <w:rsid w:val="00A90945"/>
    <w:rsid w:val="00A910C9"/>
    <w:rsid w:val="00A94D33"/>
    <w:rsid w:val="00AB0ADE"/>
    <w:rsid w:val="00AB3D3E"/>
    <w:rsid w:val="00AB46FA"/>
    <w:rsid w:val="00AD4235"/>
    <w:rsid w:val="00AD74AF"/>
    <w:rsid w:val="00AE528E"/>
    <w:rsid w:val="00AF0ED3"/>
    <w:rsid w:val="00AF5493"/>
    <w:rsid w:val="00AF6492"/>
    <w:rsid w:val="00B079B1"/>
    <w:rsid w:val="00B2272B"/>
    <w:rsid w:val="00B24C3C"/>
    <w:rsid w:val="00B275D3"/>
    <w:rsid w:val="00B359D3"/>
    <w:rsid w:val="00B37834"/>
    <w:rsid w:val="00B40D5D"/>
    <w:rsid w:val="00B417EC"/>
    <w:rsid w:val="00B41FC6"/>
    <w:rsid w:val="00B425A1"/>
    <w:rsid w:val="00B4448A"/>
    <w:rsid w:val="00B61D5D"/>
    <w:rsid w:val="00B67FE8"/>
    <w:rsid w:val="00B72ED3"/>
    <w:rsid w:val="00BA3377"/>
    <w:rsid w:val="00BA63EC"/>
    <w:rsid w:val="00BA6447"/>
    <w:rsid w:val="00BA65FE"/>
    <w:rsid w:val="00BB5780"/>
    <w:rsid w:val="00BC3DEE"/>
    <w:rsid w:val="00BD0FB8"/>
    <w:rsid w:val="00BD4461"/>
    <w:rsid w:val="00BD7D7A"/>
    <w:rsid w:val="00BE38BA"/>
    <w:rsid w:val="00BE5FC6"/>
    <w:rsid w:val="00BF07C6"/>
    <w:rsid w:val="00BF2ECA"/>
    <w:rsid w:val="00C21BE9"/>
    <w:rsid w:val="00C2459B"/>
    <w:rsid w:val="00C331A8"/>
    <w:rsid w:val="00C3499F"/>
    <w:rsid w:val="00C353CB"/>
    <w:rsid w:val="00C4557E"/>
    <w:rsid w:val="00C52111"/>
    <w:rsid w:val="00C55209"/>
    <w:rsid w:val="00C5695D"/>
    <w:rsid w:val="00C63D73"/>
    <w:rsid w:val="00C64D9B"/>
    <w:rsid w:val="00C707BE"/>
    <w:rsid w:val="00C8351E"/>
    <w:rsid w:val="00C8672B"/>
    <w:rsid w:val="00C96A28"/>
    <w:rsid w:val="00CA61FF"/>
    <w:rsid w:val="00CA65D6"/>
    <w:rsid w:val="00CA6826"/>
    <w:rsid w:val="00CA6AB2"/>
    <w:rsid w:val="00CB618F"/>
    <w:rsid w:val="00CC1303"/>
    <w:rsid w:val="00CC2822"/>
    <w:rsid w:val="00CC446A"/>
    <w:rsid w:val="00CC6E83"/>
    <w:rsid w:val="00CD29F2"/>
    <w:rsid w:val="00CD382D"/>
    <w:rsid w:val="00CD3A01"/>
    <w:rsid w:val="00CF2AEA"/>
    <w:rsid w:val="00CF6A4A"/>
    <w:rsid w:val="00D00F30"/>
    <w:rsid w:val="00D01165"/>
    <w:rsid w:val="00D13A38"/>
    <w:rsid w:val="00D2074A"/>
    <w:rsid w:val="00D379FF"/>
    <w:rsid w:val="00D51614"/>
    <w:rsid w:val="00D63398"/>
    <w:rsid w:val="00D63FE6"/>
    <w:rsid w:val="00D71CB6"/>
    <w:rsid w:val="00D742E3"/>
    <w:rsid w:val="00D80C73"/>
    <w:rsid w:val="00D82C96"/>
    <w:rsid w:val="00D92045"/>
    <w:rsid w:val="00DA0BEE"/>
    <w:rsid w:val="00DB02CD"/>
    <w:rsid w:val="00DB02D4"/>
    <w:rsid w:val="00DB6D05"/>
    <w:rsid w:val="00DB7519"/>
    <w:rsid w:val="00DC2849"/>
    <w:rsid w:val="00DC40F7"/>
    <w:rsid w:val="00DC6444"/>
    <w:rsid w:val="00DE0585"/>
    <w:rsid w:val="00DE1DF6"/>
    <w:rsid w:val="00DE28CA"/>
    <w:rsid w:val="00DE3715"/>
    <w:rsid w:val="00DE7E7B"/>
    <w:rsid w:val="00DF3142"/>
    <w:rsid w:val="00DF76D3"/>
    <w:rsid w:val="00E033C0"/>
    <w:rsid w:val="00E057F2"/>
    <w:rsid w:val="00E110E3"/>
    <w:rsid w:val="00E12AA7"/>
    <w:rsid w:val="00E2351E"/>
    <w:rsid w:val="00E24A13"/>
    <w:rsid w:val="00E34F21"/>
    <w:rsid w:val="00E35CAE"/>
    <w:rsid w:val="00E37578"/>
    <w:rsid w:val="00E43FBC"/>
    <w:rsid w:val="00E515E4"/>
    <w:rsid w:val="00E51E91"/>
    <w:rsid w:val="00E5429C"/>
    <w:rsid w:val="00E561B5"/>
    <w:rsid w:val="00E5641A"/>
    <w:rsid w:val="00E57003"/>
    <w:rsid w:val="00E6152D"/>
    <w:rsid w:val="00E651DC"/>
    <w:rsid w:val="00E65F49"/>
    <w:rsid w:val="00E672C8"/>
    <w:rsid w:val="00E72902"/>
    <w:rsid w:val="00E80E53"/>
    <w:rsid w:val="00E91146"/>
    <w:rsid w:val="00E923EF"/>
    <w:rsid w:val="00E97C2C"/>
    <w:rsid w:val="00EA12F8"/>
    <w:rsid w:val="00EA71C0"/>
    <w:rsid w:val="00EB0D74"/>
    <w:rsid w:val="00EB3A84"/>
    <w:rsid w:val="00EB516D"/>
    <w:rsid w:val="00EB5F15"/>
    <w:rsid w:val="00ED3930"/>
    <w:rsid w:val="00ED5116"/>
    <w:rsid w:val="00ED78EA"/>
    <w:rsid w:val="00EE20E0"/>
    <w:rsid w:val="00EE5173"/>
    <w:rsid w:val="00EE7457"/>
    <w:rsid w:val="00EF2AD5"/>
    <w:rsid w:val="00EF4F40"/>
    <w:rsid w:val="00EF533A"/>
    <w:rsid w:val="00F02890"/>
    <w:rsid w:val="00F048BB"/>
    <w:rsid w:val="00F051D3"/>
    <w:rsid w:val="00F1043B"/>
    <w:rsid w:val="00F12B8D"/>
    <w:rsid w:val="00F12FBD"/>
    <w:rsid w:val="00F16BAE"/>
    <w:rsid w:val="00F25F75"/>
    <w:rsid w:val="00F279C0"/>
    <w:rsid w:val="00F27B5E"/>
    <w:rsid w:val="00F31613"/>
    <w:rsid w:val="00F37A3F"/>
    <w:rsid w:val="00F4107D"/>
    <w:rsid w:val="00F51739"/>
    <w:rsid w:val="00F522D4"/>
    <w:rsid w:val="00F53E0F"/>
    <w:rsid w:val="00F545F7"/>
    <w:rsid w:val="00F55F2F"/>
    <w:rsid w:val="00F61D90"/>
    <w:rsid w:val="00F63149"/>
    <w:rsid w:val="00F9251C"/>
    <w:rsid w:val="00F9282D"/>
    <w:rsid w:val="00F9394C"/>
    <w:rsid w:val="00FA4111"/>
    <w:rsid w:val="00FA449A"/>
    <w:rsid w:val="00FA64AE"/>
    <w:rsid w:val="00FA75E2"/>
    <w:rsid w:val="00FB004D"/>
    <w:rsid w:val="00FB1453"/>
    <w:rsid w:val="00FB2383"/>
    <w:rsid w:val="00FB3330"/>
    <w:rsid w:val="00FB78EA"/>
    <w:rsid w:val="00FC1230"/>
    <w:rsid w:val="00FC3280"/>
    <w:rsid w:val="00FC63F8"/>
    <w:rsid w:val="00FC77E1"/>
    <w:rsid w:val="00FC7ED2"/>
    <w:rsid w:val="00FD0356"/>
    <w:rsid w:val="00FE6B30"/>
    <w:rsid w:val="00FF1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028DD"/>
  <w15:chartTrackingRefBased/>
  <w15:docId w15:val="{D33B85C4-45DC-A340-B025-D11065F6B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7F3"/>
    <w:pPr>
      <w:tabs>
        <w:tab w:val="center" w:pos="4680"/>
        <w:tab w:val="right" w:pos="9360"/>
      </w:tabs>
    </w:pPr>
  </w:style>
  <w:style w:type="character" w:customStyle="1" w:styleId="HeaderChar">
    <w:name w:val="Header Char"/>
    <w:basedOn w:val="DefaultParagraphFont"/>
    <w:link w:val="Header"/>
    <w:uiPriority w:val="99"/>
    <w:rsid w:val="00A577F3"/>
  </w:style>
  <w:style w:type="paragraph" w:styleId="Footer">
    <w:name w:val="footer"/>
    <w:basedOn w:val="Normal"/>
    <w:link w:val="FooterChar"/>
    <w:uiPriority w:val="99"/>
    <w:unhideWhenUsed/>
    <w:rsid w:val="00A577F3"/>
    <w:pPr>
      <w:tabs>
        <w:tab w:val="center" w:pos="4680"/>
        <w:tab w:val="right" w:pos="9360"/>
      </w:tabs>
    </w:pPr>
  </w:style>
  <w:style w:type="character" w:customStyle="1" w:styleId="FooterChar">
    <w:name w:val="Footer Char"/>
    <w:basedOn w:val="DefaultParagraphFont"/>
    <w:link w:val="Footer"/>
    <w:uiPriority w:val="99"/>
    <w:rsid w:val="00A577F3"/>
  </w:style>
  <w:style w:type="paragraph" w:styleId="NormalWeb">
    <w:name w:val="Normal (Web)"/>
    <w:basedOn w:val="Normal"/>
    <w:uiPriority w:val="99"/>
    <w:semiHidden/>
    <w:unhideWhenUsed/>
    <w:rsid w:val="00A577F3"/>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577F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577F3"/>
    <w:rPr>
      <w:rFonts w:ascii="Times New Roman" w:hAnsi="Times New Roman" w:cs="Times New Roman"/>
      <w:sz w:val="18"/>
      <w:szCs w:val="18"/>
    </w:rPr>
  </w:style>
  <w:style w:type="character" w:styleId="CommentReference">
    <w:name w:val="annotation reference"/>
    <w:rsid w:val="005C031E"/>
    <w:rPr>
      <w:sz w:val="16"/>
      <w:szCs w:val="16"/>
    </w:rPr>
  </w:style>
  <w:style w:type="paragraph" w:styleId="CommentText">
    <w:name w:val="annotation text"/>
    <w:basedOn w:val="Normal"/>
    <w:link w:val="CommentTextChar"/>
    <w:rsid w:val="005C031E"/>
    <w:pPr>
      <w:suppressAutoHyphens/>
    </w:pPr>
    <w:rPr>
      <w:rFonts w:ascii="Times New Roman" w:eastAsia="Times New Roman" w:hAnsi="Times New Roman" w:cs="Times New Roman"/>
      <w:sz w:val="20"/>
      <w:szCs w:val="20"/>
      <w:lang w:eastAsia="ar-SA"/>
    </w:rPr>
  </w:style>
  <w:style w:type="character" w:customStyle="1" w:styleId="CommentTextChar">
    <w:name w:val="Comment Text Char"/>
    <w:basedOn w:val="DefaultParagraphFont"/>
    <w:link w:val="CommentText"/>
    <w:rsid w:val="005C031E"/>
    <w:rPr>
      <w:rFonts w:ascii="Times New Roman" w:eastAsia="Times New Roman" w:hAnsi="Times New Roman" w:cs="Times New Roman"/>
      <w:sz w:val="20"/>
      <w:szCs w:val="20"/>
      <w:lang w:eastAsia="ar-SA"/>
    </w:rPr>
  </w:style>
  <w:style w:type="paragraph" w:styleId="ListParagraph">
    <w:name w:val="List Paragraph"/>
    <w:basedOn w:val="Normal"/>
    <w:uiPriority w:val="34"/>
    <w:qFormat/>
    <w:rsid w:val="00495964"/>
    <w:pPr>
      <w:ind w:left="720"/>
      <w:contextualSpacing/>
    </w:pPr>
  </w:style>
  <w:style w:type="paragraph" w:styleId="Caption">
    <w:name w:val="caption"/>
    <w:basedOn w:val="Normal"/>
    <w:next w:val="Normal"/>
    <w:uiPriority w:val="35"/>
    <w:unhideWhenUsed/>
    <w:qFormat/>
    <w:rsid w:val="00C3499F"/>
    <w:pPr>
      <w:spacing w:after="200"/>
    </w:pPr>
    <w:rPr>
      <w:i/>
      <w:iCs/>
      <w:color w:val="44546A" w:themeColor="text2"/>
      <w:sz w:val="18"/>
      <w:szCs w:val="18"/>
    </w:rPr>
  </w:style>
  <w:style w:type="character" w:styleId="Hyperlink">
    <w:name w:val="Hyperlink"/>
    <w:basedOn w:val="DefaultParagraphFont"/>
    <w:uiPriority w:val="99"/>
    <w:semiHidden/>
    <w:unhideWhenUsed/>
    <w:rsid w:val="00FC1230"/>
    <w:rPr>
      <w:color w:val="0000FF"/>
      <w:u w:val="single"/>
    </w:rPr>
  </w:style>
  <w:style w:type="paragraph" w:styleId="CommentSubject">
    <w:name w:val="annotation subject"/>
    <w:basedOn w:val="CommentText"/>
    <w:next w:val="CommentText"/>
    <w:link w:val="CommentSubjectChar"/>
    <w:uiPriority w:val="99"/>
    <w:semiHidden/>
    <w:unhideWhenUsed/>
    <w:rsid w:val="007E1117"/>
    <w:pPr>
      <w:suppressAutoHyphens w:val="0"/>
    </w:pPr>
    <w:rPr>
      <w:rFonts w:asciiTheme="minorHAnsi" w:eastAsiaTheme="minorEastAsia" w:hAnsiTheme="minorHAnsi" w:cstheme="minorBidi"/>
      <w:b/>
      <w:bCs/>
      <w:lang w:eastAsia="zh-CN"/>
    </w:rPr>
  </w:style>
  <w:style w:type="character" w:customStyle="1" w:styleId="CommentSubjectChar">
    <w:name w:val="Comment Subject Char"/>
    <w:basedOn w:val="CommentTextChar"/>
    <w:link w:val="CommentSubject"/>
    <w:uiPriority w:val="99"/>
    <w:semiHidden/>
    <w:rsid w:val="007E1117"/>
    <w:rPr>
      <w:rFonts w:ascii="Times New Roman" w:eastAsia="Times New Roman" w:hAnsi="Times New Roman" w:cs="Times New Roman"/>
      <w:b/>
      <w:bCs/>
      <w:sz w:val="20"/>
      <w:szCs w:val="20"/>
      <w:lang w:eastAsia="ar-SA"/>
    </w:rPr>
  </w:style>
  <w:style w:type="character" w:styleId="PageNumber">
    <w:name w:val="page number"/>
    <w:basedOn w:val="DefaultParagraphFont"/>
    <w:uiPriority w:val="99"/>
    <w:semiHidden/>
    <w:unhideWhenUsed/>
    <w:rsid w:val="00890989"/>
  </w:style>
  <w:style w:type="paragraph" w:styleId="Revision">
    <w:name w:val="Revision"/>
    <w:hidden/>
    <w:uiPriority w:val="99"/>
    <w:semiHidden/>
    <w:rsid w:val="006577D2"/>
  </w:style>
  <w:style w:type="table" w:styleId="TableGrid">
    <w:name w:val="Table Grid"/>
    <w:basedOn w:val="TableNormal"/>
    <w:uiPriority w:val="39"/>
    <w:rsid w:val="00437E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64019">
      <w:bodyDiv w:val="1"/>
      <w:marLeft w:val="0"/>
      <w:marRight w:val="0"/>
      <w:marTop w:val="0"/>
      <w:marBottom w:val="0"/>
      <w:divBdr>
        <w:top w:val="none" w:sz="0" w:space="0" w:color="auto"/>
        <w:left w:val="none" w:sz="0" w:space="0" w:color="auto"/>
        <w:bottom w:val="none" w:sz="0" w:space="0" w:color="auto"/>
        <w:right w:val="none" w:sz="0" w:space="0" w:color="auto"/>
      </w:divBdr>
    </w:div>
    <w:div w:id="11225764">
      <w:bodyDiv w:val="1"/>
      <w:marLeft w:val="0"/>
      <w:marRight w:val="0"/>
      <w:marTop w:val="0"/>
      <w:marBottom w:val="0"/>
      <w:divBdr>
        <w:top w:val="none" w:sz="0" w:space="0" w:color="auto"/>
        <w:left w:val="none" w:sz="0" w:space="0" w:color="auto"/>
        <w:bottom w:val="none" w:sz="0" w:space="0" w:color="auto"/>
        <w:right w:val="none" w:sz="0" w:space="0" w:color="auto"/>
      </w:divBdr>
      <w:divsChild>
        <w:div w:id="267931444">
          <w:marLeft w:val="0"/>
          <w:marRight w:val="0"/>
          <w:marTop w:val="0"/>
          <w:marBottom w:val="0"/>
          <w:divBdr>
            <w:top w:val="none" w:sz="0" w:space="0" w:color="auto"/>
            <w:left w:val="none" w:sz="0" w:space="0" w:color="auto"/>
            <w:bottom w:val="none" w:sz="0" w:space="0" w:color="auto"/>
            <w:right w:val="none" w:sz="0" w:space="0" w:color="auto"/>
          </w:divBdr>
          <w:divsChild>
            <w:div w:id="52583944">
              <w:marLeft w:val="0"/>
              <w:marRight w:val="0"/>
              <w:marTop w:val="0"/>
              <w:marBottom w:val="0"/>
              <w:divBdr>
                <w:top w:val="none" w:sz="0" w:space="0" w:color="auto"/>
                <w:left w:val="none" w:sz="0" w:space="0" w:color="auto"/>
                <w:bottom w:val="none" w:sz="0" w:space="0" w:color="auto"/>
                <w:right w:val="none" w:sz="0" w:space="0" w:color="auto"/>
              </w:divBdr>
              <w:divsChild>
                <w:div w:id="6185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6980">
          <w:marLeft w:val="0"/>
          <w:marRight w:val="0"/>
          <w:marTop w:val="0"/>
          <w:marBottom w:val="0"/>
          <w:divBdr>
            <w:top w:val="none" w:sz="0" w:space="0" w:color="auto"/>
            <w:left w:val="none" w:sz="0" w:space="0" w:color="auto"/>
            <w:bottom w:val="none" w:sz="0" w:space="0" w:color="auto"/>
            <w:right w:val="none" w:sz="0" w:space="0" w:color="auto"/>
          </w:divBdr>
          <w:divsChild>
            <w:div w:id="247471125">
              <w:marLeft w:val="0"/>
              <w:marRight w:val="0"/>
              <w:marTop w:val="0"/>
              <w:marBottom w:val="0"/>
              <w:divBdr>
                <w:top w:val="none" w:sz="0" w:space="0" w:color="auto"/>
                <w:left w:val="none" w:sz="0" w:space="0" w:color="auto"/>
                <w:bottom w:val="none" w:sz="0" w:space="0" w:color="auto"/>
                <w:right w:val="none" w:sz="0" w:space="0" w:color="auto"/>
              </w:divBdr>
              <w:divsChild>
                <w:div w:id="4524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7252">
      <w:bodyDiv w:val="1"/>
      <w:marLeft w:val="0"/>
      <w:marRight w:val="0"/>
      <w:marTop w:val="0"/>
      <w:marBottom w:val="0"/>
      <w:divBdr>
        <w:top w:val="none" w:sz="0" w:space="0" w:color="auto"/>
        <w:left w:val="none" w:sz="0" w:space="0" w:color="auto"/>
        <w:bottom w:val="none" w:sz="0" w:space="0" w:color="auto"/>
        <w:right w:val="none" w:sz="0" w:space="0" w:color="auto"/>
      </w:divBdr>
    </w:div>
    <w:div w:id="159736861">
      <w:bodyDiv w:val="1"/>
      <w:marLeft w:val="0"/>
      <w:marRight w:val="0"/>
      <w:marTop w:val="0"/>
      <w:marBottom w:val="0"/>
      <w:divBdr>
        <w:top w:val="none" w:sz="0" w:space="0" w:color="auto"/>
        <w:left w:val="none" w:sz="0" w:space="0" w:color="auto"/>
        <w:bottom w:val="none" w:sz="0" w:space="0" w:color="auto"/>
        <w:right w:val="none" w:sz="0" w:space="0" w:color="auto"/>
      </w:divBdr>
    </w:div>
    <w:div w:id="276717242">
      <w:bodyDiv w:val="1"/>
      <w:marLeft w:val="0"/>
      <w:marRight w:val="0"/>
      <w:marTop w:val="0"/>
      <w:marBottom w:val="0"/>
      <w:divBdr>
        <w:top w:val="none" w:sz="0" w:space="0" w:color="auto"/>
        <w:left w:val="none" w:sz="0" w:space="0" w:color="auto"/>
        <w:bottom w:val="none" w:sz="0" w:space="0" w:color="auto"/>
        <w:right w:val="none" w:sz="0" w:space="0" w:color="auto"/>
      </w:divBdr>
    </w:div>
    <w:div w:id="277880236">
      <w:bodyDiv w:val="1"/>
      <w:marLeft w:val="0"/>
      <w:marRight w:val="0"/>
      <w:marTop w:val="0"/>
      <w:marBottom w:val="0"/>
      <w:divBdr>
        <w:top w:val="none" w:sz="0" w:space="0" w:color="auto"/>
        <w:left w:val="none" w:sz="0" w:space="0" w:color="auto"/>
        <w:bottom w:val="none" w:sz="0" w:space="0" w:color="auto"/>
        <w:right w:val="none" w:sz="0" w:space="0" w:color="auto"/>
      </w:divBdr>
    </w:div>
    <w:div w:id="284888666">
      <w:bodyDiv w:val="1"/>
      <w:marLeft w:val="0"/>
      <w:marRight w:val="0"/>
      <w:marTop w:val="0"/>
      <w:marBottom w:val="0"/>
      <w:divBdr>
        <w:top w:val="none" w:sz="0" w:space="0" w:color="auto"/>
        <w:left w:val="none" w:sz="0" w:space="0" w:color="auto"/>
        <w:bottom w:val="none" w:sz="0" w:space="0" w:color="auto"/>
        <w:right w:val="none" w:sz="0" w:space="0" w:color="auto"/>
      </w:divBdr>
      <w:divsChild>
        <w:div w:id="1567758645">
          <w:marLeft w:val="0"/>
          <w:marRight w:val="0"/>
          <w:marTop w:val="0"/>
          <w:marBottom w:val="0"/>
          <w:divBdr>
            <w:top w:val="none" w:sz="0" w:space="0" w:color="auto"/>
            <w:left w:val="none" w:sz="0" w:space="0" w:color="auto"/>
            <w:bottom w:val="none" w:sz="0" w:space="0" w:color="auto"/>
            <w:right w:val="none" w:sz="0" w:space="0" w:color="auto"/>
          </w:divBdr>
          <w:divsChild>
            <w:div w:id="1074162574">
              <w:marLeft w:val="0"/>
              <w:marRight w:val="0"/>
              <w:marTop w:val="0"/>
              <w:marBottom w:val="0"/>
              <w:divBdr>
                <w:top w:val="none" w:sz="0" w:space="0" w:color="auto"/>
                <w:left w:val="none" w:sz="0" w:space="0" w:color="auto"/>
                <w:bottom w:val="none" w:sz="0" w:space="0" w:color="auto"/>
                <w:right w:val="none" w:sz="0" w:space="0" w:color="auto"/>
              </w:divBdr>
              <w:divsChild>
                <w:div w:id="207469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47438">
      <w:bodyDiv w:val="1"/>
      <w:marLeft w:val="0"/>
      <w:marRight w:val="0"/>
      <w:marTop w:val="0"/>
      <w:marBottom w:val="0"/>
      <w:divBdr>
        <w:top w:val="none" w:sz="0" w:space="0" w:color="auto"/>
        <w:left w:val="none" w:sz="0" w:space="0" w:color="auto"/>
        <w:bottom w:val="none" w:sz="0" w:space="0" w:color="auto"/>
        <w:right w:val="none" w:sz="0" w:space="0" w:color="auto"/>
      </w:divBdr>
      <w:divsChild>
        <w:div w:id="695231181">
          <w:marLeft w:val="0"/>
          <w:marRight w:val="0"/>
          <w:marTop w:val="0"/>
          <w:marBottom w:val="0"/>
          <w:divBdr>
            <w:top w:val="none" w:sz="0" w:space="0" w:color="auto"/>
            <w:left w:val="none" w:sz="0" w:space="0" w:color="auto"/>
            <w:bottom w:val="none" w:sz="0" w:space="0" w:color="auto"/>
            <w:right w:val="none" w:sz="0" w:space="0" w:color="auto"/>
          </w:divBdr>
        </w:div>
        <w:div w:id="178858938">
          <w:marLeft w:val="0"/>
          <w:marRight w:val="0"/>
          <w:marTop w:val="0"/>
          <w:marBottom w:val="0"/>
          <w:divBdr>
            <w:top w:val="none" w:sz="0" w:space="0" w:color="auto"/>
            <w:left w:val="none" w:sz="0" w:space="0" w:color="auto"/>
            <w:bottom w:val="none" w:sz="0" w:space="0" w:color="auto"/>
            <w:right w:val="none" w:sz="0" w:space="0" w:color="auto"/>
          </w:divBdr>
        </w:div>
        <w:div w:id="469329623">
          <w:marLeft w:val="0"/>
          <w:marRight w:val="0"/>
          <w:marTop w:val="0"/>
          <w:marBottom w:val="0"/>
          <w:divBdr>
            <w:top w:val="none" w:sz="0" w:space="0" w:color="auto"/>
            <w:left w:val="none" w:sz="0" w:space="0" w:color="auto"/>
            <w:bottom w:val="none" w:sz="0" w:space="0" w:color="auto"/>
            <w:right w:val="none" w:sz="0" w:space="0" w:color="auto"/>
          </w:divBdr>
        </w:div>
        <w:div w:id="1754862110">
          <w:marLeft w:val="0"/>
          <w:marRight w:val="0"/>
          <w:marTop w:val="0"/>
          <w:marBottom w:val="0"/>
          <w:divBdr>
            <w:top w:val="none" w:sz="0" w:space="0" w:color="auto"/>
            <w:left w:val="none" w:sz="0" w:space="0" w:color="auto"/>
            <w:bottom w:val="none" w:sz="0" w:space="0" w:color="auto"/>
            <w:right w:val="none" w:sz="0" w:space="0" w:color="auto"/>
          </w:divBdr>
        </w:div>
        <w:div w:id="616371349">
          <w:marLeft w:val="0"/>
          <w:marRight w:val="0"/>
          <w:marTop w:val="0"/>
          <w:marBottom w:val="0"/>
          <w:divBdr>
            <w:top w:val="none" w:sz="0" w:space="0" w:color="auto"/>
            <w:left w:val="none" w:sz="0" w:space="0" w:color="auto"/>
            <w:bottom w:val="none" w:sz="0" w:space="0" w:color="auto"/>
            <w:right w:val="none" w:sz="0" w:space="0" w:color="auto"/>
          </w:divBdr>
        </w:div>
      </w:divsChild>
    </w:div>
    <w:div w:id="376322651">
      <w:bodyDiv w:val="1"/>
      <w:marLeft w:val="0"/>
      <w:marRight w:val="0"/>
      <w:marTop w:val="0"/>
      <w:marBottom w:val="0"/>
      <w:divBdr>
        <w:top w:val="none" w:sz="0" w:space="0" w:color="auto"/>
        <w:left w:val="none" w:sz="0" w:space="0" w:color="auto"/>
        <w:bottom w:val="none" w:sz="0" w:space="0" w:color="auto"/>
        <w:right w:val="none" w:sz="0" w:space="0" w:color="auto"/>
      </w:divBdr>
    </w:div>
    <w:div w:id="382096838">
      <w:bodyDiv w:val="1"/>
      <w:marLeft w:val="0"/>
      <w:marRight w:val="0"/>
      <w:marTop w:val="0"/>
      <w:marBottom w:val="0"/>
      <w:divBdr>
        <w:top w:val="none" w:sz="0" w:space="0" w:color="auto"/>
        <w:left w:val="none" w:sz="0" w:space="0" w:color="auto"/>
        <w:bottom w:val="none" w:sz="0" w:space="0" w:color="auto"/>
        <w:right w:val="none" w:sz="0" w:space="0" w:color="auto"/>
      </w:divBdr>
    </w:div>
    <w:div w:id="388236761">
      <w:bodyDiv w:val="1"/>
      <w:marLeft w:val="0"/>
      <w:marRight w:val="0"/>
      <w:marTop w:val="0"/>
      <w:marBottom w:val="0"/>
      <w:divBdr>
        <w:top w:val="none" w:sz="0" w:space="0" w:color="auto"/>
        <w:left w:val="none" w:sz="0" w:space="0" w:color="auto"/>
        <w:bottom w:val="none" w:sz="0" w:space="0" w:color="auto"/>
        <w:right w:val="none" w:sz="0" w:space="0" w:color="auto"/>
      </w:divBdr>
    </w:div>
    <w:div w:id="401950914">
      <w:bodyDiv w:val="1"/>
      <w:marLeft w:val="0"/>
      <w:marRight w:val="0"/>
      <w:marTop w:val="0"/>
      <w:marBottom w:val="0"/>
      <w:divBdr>
        <w:top w:val="none" w:sz="0" w:space="0" w:color="auto"/>
        <w:left w:val="none" w:sz="0" w:space="0" w:color="auto"/>
        <w:bottom w:val="none" w:sz="0" w:space="0" w:color="auto"/>
        <w:right w:val="none" w:sz="0" w:space="0" w:color="auto"/>
      </w:divBdr>
    </w:div>
    <w:div w:id="609701347">
      <w:bodyDiv w:val="1"/>
      <w:marLeft w:val="0"/>
      <w:marRight w:val="0"/>
      <w:marTop w:val="0"/>
      <w:marBottom w:val="0"/>
      <w:divBdr>
        <w:top w:val="none" w:sz="0" w:space="0" w:color="auto"/>
        <w:left w:val="none" w:sz="0" w:space="0" w:color="auto"/>
        <w:bottom w:val="none" w:sz="0" w:space="0" w:color="auto"/>
        <w:right w:val="none" w:sz="0" w:space="0" w:color="auto"/>
      </w:divBdr>
    </w:div>
    <w:div w:id="722172923">
      <w:bodyDiv w:val="1"/>
      <w:marLeft w:val="0"/>
      <w:marRight w:val="0"/>
      <w:marTop w:val="0"/>
      <w:marBottom w:val="0"/>
      <w:divBdr>
        <w:top w:val="none" w:sz="0" w:space="0" w:color="auto"/>
        <w:left w:val="none" w:sz="0" w:space="0" w:color="auto"/>
        <w:bottom w:val="none" w:sz="0" w:space="0" w:color="auto"/>
        <w:right w:val="none" w:sz="0" w:space="0" w:color="auto"/>
      </w:divBdr>
    </w:div>
    <w:div w:id="869607130">
      <w:bodyDiv w:val="1"/>
      <w:marLeft w:val="0"/>
      <w:marRight w:val="0"/>
      <w:marTop w:val="0"/>
      <w:marBottom w:val="0"/>
      <w:divBdr>
        <w:top w:val="none" w:sz="0" w:space="0" w:color="auto"/>
        <w:left w:val="none" w:sz="0" w:space="0" w:color="auto"/>
        <w:bottom w:val="none" w:sz="0" w:space="0" w:color="auto"/>
        <w:right w:val="none" w:sz="0" w:space="0" w:color="auto"/>
      </w:divBdr>
      <w:divsChild>
        <w:div w:id="260064946">
          <w:marLeft w:val="0"/>
          <w:marRight w:val="0"/>
          <w:marTop w:val="0"/>
          <w:marBottom w:val="0"/>
          <w:divBdr>
            <w:top w:val="none" w:sz="0" w:space="0" w:color="auto"/>
            <w:left w:val="none" w:sz="0" w:space="0" w:color="auto"/>
            <w:bottom w:val="none" w:sz="0" w:space="0" w:color="auto"/>
            <w:right w:val="none" w:sz="0" w:space="0" w:color="auto"/>
          </w:divBdr>
          <w:divsChild>
            <w:div w:id="205412142">
              <w:marLeft w:val="0"/>
              <w:marRight w:val="0"/>
              <w:marTop w:val="0"/>
              <w:marBottom w:val="0"/>
              <w:divBdr>
                <w:top w:val="none" w:sz="0" w:space="0" w:color="auto"/>
                <w:left w:val="none" w:sz="0" w:space="0" w:color="auto"/>
                <w:bottom w:val="none" w:sz="0" w:space="0" w:color="auto"/>
                <w:right w:val="none" w:sz="0" w:space="0" w:color="auto"/>
              </w:divBdr>
              <w:divsChild>
                <w:div w:id="63525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62843">
      <w:bodyDiv w:val="1"/>
      <w:marLeft w:val="0"/>
      <w:marRight w:val="0"/>
      <w:marTop w:val="0"/>
      <w:marBottom w:val="0"/>
      <w:divBdr>
        <w:top w:val="none" w:sz="0" w:space="0" w:color="auto"/>
        <w:left w:val="none" w:sz="0" w:space="0" w:color="auto"/>
        <w:bottom w:val="none" w:sz="0" w:space="0" w:color="auto"/>
        <w:right w:val="none" w:sz="0" w:space="0" w:color="auto"/>
      </w:divBdr>
      <w:divsChild>
        <w:div w:id="764615853">
          <w:marLeft w:val="0"/>
          <w:marRight w:val="0"/>
          <w:marTop w:val="0"/>
          <w:marBottom w:val="0"/>
          <w:divBdr>
            <w:top w:val="none" w:sz="0" w:space="0" w:color="auto"/>
            <w:left w:val="none" w:sz="0" w:space="0" w:color="auto"/>
            <w:bottom w:val="none" w:sz="0" w:space="0" w:color="auto"/>
            <w:right w:val="none" w:sz="0" w:space="0" w:color="auto"/>
          </w:divBdr>
          <w:divsChild>
            <w:div w:id="1986736546">
              <w:marLeft w:val="0"/>
              <w:marRight w:val="0"/>
              <w:marTop w:val="0"/>
              <w:marBottom w:val="0"/>
              <w:divBdr>
                <w:top w:val="none" w:sz="0" w:space="0" w:color="auto"/>
                <w:left w:val="none" w:sz="0" w:space="0" w:color="auto"/>
                <w:bottom w:val="none" w:sz="0" w:space="0" w:color="auto"/>
                <w:right w:val="none" w:sz="0" w:space="0" w:color="auto"/>
              </w:divBdr>
              <w:divsChild>
                <w:div w:id="9867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2307">
          <w:marLeft w:val="0"/>
          <w:marRight w:val="0"/>
          <w:marTop w:val="0"/>
          <w:marBottom w:val="0"/>
          <w:divBdr>
            <w:top w:val="none" w:sz="0" w:space="0" w:color="auto"/>
            <w:left w:val="none" w:sz="0" w:space="0" w:color="auto"/>
            <w:bottom w:val="none" w:sz="0" w:space="0" w:color="auto"/>
            <w:right w:val="none" w:sz="0" w:space="0" w:color="auto"/>
          </w:divBdr>
          <w:divsChild>
            <w:div w:id="1757168906">
              <w:marLeft w:val="0"/>
              <w:marRight w:val="0"/>
              <w:marTop w:val="0"/>
              <w:marBottom w:val="0"/>
              <w:divBdr>
                <w:top w:val="none" w:sz="0" w:space="0" w:color="auto"/>
                <w:left w:val="none" w:sz="0" w:space="0" w:color="auto"/>
                <w:bottom w:val="none" w:sz="0" w:space="0" w:color="auto"/>
                <w:right w:val="none" w:sz="0" w:space="0" w:color="auto"/>
              </w:divBdr>
              <w:divsChild>
                <w:div w:id="8427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11504">
      <w:bodyDiv w:val="1"/>
      <w:marLeft w:val="0"/>
      <w:marRight w:val="0"/>
      <w:marTop w:val="0"/>
      <w:marBottom w:val="0"/>
      <w:divBdr>
        <w:top w:val="none" w:sz="0" w:space="0" w:color="auto"/>
        <w:left w:val="none" w:sz="0" w:space="0" w:color="auto"/>
        <w:bottom w:val="none" w:sz="0" w:space="0" w:color="auto"/>
        <w:right w:val="none" w:sz="0" w:space="0" w:color="auto"/>
      </w:divBdr>
    </w:div>
    <w:div w:id="1164734960">
      <w:bodyDiv w:val="1"/>
      <w:marLeft w:val="0"/>
      <w:marRight w:val="0"/>
      <w:marTop w:val="0"/>
      <w:marBottom w:val="0"/>
      <w:divBdr>
        <w:top w:val="none" w:sz="0" w:space="0" w:color="auto"/>
        <w:left w:val="none" w:sz="0" w:space="0" w:color="auto"/>
        <w:bottom w:val="none" w:sz="0" w:space="0" w:color="auto"/>
        <w:right w:val="none" w:sz="0" w:space="0" w:color="auto"/>
      </w:divBdr>
      <w:divsChild>
        <w:div w:id="1230649269">
          <w:marLeft w:val="0"/>
          <w:marRight w:val="0"/>
          <w:marTop w:val="0"/>
          <w:marBottom w:val="0"/>
          <w:divBdr>
            <w:top w:val="none" w:sz="0" w:space="0" w:color="auto"/>
            <w:left w:val="none" w:sz="0" w:space="0" w:color="auto"/>
            <w:bottom w:val="none" w:sz="0" w:space="0" w:color="auto"/>
            <w:right w:val="none" w:sz="0" w:space="0" w:color="auto"/>
          </w:divBdr>
          <w:divsChild>
            <w:div w:id="1310480686">
              <w:marLeft w:val="0"/>
              <w:marRight w:val="0"/>
              <w:marTop w:val="0"/>
              <w:marBottom w:val="0"/>
              <w:divBdr>
                <w:top w:val="none" w:sz="0" w:space="0" w:color="auto"/>
                <w:left w:val="none" w:sz="0" w:space="0" w:color="auto"/>
                <w:bottom w:val="none" w:sz="0" w:space="0" w:color="auto"/>
                <w:right w:val="none" w:sz="0" w:space="0" w:color="auto"/>
              </w:divBdr>
              <w:divsChild>
                <w:div w:id="14912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24283">
      <w:bodyDiv w:val="1"/>
      <w:marLeft w:val="0"/>
      <w:marRight w:val="0"/>
      <w:marTop w:val="0"/>
      <w:marBottom w:val="0"/>
      <w:divBdr>
        <w:top w:val="none" w:sz="0" w:space="0" w:color="auto"/>
        <w:left w:val="none" w:sz="0" w:space="0" w:color="auto"/>
        <w:bottom w:val="none" w:sz="0" w:space="0" w:color="auto"/>
        <w:right w:val="none" w:sz="0" w:space="0" w:color="auto"/>
      </w:divBdr>
      <w:divsChild>
        <w:div w:id="1803034932">
          <w:marLeft w:val="0"/>
          <w:marRight w:val="0"/>
          <w:marTop w:val="0"/>
          <w:marBottom w:val="0"/>
          <w:divBdr>
            <w:top w:val="none" w:sz="0" w:space="0" w:color="auto"/>
            <w:left w:val="none" w:sz="0" w:space="0" w:color="auto"/>
            <w:bottom w:val="none" w:sz="0" w:space="0" w:color="auto"/>
            <w:right w:val="none" w:sz="0" w:space="0" w:color="auto"/>
          </w:divBdr>
        </w:div>
        <w:div w:id="1312176011">
          <w:marLeft w:val="0"/>
          <w:marRight w:val="0"/>
          <w:marTop w:val="0"/>
          <w:marBottom w:val="0"/>
          <w:divBdr>
            <w:top w:val="none" w:sz="0" w:space="0" w:color="auto"/>
            <w:left w:val="none" w:sz="0" w:space="0" w:color="auto"/>
            <w:bottom w:val="none" w:sz="0" w:space="0" w:color="auto"/>
            <w:right w:val="none" w:sz="0" w:space="0" w:color="auto"/>
          </w:divBdr>
        </w:div>
        <w:div w:id="1858932887">
          <w:marLeft w:val="0"/>
          <w:marRight w:val="0"/>
          <w:marTop w:val="0"/>
          <w:marBottom w:val="0"/>
          <w:divBdr>
            <w:top w:val="none" w:sz="0" w:space="0" w:color="auto"/>
            <w:left w:val="none" w:sz="0" w:space="0" w:color="auto"/>
            <w:bottom w:val="none" w:sz="0" w:space="0" w:color="auto"/>
            <w:right w:val="none" w:sz="0" w:space="0" w:color="auto"/>
          </w:divBdr>
        </w:div>
        <w:div w:id="1901011293">
          <w:marLeft w:val="0"/>
          <w:marRight w:val="0"/>
          <w:marTop w:val="0"/>
          <w:marBottom w:val="0"/>
          <w:divBdr>
            <w:top w:val="none" w:sz="0" w:space="0" w:color="auto"/>
            <w:left w:val="none" w:sz="0" w:space="0" w:color="auto"/>
            <w:bottom w:val="none" w:sz="0" w:space="0" w:color="auto"/>
            <w:right w:val="none" w:sz="0" w:space="0" w:color="auto"/>
          </w:divBdr>
        </w:div>
        <w:div w:id="1865555502">
          <w:marLeft w:val="0"/>
          <w:marRight w:val="0"/>
          <w:marTop w:val="0"/>
          <w:marBottom w:val="0"/>
          <w:divBdr>
            <w:top w:val="none" w:sz="0" w:space="0" w:color="auto"/>
            <w:left w:val="none" w:sz="0" w:space="0" w:color="auto"/>
            <w:bottom w:val="none" w:sz="0" w:space="0" w:color="auto"/>
            <w:right w:val="none" w:sz="0" w:space="0" w:color="auto"/>
          </w:divBdr>
        </w:div>
      </w:divsChild>
    </w:div>
    <w:div w:id="1394814665">
      <w:bodyDiv w:val="1"/>
      <w:marLeft w:val="0"/>
      <w:marRight w:val="0"/>
      <w:marTop w:val="0"/>
      <w:marBottom w:val="0"/>
      <w:divBdr>
        <w:top w:val="none" w:sz="0" w:space="0" w:color="auto"/>
        <w:left w:val="none" w:sz="0" w:space="0" w:color="auto"/>
        <w:bottom w:val="none" w:sz="0" w:space="0" w:color="auto"/>
        <w:right w:val="none" w:sz="0" w:space="0" w:color="auto"/>
      </w:divBdr>
      <w:divsChild>
        <w:div w:id="1556744471">
          <w:marLeft w:val="0"/>
          <w:marRight w:val="0"/>
          <w:marTop w:val="0"/>
          <w:marBottom w:val="0"/>
          <w:divBdr>
            <w:top w:val="none" w:sz="0" w:space="0" w:color="auto"/>
            <w:left w:val="none" w:sz="0" w:space="0" w:color="auto"/>
            <w:bottom w:val="none" w:sz="0" w:space="0" w:color="auto"/>
            <w:right w:val="none" w:sz="0" w:space="0" w:color="auto"/>
          </w:divBdr>
          <w:divsChild>
            <w:div w:id="1414207812">
              <w:marLeft w:val="0"/>
              <w:marRight w:val="0"/>
              <w:marTop w:val="0"/>
              <w:marBottom w:val="0"/>
              <w:divBdr>
                <w:top w:val="none" w:sz="0" w:space="0" w:color="auto"/>
                <w:left w:val="none" w:sz="0" w:space="0" w:color="auto"/>
                <w:bottom w:val="none" w:sz="0" w:space="0" w:color="auto"/>
                <w:right w:val="none" w:sz="0" w:space="0" w:color="auto"/>
              </w:divBdr>
              <w:divsChild>
                <w:div w:id="4826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551">
      <w:bodyDiv w:val="1"/>
      <w:marLeft w:val="0"/>
      <w:marRight w:val="0"/>
      <w:marTop w:val="0"/>
      <w:marBottom w:val="0"/>
      <w:divBdr>
        <w:top w:val="none" w:sz="0" w:space="0" w:color="auto"/>
        <w:left w:val="none" w:sz="0" w:space="0" w:color="auto"/>
        <w:bottom w:val="none" w:sz="0" w:space="0" w:color="auto"/>
        <w:right w:val="none" w:sz="0" w:space="0" w:color="auto"/>
      </w:divBdr>
      <w:divsChild>
        <w:div w:id="613365911">
          <w:marLeft w:val="0"/>
          <w:marRight w:val="0"/>
          <w:marTop w:val="0"/>
          <w:marBottom w:val="0"/>
          <w:divBdr>
            <w:top w:val="none" w:sz="0" w:space="0" w:color="auto"/>
            <w:left w:val="none" w:sz="0" w:space="0" w:color="auto"/>
            <w:bottom w:val="none" w:sz="0" w:space="0" w:color="auto"/>
            <w:right w:val="none" w:sz="0" w:space="0" w:color="auto"/>
          </w:divBdr>
          <w:divsChild>
            <w:div w:id="985550924">
              <w:marLeft w:val="0"/>
              <w:marRight w:val="0"/>
              <w:marTop w:val="0"/>
              <w:marBottom w:val="0"/>
              <w:divBdr>
                <w:top w:val="none" w:sz="0" w:space="0" w:color="auto"/>
                <w:left w:val="none" w:sz="0" w:space="0" w:color="auto"/>
                <w:bottom w:val="none" w:sz="0" w:space="0" w:color="auto"/>
                <w:right w:val="none" w:sz="0" w:space="0" w:color="auto"/>
              </w:divBdr>
              <w:divsChild>
                <w:div w:id="14372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9808">
          <w:marLeft w:val="0"/>
          <w:marRight w:val="0"/>
          <w:marTop w:val="0"/>
          <w:marBottom w:val="0"/>
          <w:divBdr>
            <w:top w:val="none" w:sz="0" w:space="0" w:color="auto"/>
            <w:left w:val="none" w:sz="0" w:space="0" w:color="auto"/>
            <w:bottom w:val="none" w:sz="0" w:space="0" w:color="auto"/>
            <w:right w:val="none" w:sz="0" w:space="0" w:color="auto"/>
          </w:divBdr>
          <w:divsChild>
            <w:div w:id="652565269">
              <w:marLeft w:val="0"/>
              <w:marRight w:val="0"/>
              <w:marTop w:val="0"/>
              <w:marBottom w:val="0"/>
              <w:divBdr>
                <w:top w:val="none" w:sz="0" w:space="0" w:color="auto"/>
                <w:left w:val="none" w:sz="0" w:space="0" w:color="auto"/>
                <w:bottom w:val="none" w:sz="0" w:space="0" w:color="auto"/>
                <w:right w:val="none" w:sz="0" w:space="0" w:color="auto"/>
              </w:divBdr>
              <w:divsChild>
                <w:div w:id="29649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79860">
      <w:bodyDiv w:val="1"/>
      <w:marLeft w:val="0"/>
      <w:marRight w:val="0"/>
      <w:marTop w:val="0"/>
      <w:marBottom w:val="0"/>
      <w:divBdr>
        <w:top w:val="none" w:sz="0" w:space="0" w:color="auto"/>
        <w:left w:val="none" w:sz="0" w:space="0" w:color="auto"/>
        <w:bottom w:val="none" w:sz="0" w:space="0" w:color="auto"/>
        <w:right w:val="none" w:sz="0" w:space="0" w:color="auto"/>
      </w:divBdr>
    </w:div>
    <w:div w:id="202270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82B81-B6DA-4DAE-AA60-E422EA1EC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11</Pages>
  <Words>22113</Words>
  <Characters>126046</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Fredrick D Jordan</dc:creator>
  <cp:keywords/>
  <dc:description/>
  <cp:lastModifiedBy>Fredrick D Jordan</cp:lastModifiedBy>
  <cp:revision>24</cp:revision>
  <dcterms:created xsi:type="dcterms:W3CDTF">2020-09-04T02:29:00Z</dcterms:created>
  <dcterms:modified xsi:type="dcterms:W3CDTF">2020-12-02T15:12:00Z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3e461f0e-a1ee-382e-a9f9-c532555c5fb1</vt:lpwstr>
  </property>
  <property fmtid="{D5CDD505-2E9C-101B-9397-08002B2CF9AE}" pid="24" name="Mendeley Citation Style_1">
    <vt:lpwstr>http://www.zotero.org/styles/chicago-author-date</vt:lpwstr>
  </property>
</Properties>
</file>