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655B8" w14:textId="77777777" w:rsidR="00914570" w:rsidRPr="009169F9" w:rsidRDefault="00914570" w:rsidP="00914570">
      <w:pPr>
        <w:jc w:val="center"/>
        <w:rPr>
          <w:rFonts w:hint="eastAsia"/>
          <w:sz w:val="32"/>
          <w:szCs w:val="32"/>
        </w:rPr>
      </w:pPr>
      <w:r w:rsidRPr="009169F9">
        <w:rPr>
          <w:sz w:val="32"/>
          <w:szCs w:val="32"/>
        </w:rPr>
        <w:t>Mortgage Default and Prepayment Model Analysis</w:t>
      </w:r>
    </w:p>
    <w:p w14:paraId="27634584" w14:textId="1191C362" w:rsidR="00914570" w:rsidRPr="009169F9" w:rsidRDefault="00914570" w:rsidP="00914570">
      <w:pPr>
        <w:rPr>
          <w:rFonts w:hint="eastAsia"/>
        </w:rPr>
      </w:pPr>
      <w:r w:rsidRPr="009169F9">
        <w:t>Prepared by: Dallen Huang</w:t>
      </w:r>
    </w:p>
    <w:p w14:paraId="266EB258" w14:textId="77777777" w:rsidR="00914570" w:rsidRPr="009169F9" w:rsidRDefault="00000000" w:rsidP="00914570">
      <w:pPr>
        <w:rPr>
          <w:rFonts w:hint="eastAsia"/>
        </w:rPr>
      </w:pPr>
      <w:r w:rsidRPr="009169F9">
        <w:pict w14:anchorId="1A116B03">
          <v:rect id="_x0000_i1025" style="width:0;height:1.5pt" o:hralign="center" o:hrstd="t" o:hr="t" fillcolor="#a0a0a0" stroked="f"/>
        </w:pict>
      </w:r>
    </w:p>
    <w:p w14:paraId="7FBCA831" w14:textId="77777777" w:rsidR="00914570" w:rsidRPr="009169F9" w:rsidRDefault="00914570" w:rsidP="00914570">
      <w:pPr>
        <w:rPr>
          <w:rFonts w:hint="eastAsia"/>
        </w:rPr>
      </w:pPr>
      <w:r w:rsidRPr="009169F9">
        <w:t>Table of Contents</w:t>
      </w:r>
    </w:p>
    <w:p w14:paraId="038D51EC" w14:textId="77777777" w:rsidR="00914570" w:rsidRPr="009169F9" w:rsidRDefault="00914570" w:rsidP="00914570">
      <w:pPr>
        <w:numPr>
          <w:ilvl w:val="0"/>
          <w:numId w:val="1"/>
        </w:numPr>
        <w:rPr>
          <w:rFonts w:hint="eastAsia"/>
        </w:rPr>
      </w:pPr>
      <w:r w:rsidRPr="009169F9">
        <w:t>Introduction</w:t>
      </w:r>
    </w:p>
    <w:p w14:paraId="5F8C706C" w14:textId="77777777" w:rsidR="00914570" w:rsidRPr="009169F9" w:rsidRDefault="00914570" w:rsidP="00914570">
      <w:pPr>
        <w:numPr>
          <w:ilvl w:val="0"/>
          <w:numId w:val="1"/>
        </w:numPr>
        <w:rPr>
          <w:rFonts w:hint="eastAsia"/>
        </w:rPr>
      </w:pPr>
      <w:r w:rsidRPr="009169F9">
        <w:t>Model Summaries</w:t>
      </w:r>
    </w:p>
    <w:p w14:paraId="29C1C716" w14:textId="77777777" w:rsidR="00914570" w:rsidRPr="009169F9" w:rsidRDefault="00914570" w:rsidP="00914570">
      <w:pPr>
        <w:numPr>
          <w:ilvl w:val="1"/>
          <w:numId w:val="1"/>
        </w:numPr>
        <w:rPr>
          <w:rFonts w:hint="eastAsia"/>
        </w:rPr>
      </w:pPr>
      <w:r w:rsidRPr="009169F9">
        <w:t>Default and Prepayment Model Performance</w:t>
      </w:r>
    </w:p>
    <w:p w14:paraId="09FF6765" w14:textId="77777777" w:rsidR="00914570" w:rsidRPr="009169F9" w:rsidRDefault="00914570" w:rsidP="00914570">
      <w:pPr>
        <w:numPr>
          <w:ilvl w:val="1"/>
          <w:numId w:val="1"/>
        </w:numPr>
        <w:rPr>
          <w:rFonts w:hint="eastAsia"/>
        </w:rPr>
      </w:pPr>
      <w:r w:rsidRPr="009169F9">
        <w:t>Clustering Analysis Findings</w:t>
      </w:r>
    </w:p>
    <w:p w14:paraId="262E3D59" w14:textId="77777777" w:rsidR="00914570" w:rsidRPr="009169F9" w:rsidRDefault="00914570" w:rsidP="00914570">
      <w:pPr>
        <w:numPr>
          <w:ilvl w:val="1"/>
          <w:numId w:val="1"/>
        </w:numPr>
        <w:rPr>
          <w:rFonts w:hint="eastAsia"/>
        </w:rPr>
      </w:pPr>
      <w:r w:rsidRPr="009169F9">
        <w:t>Deep Learning Analysis</w:t>
      </w:r>
    </w:p>
    <w:p w14:paraId="56F446E3" w14:textId="77777777" w:rsidR="00914570" w:rsidRPr="009169F9" w:rsidRDefault="00914570" w:rsidP="00914570">
      <w:pPr>
        <w:numPr>
          <w:ilvl w:val="0"/>
          <w:numId w:val="1"/>
        </w:numPr>
        <w:rPr>
          <w:rFonts w:hint="eastAsia"/>
        </w:rPr>
      </w:pPr>
      <w:r w:rsidRPr="009169F9">
        <w:t>Key Insights and Conclusions</w:t>
      </w:r>
    </w:p>
    <w:p w14:paraId="4A3B1F19" w14:textId="77777777" w:rsidR="00914570" w:rsidRPr="009169F9" w:rsidRDefault="00000000" w:rsidP="00914570">
      <w:pPr>
        <w:rPr>
          <w:rFonts w:hint="eastAsia"/>
        </w:rPr>
      </w:pPr>
      <w:r w:rsidRPr="009169F9">
        <w:pict w14:anchorId="294307E4">
          <v:rect id="_x0000_i1026" style="width:0;height:1.5pt" o:hralign="center" o:hrstd="t" o:hr="t" fillcolor="#a0a0a0" stroked="f"/>
        </w:pict>
      </w:r>
    </w:p>
    <w:p w14:paraId="5924E80F" w14:textId="77777777" w:rsidR="00914570" w:rsidRPr="009169F9" w:rsidRDefault="00914570" w:rsidP="00914570">
      <w:pPr>
        <w:rPr>
          <w:rFonts w:hint="eastAsia"/>
          <w:sz w:val="28"/>
          <w:szCs w:val="28"/>
        </w:rPr>
      </w:pPr>
      <w:r w:rsidRPr="009169F9">
        <w:rPr>
          <w:sz w:val="28"/>
          <w:szCs w:val="28"/>
        </w:rPr>
        <w:t>1. Introduction</w:t>
      </w:r>
    </w:p>
    <w:p w14:paraId="77E76974" w14:textId="77777777" w:rsidR="00914570" w:rsidRPr="009169F9" w:rsidRDefault="00914570" w:rsidP="00914570">
      <w:pPr>
        <w:rPr>
          <w:rFonts w:hint="eastAsia"/>
        </w:rPr>
      </w:pPr>
      <w:r w:rsidRPr="009169F9">
        <w:t>The purpose of this analysis is to explore and evaluate machine learning models for predicting mortgage defaults and prepayments. The models were tested to assess predictive performance and determine the optimal approaches for risk classification, clustering, and deep learning applications.</w:t>
      </w:r>
    </w:p>
    <w:p w14:paraId="15EDCC81" w14:textId="3D2B0CDA" w:rsidR="00850416" w:rsidRPr="009169F9" w:rsidRDefault="00850416" w:rsidP="00914570">
      <w:pPr>
        <w:rPr>
          <w:rFonts w:hint="eastAsia"/>
        </w:rPr>
      </w:pPr>
      <w:r w:rsidRPr="009169F9">
        <w:t xml:space="preserve">Data Source: </w:t>
      </w:r>
      <w:hyperlink r:id="rId5" w:history="1">
        <w:r w:rsidRPr="009169F9">
          <w:rPr>
            <w:rStyle w:val="Hyperlink"/>
          </w:rPr>
          <w:t>https://1drv.ms/u/s!Amfo1lixPzv-j3k_230kv-58OmZW?e=x5WIz8</w:t>
        </w:r>
      </w:hyperlink>
    </w:p>
    <w:p w14:paraId="03C57776" w14:textId="77777777" w:rsidR="00914570" w:rsidRPr="009169F9" w:rsidRDefault="00000000" w:rsidP="00914570">
      <w:pPr>
        <w:rPr>
          <w:rFonts w:hint="eastAsia"/>
        </w:rPr>
      </w:pPr>
      <w:r w:rsidRPr="009169F9">
        <w:pict w14:anchorId="0B927958">
          <v:rect id="_x0000_i1027" style="width:0;height:1.5pt" o:hralign="center" o:hrstd="t" o:hr="t" fillcolor="#a0a0a0" stroked="f"/>
        </w:pict>
      </w:r>
    </w:p>
    <w:p w14:paraId="4984A822" w14:textId="77777777" w:rsidR="00914570" w:rsidRPr="009169F9" w:rsidRDefault="00914570" w:rsidP="00914570">
      <w:pPr>
        <w:rPr>
          <w:rFonts w:hint="eastAsia"/>
          <w:sz w:val="28"/>
          <w:szCs w:val="28"/>
        </w:rPr>
      </w:pPr>
      <w:r w:rsidRPr="009169F9">
        <w:rPr>
          <w:sz w:val="28"/>
          <w:szCs w:val="28"/>
        </w:rPr>
        <w:t>2. Model Summaries</w:t>
      </w:r>
    </w:p>
    <w:p w14:paraId="0132F806" w14:textId="4147D64E" w:rsidR="00914570" w:rsidRPr="009169F9" w:rsidRDefault="00914570" w:rsidP="00914570">
      <w:pPr>
        <w:rPr>
          <w:rFonts w:hint="eastAsia"/>
        </w:rPr>
      </w:pPr>
      <w:r w:rsidRPr="009169F9">
        <w:t>2.1 Default and Prepayment Model Performance</w:t>
      </w:r>
    </w:p>
    <w:p w14:paraId="1B619F3A" w14:textId="77777777" w:rsidR="00914570" w:rsidRPr="009169F9" w:rsidRDefault="00914570" w:rsidP="00914570">
      <w:pPr>
        <w:ind w:firstLine="360"/>
        <w:rPr>
          <w:rFonts w:hint="eastAsia"/>
        </w:rPr>
      </w:pPr>
      <w:r w:rsidRPr="009169F9">
        <w:t>Default Model ROC AUC Scores</w:t>
      </w:r>
    </w:p>
    <w:p w14:paraId="0B262B86" w14:textId="77777777" w:rsidR="00914570" w:rsidRPr="009169F9" w:rsidRDefault="00914570" w:rsidP="00914570">
      <w:pPr>
        <w:numPr>
          <w:ilvl w:val="0"/>
          <w:numId w:val="2"/>
        </w:numPr>
        <w:rPr>
          <w:rFonts w:hint="eastAsia"/>
        </w:rPr>
      </w:pPr>
      <w:r w:rsidRPr="009169F9">
        <w:t>Logistic Regression: 0.657</w:t>
      </w:r>
    </w:p>
    <w:p w14:paraId="52605C2D" w14:textId="77777777" w:rsidR="00914570" w:rsidRPr="009169F9" w:rsidRDefault="00914570" w:rsidP="00914570">
      <w:pPr>
        <w:numPr>
          <w:ilvl w:val="0"/>
          <w:numId w:val="2"/>
        </w:numPr>
        <w:rPr>
          <w:rFonts w:hint="eastAsia"/>
        </w:rPr>
      </w:pPr>
      <w:r w:rsidRPr="009169F9">
        <w:t>Decision Tree: 0.654</w:t>
      </w:r>
    </w:p>
    <w:p w14:paraId="55BD1E26" w14:textId="77777777" w:rsidR="00914570" w:rsidRPr="009169F9" w:rsidRDefault="00914570" w:rsidP="00914570">
      <w:pPr>
        <w:numPr>
          <w:ilvl w:val="0"/>
          <w:numId w:val="2"/>
        </w:numPr>
        <w:rPr>
          <w:rFonts w:hint="eastAsia"/>
        </w:rPr>
      </w:pPr>
      <w:r w:rsidRPr="009169F9">
        <w:t>Naive Bayes: 0.649</w:t>
      </w:r>
    </w:p>
    <w:p w14:paraId="533A7A42" w14:textId="77777777" w:rsidR="00914570" w:rsidRPr="009169F9" w:rsidRDefault="00914570" w:rsidP="00914570">
      <w:pPr>
        <w:numPr>
          <w:ilvl w:val="0"/>
          <w:numId w:val="2"/>
        </w:numPr>
        <w:rPr>
          <w:rFonts w:hint="eastAsia"/>
        </w:rPr>
      </w:pPr>
      <w:r w:rsidRPr="009169F9">
        <w:t>Stochastic Gradient Descent: 0.500</w:t>
      </w:r>
    </w:p>
    <w:p w14:paraId="057129BF" w14:textId="77777777" w:rsidR="00914570" w:rsidRPr="009169F9" w:rsidRDefault="00914570" w:rsidP="00914570">
      <w:pPr>
        <w:numPr>
          <w:ilvl w:val="0"/>
          <w:numId w:val="2"/>
        </w:numPr>
        <w:rPr>
          <w:rFonts w:hint="eastAsia"/>
        </w:rPr>
      </w:pPr>
      <w:r w:rsidRPr="009169F9">
        <w:t>K Nearest Neighborhood: 0.629</w:t>
      </w:r>
    </w:p>
    <w:p w14:paraId="615B29D9" w14:textId="77777777" w:rsidR="00914570" w:rsidRPr="009169F9" w:rsidRDefault="00914570" w:rsidP="00914570">
      <w:pPr>
        <w:numPr>
          <w:ilvl w:val="0"/>
          <w:numId w:val="2"/>
        </w:numPr>
        <w:rPr>
          <w:rFonts w:hint="eastAsia"/>
        </w:rPr>
      </w:pPr>
      <w:r w:rsidRPr="009169F9">
        <w:lastRenderedPageBreak/>
        <w:t>Light Gradient Boosting: 0.667</w:t>
      </w:r>
    </w:p>
    <w:p w14:paraId="01616325" w14:textId="77777777" w:rsidR="00914570" w:rsidRPr="009169F9" w:rsidRDefault="00914570" w:rsidP="00914570">
      <w:pPr>
        <w:numPr>
          <w:ilvl w:val="0"/>
          <w:numId w:val="2"/>
        </w:numPr>
        <w:rPr>
          <w:rFonts w:hint="eastAsia"/>
        </w:rPr>
      </w:pPr>
      <w:proofErr w:type="spellStart"/>
      <w:r w:rsidRPr="009169F9">
        <w:t>XGBoost</w:t>
      </w:r>
      <w:proofErr w:type="spellEnd"/>
      <w:r w:rsidRPr="009169F9">
        <w:t>: 0.654</w:t>
      </w:r>
    </w:p>
    <w:p w14:paraId="102538D8" w14:textId="77777777" w:rsidR="00914570" w:rsidRPr="009169F9" w:rsidRDefault="00914570" w:rsidP="00914570">
      <w:pPr>
        <w:numPr>
          <w:ilvl w:val="0"/>
          <w:numId w:val="2"/>
        </w:numPr>
        <w:rPr>
          <w:rFonts w:hint="eastAsia"/>
        </w:rPr>
      </w:pPr>
      <w:r w:rsidRPr="009169F9">
        <w:t>Random Forest: 0.630</w:t>
      </w:r>
    </w:p>
    <w:p w14:paraId="7F0264FF" w14:textId="77777777" w:rsidR="00914570" w:rsidRPr="009169F9" w:rsidRDefault="00914570" w:rsidP="00914570">
      <w:pPr>
        <w:numPr>
          <w:ilvl w:val="0"/>
          <w:numId w:val="2"/>
        </w:numPr>
        <w:rPr>
          <w:rFonts w:hint="eastAsia"/>
        </w:rPr>
      </w:pPr>
      <w:r w:rsidRPr="009169F9">
        <w:t>Ensemble Learning (Weighted Average): 0.630</w:t>
      </w:r>
    </w:p>
    <w:p w14:paraId="19E98EA0" w14:textId="77777777" w:rsidR="00914570" w:rsidRPr="009169F9" w:rsidRDefault="00914570" w:rsidP="00914570">
      <w:pPr>
        <w:rPr>
          <w:rFonts w:hint="eastAsia"/>
        </w:rPr>
      </w:pPr>
      <w:r w:rsidRPr="009169F9">
        <w:t>Prepayment Model ROC AUC Scores</w:t>
      </w:r>
    </w:p>
    <w:p w14:paraId="30115549" w14:textId="77777777" w:rsidR="00914570" w:rsidRPr="009169F9" w:rsidRDefault="00914570" w:rsidP="00914570">
      <w:pPr>
        <w:numPr>
          <w:ilvl w:val="0"/>
          <w:numId w:val="3"/>
        </w:numPr>
        <w:rPr>
          <w:rFonts w:hint="eastAsia"/>
        </w:rPr>
      </w:pPr>
      <w:r w:rsidRPr="009169F9">
        <w:t>Logistic Regression: 0.712</w:t>
      </w:r>
    </w:p>
    <w:p w14:paraId="24019E19" w14:textId="77777777" w:rsidR="00914570" w:rsidRPr="009169F9" w:rsidRDefault="00914570" w:rsidP="00914570">
      <w:pPr>
        <w:numPr>
          <w:ilvl w:val="0"/>
          <w:numId w:val="3"/>
        </w:numPr>
        <w:rPr>
          <w:rFonts w:hint="eastAsia"/>
        </w:rPr>
      </w:pPr>
      <w:r w:rsidRPr="009169F9">
        <w:t>Decision Tree: 0.698</w:t>
      </w:r>
    </w:p>
    <w:p w14:paraId="6D1AF0FB" w14:textId="77777777" w:rsidR="00914570" w:rsidRPr="009169F9" w:rsidRDefault="00914570" w:rsidP="00914570">
      <w:pPr>
        <w:numPr>
          <w:ilvl w:val="0"/>
          <w:numId w:val="3"/>
        </w:numPr>
        <w:rPr>
          <w:rFonts w:hint="eastAsia"/>
        </w:rPr>
      </w:pPr>
      <w:r w:rsidRPr="009169F9">
        <w:t>Naive Bayes: 0.679</w:t>
      </w:r>
    </w:p>
    <w:p w14:paraId="3D9BCD76" w14:textId="77777777" w:rsidR="00914570" w:rsidRPr="009169F9" w:rsidRDefault="00914570" w:rsidP="00914570">
      <w:pPr>
        <w:numPr>
          <w:ilvl w:val="0"/>
          <w:numId w:val="3"/>
        </w:numPr>
        <w:rPr>
          <w:rFonts w:hint="eastAsia"/>
        </w:rPr>
      </w:pPr>
      <w:r w:rsidRPr="009169F9">
        <w:t>Stochastic Gradient Descent: 0.505</w:t>
      </w:r>
    </w:p>
    <w:p w14:paraId="1D260083" w14:textId="77777777" w:rsidR="00914570" w:rsidRPr="009169F9" w:rsidRDefault="00914570" w:rsidP="00914570">
      <w:pPr>
        <w:numPr>
          <w:ilvl w:val="0"/>
          <w:numId w:val="3"/>
        </w:numPr>
        <w:rPr>
          <w:rFonts w:hint="eastAsia"/>
        </w:rPr>
      </w:pPr>
      <w:r w:rsidRPr="009169F9">
        <w:t>K Nearest Neighborhood: 0.653</w:t>
      </w:r>
    </w:p>
    <w:p w14:paraId="55EE507E" w14:textId="77777777" w:rsidR="00914570" w:rsidRPr="009169F9" w:rsidRDefault="00914570" w:rsidP="00914570">
      <w:pPr>
        <w:numPr>
          <w:ilvl w:val="0"/>
          <w:numId w:val="3"/>
        </w:numPr>
        <w:rPr>
          <w:rFonts w:hint="eastAsia"/>
        </w:rPr>
      </w:pPr>
      <w:r w:rsidRPr="009169F9">
        <w:t>Light Gradient Boosting: 0.734</w:t>
      </w:r>
    </w:p>
    <w:p w14:paraId="3292E6BD" w14:textId="77777777" w:rsidR="00914570" w:rsidRPr="009169F9" w:rsidRDefault="00914570" w:rsidP="00914570">
      <w:pPr>
        <w:numPr>
          <w:ilvl w:val="0"/>
          <w:numId w:val="3"/>
        </w:numPr>
        <w:rPr>
          <w:rFonts w:hint="eastAsia"/>
        </w:rPr>
      </w:pPr>
      <w:proofErr w:type="spellStart"/>
      <w:r w:rsidRPr="009169F9">
        <w:t>XGBoost</w:t>
      </w:r>
      <w:proofErr w:type="spellEnd"/>
      <w:r w:rsidRPr="009169F9">
        <w:t>: 0.723</w:t>
      </w:r>
    </w:p>
    <w:p w14:paraId="48AAA8E4" w14:textId="77777777" w:rsidR="00914570" w:rsidRPr="009169F9" w:rsidRDefault="00914570" w:rsidP="00914570">
      <w:pPr>
        <w:numPr>
          <w:ilvl w:val="0"/>
          <w:numId w:val="3"/>
        </w:numPr>
        <w:rPr>
          <w:rFonts w:hint="eastAsia"/>
        </w:rPr>
      </w:pPr>
      <w:r w:rsidRPr="009169F9">
        <w:t>Random Forest: 0.704</w:t>
      </w:r>
    </w:p>
    <w:p w14:paraId="561E1090" w14:textId="77777777" w:rsidR="00914570" w:rsidRPr="009169F9" w:rsidRDefault="00914570" w:rsidP="00914570">
      <w:pPr>
        <w:numPr>
          <w:ilvl w:val="0"/>
          <w:numId w:val="3"/>
        </w:numPr>
        <w:rPr>
          <w:rFonts w:hint="eastAsia"/>
        </w:rPr>
      </w:pPr>
      <w:r w:rsidRPr="009169F9">
        <w:t>Ensemble Learning (Weighted Average): 0.710</w:t>
      </w:r>
    </w:p>
    <w:p w14:paraId="5A6E4711" w14:textId="37B7E1E2" w:rsidR="00914570" w:rsidRPr="009169F9" w:rsidRDefault="00914570" w:rsidP="00914570">
      <w:pPr>
        <w:rPr>
          <w:rFonts w:hint="eastAsia"/>
        </w:rPr>
      </w:pPr>
      <w:r w:rsidRPr="009169F9">
        <w:t>Model Selection</w:t>
      </w:r>
      <w:r w:rsidRPr="009169F9">
        <w:br/>
        <w:t>The Light Gradient Boosting model demonstrated the best predictive performance for both default (0.667) and prepayment (0.734) risks. Boosting and ensemble methods generally outperformed simpler models, capturing complex data patterns more effectively.</w:t>
      </w:r>
    </w:p>
    <w:p w14:paraId="53A94073" w14:textId="1E7BAEC4" w:rsidR="00914570" w:rsidRPr="009169F9" w:rsidRDefault="00914570" w:rsidP="00914570">
      <w:pPr>
        <w:rPr>
          <w:rFonts w:hint="eastAsia"/>
        </w:rPr>
      </w:pPr>
      <w:r w:rsidRPr="009169F9">
        <w:t>2.2 Clustering Analysis Findings</w:t>
      </w:r>
    </w:p>
    <w:p w14:paraId="1F1A5D7C" w14:textId="77777777" w:rsidR="00914570" w:rsidRPr="009169F9" w:rsidRDefault="00914570" w:rsidP="00914570">
      <w:pPr>
        <w:rPr>
          <w:rFonts w:hint="eastAsia"/>
        </w:rPr>
      </w:pPr>
      <w:r w:rsidRPr="009169F9">
        <w:t>The clustering analysis segmented the mortgage data into 7 distinct clusters representing various risk profiles. This segmentation allows for:</w:t>
      </w:r>
    </w:p>
    <w:p w14:paraId="5181327E" w14:textId="77777777" w:rsidR="00914570" w:rsidRPr="009169F9" w:rsidRDefault="00914570" w:rsidP="00914570">
      <w:pPr>
        <w:numPr>
          <w:ilvl w:val="0"/>
          <w:numId w:val="4"/>
        </w:numPr>
        <w:rPr>
          <w:rFonts w:hint="eastAsia"/>
        </w:rPr>
      </w:pPr>
      <w:r w:rsidRPr="009169F9">
        <w:t>Targeted resource allocation</w:t>
      </w:r>
    </w:p>
    <w:p w14:paraId="647ADA72" w14:textId="77777777" w:rsidR="00914570" w:rsidRPr="009169F9" w:rsidRDefault="00914570" w:rsidP="00914570">
      <w:pPr>
        <w:numPr>
          <w:ilvl w:val="0"/>
          <w:numId w:val="4"/>
        </w:numPr>
        <w:rPr>
          <w:rFonts w:hint="eastAsia"/>
        </w:rPr>
      </w:pPr>
      <w:r w:rsidRPr="009169F9">
        <w:t>Risk-based loan terms and pricing</w:t>
      </w:r>
    </w:p>
    <w:p w14:paraId="581B3CFA" w14:textId="77777777" w:rsidR="00914570" w:rsidRPr="009169F9" w:rsidRDefault="00914570" w:rsidP="00914570">
      <w:pPr>
        <w:numPr>
          <w:ilvl w:val="0"/>
          <w:numId w:val="4"/>
        </w:numPr>
        <w:rPr>
          <w:rFonts w:hint="eastAsia"/>
        </w:rPr>
      </w:pPr>
      <w:r w:rsidRPr="009169F9">
        <w:t>Proactive monitoring for high-risk clusters</w:t>
      </w:r>
    </w:p>
    <w:p w14:paraId="27FF1C70" w14:textId="77777777" w:rsidR="00914570" w:rsidRPr="009169F9" w:rsidRDefault="00914570" w:rsidP="00914570">
      <w:pPr>
        <w:rPr>
          <w:rFonts w:hint="eastAsia"/>
        </w:rPr>
      </w:pPr>
      <w:r w:rsidRPr="009169F9">
        <w:t>These findings aid in optimizing risk management and portfolio segmentation strategies.</w:t>
      </w:r>
    </w:p>
    <w:p w14:paraId="00F2B175" w14:textId="2520FD28" w:rsidR="00914570" w:rsidRPr="009169F9" w:rsidRDefault="00914570" w:rsidP="00914570">
      <w:pPr>
        <w:rPr>
          <w:rFonts w:hint="eastAsia"/>
        </w:rPr>
      </w:pPr>
      <w:r w:rsidRPr="009169F9">
        <w:t>2.3 Deep Learning Analysis</w:t>
      </w:r>
    </w:p>
    <w:p w14:paraId="798E94E4" w14:textId="77777777" w:rsidR="00914570" w:rsidRPr="009169F9" w:rsidRDefault="00914570" w:rsidP="00914570">
      <w:pPr>
        <w:rPr>
          <w:rFonts w:hint="eastAsia"/>
        </w:rPr>
      </w:pPr>
      <w:r w:rsidRPr="009169F9">
        <w:t>Model Performance</w:t>
      </w:r>
    </w:p>
    <w:p w14:paraId="6DF2E24B" w14:textId="77777777" w:rsidR="00914570" w:rsidRPr="009169F9" w:rsidRDefault="00914570" w:rsidP="00914570">
      <w:pPr>
        <w:numPr>
          <w:ilvl w:val="0"/>
          <w:numId w:val="5"/>
        </w:numPr>
        <w:rPr>
          <w:rFonts w:hint="eastAsia"/>
        </w:rPr>
      </w:pPr>
      <w:r w:rsidRPr="009169F9">
        <w:lastRenderedPageBreak/>
        <w:t>CNN Model: Achieved 88% accuracy and an AUC-ROC of 0.92.</w:t>
      </w:r>
    </w:p>
    <w:p w14:paraId="19E0392E" w14:textId="77777777" w:rsidR="00914570" w:rsidRPr="009169F9" w:rsidRDefault="00914570" w:rsidP="00914570">
      <w:pPr>
        <w:numPr>
          <w:ilvl w:val="0"/>
          <w:numId w:val="5"/>
        </w:numPr>
        <w:rPr>
          <w:rFonts w:hint="eastAsia"/>
        </w:rPr>
      </w:pPr>
      <w:r w:rsidRPr="009169F9">
        <w:t>ANN Model: Achieved 85% accuracy and an AUC-ROC of 0.89.</w:t>
      </w:r>
    </w:p>
    <w:p w14:paraId="49FE5CC5" w14:textId="42B9F8A6" w:rsidR="00914570" w:rsidRPr="009169F9" w:rsidRDefault="00914570" w:rsidP="00914570">
      <w:pPr>
        <w:rPr>
          <w:rFonts w:hint="eastAsia"/>
        </w:rPr>
      </w:pPr>
      <w:r w:rsidRPr="009169F9">
        <w:t>Model Selection</w:t>
      </w:r>
      <w:r w:rsidRPr="009169F9">
        <w:br/>
        <w:t>The CNN model outperformed ANN, with improved predictive accuracy and AUC-ROC. However, the ANN remains valuable where interpretability is prioritized, with CNN better suited for more complex mortgage risk predictions.</w:t>
      </w:r>
    </w:p>
    <w:p w14:paraId="3E39E136" w14:textId="77777777" w:rsidR="00914570" w:rsidRPr="009169F9" w:rsidRDefault="00000000" w:rsidP="00914570">
      <w:pPr>
        <w:rPr>
          <w:rFonts w:hint="eastAsia"/>
        </w:rPr>
      </w:pPr>
      <w:r w:rsidRPr="009169F9">
        <w:pict w14:anchorId="0D45CB56">
          <v:rect id="_x0000_i1028" style="width:0;height:1.5pt" o:hralign="center" o:hrstd="t" o:hr="t" fillcolor="#a0a0a0" stroked="f"/>
        </w:pict>
      </w:r>
    </w:p>
    <w:p w14:paraId="4D81A0D2" w14:textId="77777777" w:rsidR="00914570" w:rsidRPr="009169F9" w:rsidRDefault="00914570" w:rsidP="00914570">
      <w:pPr>
        <w:rPr>
          <w:rFonts w:hint="eastAsia"/>
          <w:sz w:val="28"/>
          <w:szCs w:val="28"/>
        </w:rPr>
      </w:pPr>
      <w:r w:rsidRPr="009169F9">
        <w:rPr>
          <w:sz w:val="28"/>
          <w:szCs w:val="28"/>
        </w:rPr>
        <w:t>3. Key Insights and Conclusions</w:t>
      </w:r>
    </w:p>
    <w:p w14:paraId="010367B8" w14:textId="4D03EB5E" w:rsidR="00914570" w:rsidRPr="009169F9" w:rsidRDefault="00914570" w:rsidP="00914570">
      <w:pPr>
        <w:pStyle w:val="ListParagraph"/>
        <w:numPr>
          <w:ilvl w:val="1"/>
          <w:numId w:val="7"/>
        </w:numPr>
        <w:rPr>
          <w:rFonts w:hint="eastAsia"/>
        </w:rPr>
      </w:pPr>
      <w:r w:rsidRPr="009169F9">
        <w:t>Model Selection: Light Gradient Boosting provided the best results for both default and prepayment predictions, suggesting that ensemble learning is highly effective for this domain.</w:t>
      </w:r>
    </w:p>
    <w:p w14:paraId="7AAE9FA2" w14:textId="6C944DF4" w:rsidR="00914570" w:rsidRPr="009169F9" w:rsidRDefault="00914570" w:rsidP="00914570">
      <w:pPr>
        <w:pStyle w:val="ListParagraph"/>
        <w:numPr>
          <w:ilvl w:val="1"/>
          <w:numId w:val="7"/>
        </w:numPr>
        <w:rPr>
          <w:rFonts w:hint="eastAsia"/>
        </w:rPr>
      </w:pPr>
      <w:r w:rsidRPr="009169F9">
        <w:t>Clustering Benefits: The seven clusters highlight distinct borrower risk profiles, offering actionable insights for tailored loan management.</w:t>
      </w:r>
    </w:p>
    <w:p w14:paraId="182F06FC" w14:textId="15B4E54E" w:rsidR="00914570" w:rsidRPr="009169F9" w:rsidRDefault="00914570" w:rsidP="00914570">
      <w:pPr>
        <w:pStyle w:val="ListParagraph"/>
        <w:numPr>
          <w:ilvl w:val="1"/>
          <w:numId w:val="7"/>
        </w:numPr>
        <w:rPr>
          <w:rFonts w:hint="eastAsia"/>
        </w:rPr>
      </w:pPr>
      <w:r w:rsidRPr="009169F9">
        <w:t>Deep Learning Utility: CNN is the optimal model for precision, while ANN is valuable for interpretability. Combining the two could enhance predictive performance further.</w:t>
      </w:r>
    </w:p>
    <w:p w14:paraId="16B4C8A4" w14:textId="77777777" w:rsidR="00CE6830" w:rsidRPr="009169F9" w:rsidRDefault="00CE6830" w:rsidP="00914570">
      <w:pPr>
        <w:rPr>
          <w:rFonts w:hint="eastAsia"/>
        </w:rPr>
      </w:pPr>
    </w:p>
    <w:sectPr w:rsidR="00CE6830" w:rsidRPr="00916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ptos Display">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26A9"/>
    <w:multiLevelType w:val="multilevel"/>
    <w:tmpl w:val="BE6CDB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B93B29"/>
    <w:multiLevelType w:val="multilevel"/>
    <w:tmpl w:val="897C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2820"/>
    <w:multiLevelType w:val="multilevel"/>
    <w:tmpl w:val="032AB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F6311"/>
    <w:multiLevelType w:val="multilevel"/>
    <w:tmpl w:val="88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B6C8B"/>
    <w:multiLevelType w:val="multilevel"/>
    <w:tmpl w:val="DC46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94653"/>
    <w:multiLevelType w:val="multilevel"/>
    <w:tmpl w:val="537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00F82"/>
    <w:multiLevelType w:val="multilevel"/>
    <w:tmpl w:val="55BE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351881">
    <w:abstractNumId w:val="2"/>
  </w:num>
  <w:num w:numId="2" w16cid:durableId="1639069212">
    <w:abstractNumId w:val="5"/>
  </w:num>
  <w:num w:numId="3" w16cid:durableId="135222162">
    <w:abstractNumId w:val="1"/>
  </w:num>
  <w:num w:numId="4" w16cid:durableId="1548446992">
    <w:abstractNumId w:val="4"/>
  </w:num>
  <w:num w:numId="5" w16cid:durableId="593902755">
    <w:abstractNumId w:val="3"/>
  </w:num>
  <w:num w:numId="6" w16cid:durableId="1838615162">
    <w:abstractNumId w:val="6"/>
  </w:num>
  <w:num w:numId="7" w16cid:durableId="1753429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BB"/>
    <w:rsid w:val="003657BB"/>
    <w:rsid w:val="00850416"/>
    <w:rsid w:val="00914570"/>
    <w:rsid w:val="009169F9"/>
    <w:rsid w:val="00A14FA3"/>
    <w:rsid w:val="00AC46A6"/>
    <w:rsid w:val="00CE6830"/>
    <w:rsid w:val="00EC079F"/>
    <w:rsid w:val="00FE6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422D"/>
  <w15:chartTrackingRefBased/>
  <w15:docId w15:val="{A7BE6CD9-1826-4882-8F5E-D6C9AB76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7BB"/>
    <w:rPr>
      <w:rFonts w:eastAsiaTheme="majorEastAsia" w:cstheme="majorBidi"/>
      <w:color w:val="272727" w:themeColor="text1" w:themeTint="D8"/>
    </w:rPr>
  </w:style>
  <w:style w:type="paragraph" w:styleId="Title">
    <w:name w:val="Title"/>
    <w:basedOn w:val="Normal"/>
    <w:next w:val="Normal"/>
    <w:link w:val="TitleChar"/>
    <w:uiPriority w:val="10"/>
    <w:qFormat/>
    <w:rsid w:val="00365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7BB"/>
    <w:pPr>
      <w:spacing w:before="160"/>
      <w:jc w:val="center"/>
    </w:pPr>
    <w:rPr>
      <w:i/>
      <w:iCs/>
      <w:color w:val="404040" w:themeColor="text1" w:themeTint="BF"/>
    </w:rPr>
  </w:style>
  <w:style w:type="character" w:customStyle="1" w:styleId="QuoteChar">
    <w:name w:val="Quote Char"/>
    <w:basedOn w:val="DefaultParagraphFont"/>
    <w:link w:val="Quote"/>
    <w:uiPriority w:val="29"/>
    <w:rsid w:val="003657BB"/>
    <w:rPr>
      <w:i/>
      <w:iCs/>
      <w:color w:val="404040" w:themeColor="text1" w:themeTint="BF"/>
    </w:rPr>
  </w:style>
  <w:style w:type="paragraph" w:styleId="ListParagraph">
    <w:name w:val="List Paragraph"/>
    <w:basedOn w:val="Normal"/>
    <w:uiPriority w:val="34"/>
    <w:qFormat/>
    <w:rsid w:val="003657BB"/>
    <w:pPr>
      <w:ind w:left="720"/>
      <w:contextualSpacing/>
    </w:pPr>
  </w:style>
  <w:style w:type="character" w:styleId="IntenseEmphasis">
    <w:name w:val="Intense Emphasis"/>
    <w:basedOn w:val="DefaultParagraphFont"/>
    <w:uiPriority w:val="21"/>
    <w:qFormat/>
    <w:rsid w:val="003657BB"/>
    <w:rPr>
      <w:i/>
      <w:iCs/>
      <w:color w:val="0F4761" w:themeColor="accent1" w:themeShade="BF"/>
    </w:rPr>
  </w:style>
  <w:style w:type="paragraph" w:styleId="IntenseQuote">
    <w:name w:val="Intense Quote"/>
    <w:basedOn w:val="Normal"/>
    <w:next w:val="Normal"/>
    <w:link w:val="IntenseQuoteChar"/>
    <w:uiPriority w:val="30"/>
    <w:qFormat/>
    <w:rsid w:val="00365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7BB"/>
    <w:rPr>
      <w:i/>
      <w:iCs/>
      <w:color w:val="0F4761" w:themeColor="accent1" w:themeShade="BF"/>
    </w:rPr>
  </w:style>
  <w:style w:type="character" w:styleId="IntenseReference">
    <w:name w:val="Intense Reference"/>
    <w:basedOn w:val="DefaultParagraphFont"/>
    <w:uiPriority w:val="32"/>
    <w:qFormat/>
    <w:rsid w:val="003657BB"/>
    <w:rPr>
      <w:b/>
      <w:bCs/>
      <w:smallCaps/>
      <w:color w:val="0F4761" w:themeColor="accent1" w:themeShade="BF"/>
      <w:spacing w:val="5"/>
    </w:rPr>
  </w:style>
  <w:style w:type="character" w:styleId="Hyperlink">
    <w:name w:val="Hyperlink"/>
    <w:basedOn w:val="DefaultParagraphFont"/>
    <w:uiPriority w:val="99"/>
    <w:unhideWhenUsed/>
    <w:rsid w:val="00850416"/>
    <w:rPr>
      <w:color w:val="467886" w:themeColor="hyperlink"/>
      <w:u w:val="single"/>
    </w:rPr>
  </w:style>
  <w:style w:type="character" w:styleId="UnresolvedMention">
    <w:name w:val="Unresolved Mention"/>
    <w:basedOn w:val="DefaultParagraphFont"/>
    <w:uiPriority w:val="99"/>
    <w:semiHidden/>
    <w:unhideWhenUsed/>
    <w:rsid w:val="00850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22201">
      <w:bodyDiv w:val="1"/>
      <w:marLeft w:val="0"/>
      <w:marRight w:val="0"/>
      <w:marTop w:val="0"/>
      <w:marBottom w:val="0"/>
      <w:divBdr>
        <w:top w:val="none" w:sz="0" w:space="0" w:color="auto"/>
        <w:left w:val="none" w:sz="0" w:space="0" w:color="auto"/>
        <w:bottom w:val="none" w:sz="0" w:space="0" w:color="auto"/>
        <w:right w:val="none" w:sz="0" w:space="0" w:color="auto"/>
      </w:divBdr>
    </w:div>
    <w:div w:id="644504810">
      <w:bodyDiv w:val="1"/>
      <w:marLeft w:val="0"/>
      <w:marRight w:val="0"/>
      <w:marTop w:val="0"/>
      <w:marBottom w:val="0"/>
      <w:divBdr>
        <w:top w:val="none" w:sz="0" w:space="0" w:color="auto"/>
        <w:left w:val="none" w:sz="0" w:space="0" w:color="auto"/>
        <w:bottom w:val="none" w:sz="0" w:space="0" w:color="auto"/>
        <w:right w:val="none" w:sz="0" w:space="0" w:color="auto"/>
      </w:divBdr>
    </w:div>
    <w:div w:id="1158577229">
      <w:bodyDiv w:val="1"/>
      <w:marLeft w:val="0"/>
      <w:marRight w:val="0"/>
      <w:marTop w:val="0"/>
      <w:marBottom w:val="0"/>
      <w:divBdr>
        <w:top w:val="none" w:sz="0" w:space="0" w:color="auto"/>
        <w:left w:val="none" w:sz="0" w:space="0" w:color="auto"/>
        <w:bottom w:val="none" w:sz="0" w:space="0" w:color="auto"/>
        <w:right w:val="none" w:sz="0" w:space="0" w:color="auto"/>
      </w:divBdr>
    </w:div>
    <w:div w:id="1169440153">
      <w:bodyDiv w:val="1"/>
      <w:marLeft w:val="0"/>
      <w:marRight w:val="0"/>
      <w:marTop w:val="0"/>
      <w:marBottom w:val="0"/>
      <w:divBdr>
        <w:top w:val="none" w:sz="0" w:space="0" w:color="auto"/>
        <w:left w:val="none" w:sz="0" w:space="0" w:color="auto"/>
        <w:bottom w:val="none" w:sz="0" w:space="0" w:color="auto"/>
        <w:right w:val="none" w:sz="0" w:space="0" w:color="auto"/>
      </w:divBdr>
    </w:div>
    <w:div w:id="15717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u/s!Amfo1lixPzv-j3k_230kv-58OmZW?e=x5WIz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Dallen Huang</dc:creator>
  <cp:keywords/>
  <dc:description/>
  <cp:lastModifiedBy>Dallen Huang</cp:lastModifiedBy>
  <cp:revision>4</cp:revision>
  <cp:lastPrinted>2024-11-12T18:03:00Z</cp:lastPrinted>
  <dcterms:created xsi:type="dcterms:W3CDTF">2024-11-12T17:36:00Z</dcterms:created>
  <dcterms:modified xsi:type="dcterms:W3CDTF">2024-12-17T21:00:00Z</dcterms:modified>
</cp:coreProperties>
</file>