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1f4e79"/>
          <w:sz w:val="48"/>
          <w:szCs w:val="48"/>
          <w:rtl w:val="0"/>
        </w:rPr>
        <w:t xml:space="preserve">Mortgage Risk Modeling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8"/>
          <w:szCs w:val="28"/>
          <w:rtl w:val="0"/>
        </w:rPr>
        <w:t xml:space="preserve">07. Project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6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4215"/>
        <w:tblGridChange w:id="0">
          <w:tblGrid>
            <w:gridCol w:w="1965"/>
            <w:gridCol w:w="4215"/>
          </w:tblGrid>
        </w:tblGridChange>
      </w:tblGrid>
      <w:tr>
        <w:trPr>
          <w:cantSplit w:val="0"/>
          <w:tblHeader w:val="0"/>
        </w:trPr>
        <w:tc>
          <w:tcPr>
            <w:shd w:fill="d9eaf7" w:val="clear"/>
            <w:tcMar>
              <w:top w:w="110.0" w:type="dxa"/>
              <w:bottom w:w="110.0" w:type="dxa"/>
            </w:tcMar>
            <w:vAlign w:val="center"/>
          </w:tcPr>
          <w:p w:rsidR="00000000" w:rsidDel="00000000" w:rsidP="00000000" w:rsidRDefault="00000000" w:rsidRPr="00000000" w14:paraId="00000004">
            <w:pPr>
              <w:rPr/>
            </w:pPr>
            <w:r w:rsidDel="00000000" w:rsidR="00000000" w:rsidRPr="00000000">
              <w:rPr>
                <w:rtl w:val="0"/>
              </w:rPr>
              <w:t xml:space="preserve">Prepared by</w:t>
            </w:r>
          </w:p>
        </w:tc>
        <w:tc>
          <w:tcPr>
            <w:tcMar>
              <w:top w:w="110.0" w:type="dxa"/>
              <w:bottom w:w="110.0" w:type="dxa"/>
            </w:tcMar>
            <w:vAlign w:val="center"/>
          </w:tcPr>
          <w:p w:rsidR="00000000" w:rsidDel="00000000" w:rsidP="00000000" w:rsidRDefault="00000000" w:rsidRPr="00000000" w14:paraId="00000005">
            <w:pPr>
              <w:rPr/>
            </w:pPr>
            <w:r w:rsidDel="00000000" w:rsidR="00000000" w:rsidRPr="00000000">
              <w:rPr>
                <w:rtl w:val="0"/>
              </w:rPr>
              <w:t xml:space="preserve">Dallen Huang</w:t>
            </w:r>
          </w:p>
        </w:tc>
      </w:tr>
      <w:tr>
        <w:trPr>
          <w:cantSplit w:val="0"/>
          <w:tblHeader w:val="0"/>
        </w:trPr>
        <w:tc>
          <w:tcPr>
            <w:shd w:fill="d9eaf7" w:val="clear"/>
            <w:tcMar>
              <w:top w:w="110.0" w:type="dxa"/>
              <w:bottom w:w="110.0" w:type="dxa"/>
            </w:tcMar>
            <w:vAlign w:val="center"/>
          </w:tcPr>
          <w:p w:rsidR="00000000" w:rsidDel="00000000" w:rsidP="00000000" w:rsidRDefault="00000000" w:rsidRPr="00000000" w14:paraId="00000006">
            <w:pPr>
              <w:rPr/>
            </w:pPr>
            <w:r w:rsidDel="00000000" w:rsidR="00000000" w:rsidRPr="00000000">
              <w:rPr>
                <w:rtl w:val="0"/>
              </w:rPr>
              <w:t xml:space="preserve">Project Scope</w:t>
            </w:r>
          </w:p>
        </w:tc>
        <w:tc>
          <w:tcPr>
            <w:tcMar>
              <w:top w:w="110.0" w:type="dxa"/>
              <w:bottom w:w="110.0" w:type="dxa"/>
            </w:tcMar>
            <w:vAlign w:val="center"/>
          </w:tcPr>
          <w:p w:rsidR="00000000" w:rsidDel="00000000" w:rsidP="00000000" w:rsidRDefault="00000000" w:rsidRPr="00000000" w14:paraId="00000007">
            <w:pPr>
              <w:rPr/>
            </w:pPr>
            <w:r w:rsidDel="00000000" w:rsidR="00000000" w:rsidRPr="00000000">
              <w:rPr>
                <w:rtl w:val="0"/>
              </w:rPr>
              <w:t xml:space="preserve">Binary classification for mortgage default risk and mortgage prepayment risk</w:t>
            </w:r>
          </w:p>
        </w:tc>
      </w:tr>
    </w:tbl>
    <w:p w:rsidR="00000000" w:rsidDel="00000000" w:rsidP="00000000" w:rsidRDefault="00000000" w:rsidRPr="00000000" w14:paraId="000000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Executive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project developed two predictive models to analyze key mortgage outcomes: </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b w:val="1"/>
          <w:bCs w:val="1"/>
          <w:rtl w:val="0"/>
        </w:rPr>
        <w:t xml:space="preserve">Default</w:t>
      </w:r>
      <w:r w:rsidDel="00000000" w:rsidR="00000000" w:rsidRPr="00000000">
        <w:rPr>
          <w:rtl w:val="0"/>
        </w:rPr>
        <w:t xml:space="preserve">, defined as loans that became seriously delinquent.</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Prepayment</w:t>
      </w:r>
      <w:r w:rsidDel="00000000" w:rsidR="00000000" w:rsidRPr="00000000">
        <w:rPr>
          <w:rtl w:val="0"/>
        </w:rPr>
        <w:t xml:space="preserve">, defined as loans that were voluntarily paid off before maturity. </w:t>
      </w:r>
    </w:p>
    <w:p w:rsidR="00000000" w:rsidDel="00000000" w:rsidP="00000000" w:rsidRDefault="00000000" w:rsidRPr="00000000" w14:paraId="0000000E">
      <w:pPr>
        <w:ind w:left="0" w:firstLine="0"/>
        <w:rPr/>
      </w:pPr>
      <w:r w:rsidDel="00000000" w:rsidR="00000000" w:rsidRPr="00000000">
        <w:rPr>
          <w:rtl w:val="0"/>
        </w:rPr>
        <w:t xml:space="preserve">Using historical mortgage performance data, the project evaluated whether borrower, loan, and property characteristics could help predict these outcomes. Both are important to mortgage lenders and investors: default affects credit risk and servicing performance, while prepayment affects cash flow timing and portfolio runoff. Because these outcomes reflect different borrower behaviors and different dimensions of mortgage risk, they were modeled separately.</w:t>
      </w:r>
    </w:p>
    <w:p w:rsidR="00000000" w:rsidDel="00000000" w:rsidP="00000000" w:rsidRDefault="00000000" w:rsidRPr="00000000" w14:paraId="0000000F">
      <w:pPr>
        <w:pStyle w:val="Heading1"/>
        <w:rPr/>
      </w:pPr>
      <w:r w:rsidDel="00000000" w:rsidR="00000000" w:rsidRPr="00000000">
        <w:rPr>
          <w:rtl w:val="0"/>
        </w:rPr>
        <w:t xml:space="preserve">2. Data and Target Summary</w:t>
      </w:r>
    </w:p>
    <w:p w:rsidR="00000000" w:rsidDel="00000000" w:rsidP="00000000" w:rsidRDefault="00000000" w:rsidRPr="00000000" w14:paraId="00000010">
      <w:pPr>
        <w:rPr/>
      </w:pPr>
      <w:r w:rsidDel="00000000" w:rsidR="00000000" w:rsidRPr="00000000">
        <w:rPr>
          <w:rtl w:val="0"/>
        </w:rPr>
      </w:r>
    </w:p>
    <w:tbl>
      <w:tblPr>
        <w:tblStyle w:val="Table2"/>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6150"/>
        <w:tblGridChange w:id="0">
          <w:tblGrid>
            <w:gridCol w:w="3780"/>
            <w:gridCol w:w="6150"/>
          </w:tblGrid>
        </w:tblGridChange>
      </w:tblGrid>
      <w:tr>
        <w:trPr>
          <w:cantSplit w:val="0"/>
          <w:tblHeader w:val="0"/>
        </w:trPr>
        <w:tc>
          <w:tcPr>
            <w:shd w:fill="eaf1fb" w:val="clear"/>
            <w:tcMar>
              <w:top w:w="80.0" w:type="dxa"/>
              <w:bottom w:w="80.0" w:type="dxa"/>
            </w:tcMar>
            <w:vAlign w:val="center"/>
          </w:tcPr>
          <w:p w:rsidR="00000000" w:rsidDel="00000000" w:rsidP="00000000" w:rsidRDefault="00000000" w:rsidRPr="00000000" w14:paraId="00000011">
            <w:pPr>
              <w:spacing w:line="264" w:lineRule="auto"/>
              <w:rPr/>
            </w:pPr>
            <w:r w:rsidDel="00000000" w:rsidR="00000000" w:rsidRPr="00000000">
              <w:rPr>
                <w:b w:val="1"/>
                <w:bCs w:val="1"/>
                <w:color w:val="1f3756"/>
                <w:sz w:val="20"/>
                <w:szCs w:val="20"/>
                <w:rtl w:val="0"/>
              </w:rPr>
              <w:t xml:space="preserve">Source data size</w:t>
            </w:r>
            <w:r w:rsidDel="00000000" w:rsidR="00000000" w:rsidRPr="00000000">
              <w:rPr>
                <w:rtl w:val="0"/>
              </w:rPr>
            </w:r>
          </w:p>
        </w:tc>
        <w:tc>
          <w:tcPr>
            <w:shd w:fill="eaf1fb" w:val="clear"/>
            <w:tcMar>
              <w:top w:w="80.0" w:type="dxa"/>
              <w:bottom w:w="80.0" w:type="dxa"/>
            </w:tcMar>
            <w:vAlign w:val="center"/>
          </w:tcPr>
          <w:p w:rsidR="00000000" w:rsidDel="00000000" w:rsidP="00000000" w:rsidRDefault="00000000" w:rsidRPr="00000000" w14:paraId="00000012">
            <w:pPr>
              <w:spacing w:line="264" w:lineRule="auto"/>
              <w:rPr/>
            </w:pPr>
            <w:r w:rsidDel="00000000" w:rsidR="00000000" w:rsidRPr="00000000">
              <w:rPr>
                <w:b w:val="1"/>
                <w:bCs w:val="1"/>
                <w:color w:val="1f3756"/>
                <w:sz w:val="20"/>
                <w:szCs w:val="20"/>
                <w:rtl w:val="0"/>
              </w:rPr>
              <w:t xml:space="preserve">Summary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3">
            <w:pPr>
              <w:spacing w:line="264" w:lineRule="auto"/>
              <w:rPr/>
            </w:pPr>
            <w:r w:rsidDel="00000000" w:rsidR="00000000" w:rsidRPr="00000000">
              <w:rPr>
                <w:sz w:val="20"/>
                <w:szCs w:val="20"/>
                <w:rtl w:val="0"/>
              </w:rPr>
              <w:t xml:space="preserve">Geographic 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4">
            <w:pPr>
              <w:spacing w:line="264" w:lineRule="auto"/>
              <w:rPr/>
            </w:pPr>
            <w:r w:rsidDel="00000000" w:rsidR="00000000" w:rsidRPr="00000000">
              <w:rPr>
                <w:sz w:val="20"/>
                <w:szCs w:val="20"/>
                <w:rtl w:val="0"/>
              </w:rPr>
              <w:t xml:space="preserve">Five states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5">
            <w:pPr>
              <w:spacing w:line="264" w:lineRule="auto"/>
              <w:rPr>
                <w:sz w:val="20"/>
                <w:szCs w:val="20"/>
              </w:rPr>
            </w:pPr>
            <w:r w:rsidDel="00000000" w:rsidR="00000000" w:rsidRPr="00000000">
              <w:rPr>
                <w:sz w:val="20"/>
                <w:szCs w:val="20"/>
                <w:rtl w:val="0"/>
              </w:rPr>
              <w:t xml:space="preserve">Entries</w:t>
            </w:r>
          </w:p>
        </w:tc>
        <w:tc>
          <w:tcPr>
            <w:tcMar>
              <w:top w:w="80.0" w:type="dxa"/>
              <w:bottom w:w="80.0" w:type="dxa"/>
            </w:tcMar>
            <w:vAlign w:val="center"/>
          </w:tcPr>
          <w:p w:rsidR="00000000" w:rsidDel="00000000" w:rsidP="00000000" w:rsidRDefault="00000000" w:rsidRPr="00000000" w14:paraId="00000016">
            <w:pPr>
              <w:spacing w:line="264" w:lineRule="auto"/>
              <w:rPr>
                <w:sz w:val="20"/>
                <w:szCs w:val="20"/>
              </w:rPr>
            </w:pPr>
            <w:r w:rsidDel="00000000" w:rsidR="00000000" w:rsidRPr="00000000">
              <w:rPr>
                <w:sz w:val="20"/>
                <w:szCs w:val="20"/>
                <w:rtl w:val="0"/>
              </w:rPr>
              <w:t xml:space="preserve">2,071,611 rows</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17">
            <w:pPr>
              <w:spacing w:line="264" w:lineRule="auto"/>
              <w:rPr/>
            </w:pPr>
            <w:r w:rsidDel="00000000" w:rsidR="00000000" w:rsidRPr="00000000">
              <w:rPr>
                <w:sz w:val="20"/>
                <w:szCs w:val="20"/>
                <w:rtl w:val="0"/>
              </w:rPr>
              <w:t xml:space="preserve">Unique loans</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18">
            <w:pPr>
              <w:spacing w:line="264" w:lineRule="auto"/>
              <w:rPr/>
            </w:pPr>
            <w:r w:rsidDel="00000000" w:rsidR="00000000" w:rsidRPr="00000000">
              <w:rPr>
                <w:sz w:val="20"/>
                <w:szCs w:val="20"/>
                <w:rtl w:val="0"/>
              </w:rPr>
              <w:t xml:space="preserve">104,924 unique LOAN_ID values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9">
            <w:pPr>
              <w:spacing w:line="264" w:lineRule="auto"/>
              <w:rPr>
                <w:sz w:val="20"/>
                <w:szCs w:val="20"/>
              </w:rPr>
            </w:pPr>
            <w:r w:rsidDel="00000000" w:rsidR="00000000" w:rsidRPr="00000000">
              <w:rPr>
                <w:sz w:val="20"/>
                <w:szCs w:val="20"/>
                <w:rtl w:val="0"/>
              </w:rPr>
              <w:t xml:space="preserve">Starting columns</w:t>
            </w:r>
          </w:p>
        </w:tc>
        <w:tc>
          <w:tcPr>
            <w:tcMar>
              <w:top w:w="80.0" w:type="dxa"/>
              <w:bottom w:w="80.0" w:type="dxa"/>
            </w:tcMar>
            <w:vAlign w:val="center"/>
          </w:tcPr>
          <w:p w:rsidR="00000000" w:rsidDel="00000000" w:rsidP="00000000" w:rsidRDefault="00000000" w:rsidRPr="00000000" w14:paraId="0000001A">
            <w:pPr>
              <w:spacing w:line="264" w:lineRule="auto"/>
              <w:rPr>
                <w:sz w:val="20"/>
                <w:szCs w:val="20"/>
              </w:rPr>
            </w:pPr>
            <w:r w:rsidDel="00000000" w:rsidR="00000000" w:rsidRPr="00000000">
              <w:rPr>
                <w:sz w:val="20"/>
                <w:szCs w:val="20"/>
                <w:rtl w:val="0"/>
              </w:rPr>
              <w:t xml:space="preserve">108 columns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B">
            <w:pPr>
              <w:spacing w:line="264" w:lineRule="auto"/>
              <w:rPr/>
            </w:pPr>
            <w:r w:rsidDel="00000000" w:rsidR="00000000" w:rsidRPr="00000000">
              <w:rPr>
                <w:sz w:val="20"/>
                <w:szCs w:val="20"/>
                <w:rtl w:val="0"/>
              </w:rPr>
              <w:t xml:space="preserve">Default target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line="264" w:lineRule="auto"/>
              <w:rPr/>
            </w:pPr>
            <w:r w:rsidDel="00000000" w:rsidR="00000000" w:rsidRPr="00000000">
              <w:rPr>
                <w:sz w:val="20"/>
                <w:szCs w:val="20"/>
                <w:rtl w:val="0"/>
              </w:rPr>
              <w:t xml:space="preserve">Approximately 2.35%</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1D">
            <w:pPr>
              <w:spacing w:line="264" w:lineRule="auto"/>
              <w:rPr/>
            </w:pPr>
            <w:r w:rsidDel="00000000" w:rsidR="00000000" w:rsidRPr="00000000">
              <w:rPr>
                <w:sz w:val="20"/>
                <w:szCs w:val="20"/>
                <w:rtl w:val="0"/>
              </w:rPr>
              <w:t xml:space="preserve">Prepayment target rate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1E">
            <w:pPr>
              <w:spacing w:line="264" w:lineRule="auto"/>
              <w:rPr/>
            </w:pPr>
            <w:r w:rsidDel="00000000" w:rsidR="00000000" w:rsidRPr="00000000">
              <w:rPr>
                <w:sz w:val="20"/>
                <w:szCs w:val="20"/>
                <w:rtl w:val="0"/>
              </w:rPr>
              <w:t xml:space="preserve">Approximately 50.9%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F">
            <w:pPr>
              <w:spacing w:line="264" w:lineRule="auto"/>
              <w:rPr/>
            </w:pPr>
            <w:r w:rsidDel="00000000" w:rsidR="00000000" w:rsidRPr="00000000">
              <w:rPr>
                <w:sz w:val="20"/>
                <w:szCs w:val="20"/>
                <w:rtl w:val="0"/>
              </w:rPr>
              <w:t xml:space="preserve">Modeling implication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line="264" w:lineRule="auto"/>
              <w:rPr/>
            </w:pPr>
            <w:r w:rsidDel="00000000" w:rsidR="00000000" w:rsidRPr="00000000">
              <w:rPr>
                <w:sz w:val="20"/>
                <w:szCs w:val="20"/>
                <w:rtl w:val="0"/>
              </w:rPr>
              <w:t xml:space="preserve">Default is a low-base-rate event and therefore harder to predict reliably than prepayment</w:t>
            </w:r>
            <w:r w:rsidDel="00000000" w:rsidR="00000000" w:rsidRPr="00000000">
              <w:rPr>
                <w:rtl w:val="0"/>
              </w:rPr>
            </w:r>
          </w:p>
        </w:tc>
      </w:tr>
    </w:tbl>
    <w:p w:rsidR="00000000" w:rsidDel="00000000" w:rsidP="00000000" w:rsidRDefault="00000000" w:rsidRPr="00000000" w14:paraId="00000021">
      <w:pPr>
        <w:pStyle w:val="Heading1"/>
        <w:rPr/>
      </w:pPr>
      <w:bookmarkStart w:colFirst="0" w:colLast="0" w:name="_heading=h.cludvyz55f3v" w:id="0"/>
      <w:bookmarkEnd w:id="0"/>
      <w:r w:rsidDel="00000000" w:rsidR="00000000" w:rsidRPr="00000000">
        <w:rPr>
          <w:rtl w:val="0"/>
        </w:rPr>
        <w:t xml:space="preserve">3. Feature Engineering Results</w:t>
      </w:r>
    </w:p>
    <w:p w:rsidR="00000000" w:rsidDel="00000000" w:rsidP="00000000" w:rsidRDefault="00000000" w:rsidRPr="00000000" w14:paraId="00000022">
      <w:pPr>
        <w:rPr/>
      </w:pPr>
      <w:r w:rsidDel="00000000" w:rsidR="00000000" w:rsidRPr="00000000">
        <w:rPr>
          <w:rtl w:val="0"/>
        </w:rPr>
      </w:r>
    </w:p>
    <w:tbl>
      <w:tblPr>
        <w:tblStyle w:val="Table3"/>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6135"/>
        <w:tblGridChange w:id="0">
          <w:tblGrid>
            <w:gridCol w:w="3795"/>
            <w:gridCol w:w="6135"/>
          </w:tblGrid>
        </w:tblGridChange>
      </w:tblGrid>
      <w:tr>
        <w:trPr>
          <w:cantSplit w:val="0"/>
          <w:tblHeader w:val="0"/>
        </w:trPr>
        <w:tc>
          <w:tcPr>
            <w:shd w:fill="eaf1fb" w:val="clear"/>
            <w:tcMar>
              <w:top w:w="80.0" w:type="dxa"/>
              <w:bottom w:w="80.0" w:type="dxa"/>
            </w:tcMar>
            <w:vAlign w:val="center"/>
          </w:tcPr>
          <w:p w:rsidR="00000000" w:rsidDel="00000000" w:rsidP="00000000" w:rsidRDefault="00000000" w:rsidRPr="00000000" w14:paraId="00000023">
            <w:pPr>
              <w:spacing w:line="264" w:lineRule="auto"/>
              <w:rPr/>
            </w:pPr>
            <w:r w:rsidDel="00000000" w:rsidR="00000000" w:rsidRPr="00000000">
              <w:rPr>
                <w:b w:val="1"/>
                <w:bCs w:val="1"/>
                <w:color w:val="1f3756"/>
                <w:sz w:val="20"/>
                <w:szCs w:val="20"/>
                <w:rtl w:val="0"/>
              </w:rPr>
              <w:t xml:space="preserve">Target design</w:t>
            </w:r>
            <w:r w:rsidDel="00000000" w:rsidR="00000000" w:rsidRPr="00000000">
              <w:rPr>
                <w:rtl w:val="0"/>
              </w:rPr>
            </w:r>
          </w:p>
        </w:tc>
        <w:tc>
          <w:tcPr>
            <w:shd w:fill="eaf1fb" w:val="clear"/>
            <w:tcMar>
              <w:top w:w="80.0" w:type="dxa"/>
              <w:bottom w:w="80.0" w:type="dxa"/>
            </w:tcMar>
            <w:vAlign w:val="center"/>
          </w:tcPr>
          <w:p w:rsidR="00000000" w:rsidDel="00000000" w:rsidP="00000000" w:rsidRDefault="00000000" w:rsidRPr="00000000" w14:paraId="00000024">
            <w:pPr>
              <w:spacing w:line="264" w:lineRule="auto"/>
              <w:rPr/>
            </w:pPr>
            <w:r w:rsidDel="00000000" w:rsidR="00000000" w:rsidRPr="00000000">
              <w:rPr>
                <w:b w:val="1"/>
                <w:bCs w:val="1"/>
                <w:color w:val="1f3756"/>
                <w:sz w:val="20"/>
                <w:szCs w:val="20"/>
                <w:rtl w:val="0"/>
              </w:rPr>
              <w:t xml:space="preserve">Created separate binary targets for default and prepayment </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5">
            <w:pPr>
              <w:spacing w:line="264" w:lineRule="auto"/>
              <w:rPr/>
            </w:pPr>
            <w:r w:rsidDel="00000000" w:rsidR="00000000" w:rsidRPr="00000000">
              <w:rPr>
                <w:sz w:val="20"/>
                <w:szCs w:val="20"/>
                <w:rtl w:val="0"/>
              </w:rPr>
              <w:t xml:space="preserve">Categorical simplification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line="264" w:lineRule="auto"/>
              <w:rPr/>
            </w:pPr>
            <w:r w:rsidDel="00000000" w:rsidR="00000000" w:rsidRPr="00000000">
              <w:rPr>
                <w:sz w:val="20"/>
                <w:szCs w:val="20"/>
                <w:rtl w:val="0"/>
              </w:rPr>
              <w:t xml:space="preserve">Consolidated selected rare or overly granular categories to improve model usability</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27">
            <w:pPr>
              <w:spacing w:line="264" w:lineRule="auto"/>
              <w:rPr/>
            </w:pPr>
            <w:r w:rsidDel="00000000" w:rsidR="00000000" w:rsidRPr="00000000">
              <w:rPr>
                <w:sz w:val="20"/>
                <w:szCs w:val="20"/>
                <w:rtl w:val="0"/>
              </w:rPr>
              <w:t xml:space="preserve">Mortgage insurance feature</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28">
            <w:pPr>
              <w:spacing w:line="264" w:lineRule="auto"/>
              <w:rPr/>
            </w:pPr>
            <w:r w:rsidDel="00000000" w:rsidR="00000000" w:rsidRPr="00000000">
              <w:rPr>
                <w:sz w:val="20"/>
                <w:szCs w:val="20"/>
                <w:rtl w:val="0"/>
              </w:rPr>
              <w:t xml:space="preserve">Converted MI information into a simplified flag structure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9">
            <w:pPr>
              <w:spacing w:line="264" w:lineRule="auto"/>
              <w:rPr/>
            </w:pPr>
            <w:r w:rsidDel="00000000" w:rsidR="00000000" w:rsidRPr="00000000">
              <w:rPr>
                <w:sz w:val="20"/>
                <w:szCs w:val="20"/>
                <w:rtl w:val="0"/>
              </w:rPr>
              <w:t xml:space="preserve">Loan term feature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line="264" w:lineRule="auto"/>
              <w:rPr/>
            </w:pPr>
            <w:r w:rsidDel="00000000" w:rsidR="00000000" w:rsidRPr="00000000">
              <w:rPr>
                <w:sz w:val="20"/>
                <w:szCs w:val="20"/>
                <w:rtl w:val="0"/>
              </w:rPr>
              <w:t xml:space="preserve">Grouped term values into practical bins such as 15-year, 30-year, and other</w:t>
            </w:r>
            <w:r w:rsidDel="00000000" w:rsidR="00000000" w:rsidRPr="00000000">
              <w:rPr>
                <w:rtl w:val="0"/>
              </w:rPr>
            </w:r>
          </w:p>
        </w:tc>
      </w:tr>
      <w:tr>
        <w:trPr>
          <w:cantSplit w:val="0"/>
          <w:tblHeader w:val="0"/>
        </w:trPr>
        <w:tc>
          <w:tcPr>
            <w:shd w:fill="f7f9fc" w:val="clear"/>
            <w:tcMar>
              <w:top w:w="80.0" w:type="dxa"/>
              <w:bottom w:w="80.0" w:type="dxa"/>
            </w:tcMar>
            <w:vAlign w:val="center"/>
          </w:tcPr>
          <w:p w:rsidR="00000000" w:rsidDel="00000000" w:rsidP="00000000" w:rsidRDefault="00000000" w:rsidRPr="00000000" w14:paraId="0000002B">
            <w:pPr>
              <w:spacing w:line="264" w:lineRule="auto"/>
              <w:rPr/>
            </w:pPr>
            <w:r w:rsidDel="00000000" w:rsidR="00000000" w:rsidRPr="00000000">
              <w:rPr>
                <w:sz w:val="20"/>
                <w:szCs w:val="20"/>
                <w:rtl w:val="0"/>
              </w:rPr>
              <w:t xml:space="preserve">Derived ratios</w:t>
            </w:r>
            <w:r w:rsidDel="00000000" w:rsidR="00000000" w:rsidRPr="00000000">
              <w:rPr>
                <w:rtl w:val="0"/>
              </w:rPr>
            </w:r>
          </w:p>
        </w:tc>
        <w:tc>
          <w:tcPr>
            <w:shd w:fill="f7f9fc" w:val="clear"/>
            <w:tcMar>
              <w:top w:w="80.0" w:type="dxa"/>
              <w:bottom w:w="80.0" w:type="dxa"/>
            </w:tcMar>
            <w:vAlign w:val="center"/>
          </w:tcPr>
          <w:p w:rsidR="00000000" w:rsidDel="00000000" w:rsidP="00000000" w:rsidRDefault="00000000" w:rsidRPr="00000000" w14:paraId="0000002C">
            <w:pPr>
              <w:spacing w:line="264" w:lineRule="auto"/>
              <w:rPr/>
            </w:pPr>
            <w:r w:rsidDel="00000000" w:rsidR="00000000" w:rsidRPr="00000000">
              <w:rPr>
                <w:sz w:val="20"/>
                <w:szCs w:val="20"/>
                <w:rtl w:val="0"/>
              </w:rPr>
              <w:t xml:space="preserve">Created additional variables such as DTI_LTV and DTI_UPB to capture interaction effects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D">
            <w:pPr>
              <w:spacing w:line="264" w:lineRule="auto"/>
              <w:rPr/>
            </w:pPr>
            <w:r w:rsidDel="00000000" w:rsidR="00000000" w:rsidRPr="00000000">
              <w:rPr>
                <w:sz w:val="20"/>
                <w:szCs w:val="20"/>
                <w:rtl w:val="0"/>
              </w:rPr>
              <w:t xml:space="preserve">Value transformation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line="264" w:lineRule="auto"/>
              <w:rPr/>
            </w:pPr>
            <w:r w:rsidDel="00000000" w:rsidR="00000000" w:rsidRPr="00000000">
              <w:rPr>
                <w:sz w:val="20"/>
                <w:szCs w:val="20"/>
                <w:rtl w:val="0"/>
              </w:rPr>
              <w:t xml:space="preserve">Added value-based engineered fields including home-value style measures and log-style variants where appropriate</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4. Default Model Results</w:t>
      </w:r>
    </w:p>
    <w:p w:rsidR="00000000" w:rsidDel="00000000" w:rsidP="00000000" w:rsidRDefault="00000000" w:rsidRPr="00000000" w14:paraId="00000030">
      <w:pPr>
        <w:rPr/>
      </w:pP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31">
            <w:pPr>
              <w:rPr/>
            </w:pPr>
            <w:r w:rsidDel="00000000" w:rsidR="00000000" w:rsidRPr="00000000">
              <w:rPr>
                <w:rtl w:val="0"/>
              </w:rPr>
              <w:t xml:space="preserve">Target</w:t>
            </w:r>
          </w:p>
        </w:tc>
        <w:tc>
          <w:tcPr>
            <w:shd w:fill="d9eaf7" w:val="clear"/>
            <w:tcMar>
              <w:top w:w="80.0" w:type="dxa"/>
              <w:bottom w:w="80.0" w:type="dxa"/>
            </w:tcMar>
            <w:vAlign w:val="center"/>
          </w:tcPr>
          <w:p w:rsidR="00000000" w:rsidDel="00000000" w:rsidP="00000000" w:rsidRDefault="00000000" w:rsidRPr="00000000" w14:paraId="00000032">
            <w:pPr>
              <w:rPr/>
            </w:pPr>
            <w:r w:rsidDel="00000000" w:rsidR="00000000" w:rsidRPr="00000000">
              <w:rPr>
                <w:rtl w:val="0"/>
              </w:rPr>
              <w:t xml:space="preserve">Default</w:t>
            </w:r>
          </w:p>
        </w:tc>
      </w:tr>
      <w:tr>
        <w:trPr>
          <w:cantSplit w:val="0"/>
          <w:tblHeader w:val="0"/>
        </w:trPr>
        <w:tc>
          <w:tcPr>
            <w:tcMar>
              <w:top w:w="80.0" w:type="dxa"/>
              <w:bottom w:w="80.0" w:type="dxa"/>
            </w:tcMar>
            <w:vAlign w:val="center"/>
          </w:tcPr>
          <w:p w:rsidR="00000000" w:rsidDel="00000000" w:rsidP="00000000" w:rsidRDefault="00000000" w:rsidRPr="00000000" w14:paraId="00000033">
            <w:pPr>
              <w:rPr/>
            </w:pPr>
            <w:r w:rsidDel="00000000" w:rsidR="00000000" w:rsidRPr="00000000">
              <w:rPr>
                <w:rtl w:val="0"/>
              </w:rPr>
              <w:t xml:space="preserve">Model name</w:t>
            </w:r>
          </w:p>
        </w:tc>
        <w:tc>
          <w:tcPr>
            <w:tcMar>
              <w:top w:w="80.0" w:type="dxa"/>
              <w:bottom w:w="80.0" w:type="dxa"/>
            </w:tcMar>
            <w:vAlign w:val="center"/>
          </w:tcPr>
          <w:p w:rsidR="00000000" w:rsidDel="00000000" w:rsidP="00000000" w:rsidRDefault="00000000" w:rsidRPr="00000000" w14:paraId="00000034">
            <w:pPr>
              <w:rPr/>
            </w:pPr>
            <w:r w:rsidDel="00000000" w:rsidR="00000000" w:rsidRPr="00000000">
              <w:rPr>
                <w:rtl w:val="0"/>
              </w:rPr>
              <w:t xml:space="preserve">Gradient Boosting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5">
            <w:pPr>
              <w:rPr/>
            </w:pPr>
            <w:r w:rsidDel="00000000" w:rsidR="00000000" w:rsidRPr="00000000">
              <w:rPr>
                <w:rtl w:val="0"/>
              </w:rPr>
              <w:t xml:space="preserve">Threshold used</w:t>
            </w:r>
          </w:p>
        </w:tc>
        <w:tc>
          <w:tcPr>
            <w:tcMar>
              <w:top w:w="80.0" w:type="dxa"/>
              <w:bottom w:w="80.0" w:type="dxa"/>
            </w:tcMar>
            <w:vAlign w:val="center"/>
          </w:tcPr>
          <w:p w:rsidR="00000000" w:rsidDel="00000000" w:rsidP="00000000" w:rsidRDefault="00000000" w:rsidRPr="00000000" w14:paraId="00000036">
            <w:pPr>
              <w:rPr/>
            </w:pPr>
            <w:r w:rsidDel="00000000" w:rsidR="00000000" w:rsidRPr="00000000">
              <w:rPr>
                <w:rtl w:val="0"/>
              </w:rPr>
              <w:t xml:space="preserve">0.5</w:t>
            </w:r>
          </w:p>
        </w:tc>
      </w:tr>
      <w:tr>
        <w:trPr>
          <w:cantSplit w:val="0"/>
          <w:tblHeader w:val="0"/>
        </w:trPr>
        <w:tc>
          <w:tcPr>
            <w:tcMar>
              <w:top w:w="80.0" w:type="dxa"/>
              <w:bottom w:w="80.0" w:type="dxa"/>
            </w:tcMar>
            <w:vAlign w:val="center"/>
          </w:tcPr>
          <w:p w:rsidR="00000000" w:rsidDel="00000000" w:rsidP="00000000" w:rsidRDefault="00000000" w:rsidRPr="00000000" w14:paraId="00000037">
            <w:pPr>
              <w:rPr/>
            </w:pPr>
            <w:r w:rsidDel="00000000" w:rsidR="00000000" w:rsidRPr="00000000">
              <w:rPr>
                <w:rtl w:val="0"/>
              </w:rPr>
              <w:t xml:space="preserve">AUC-ROC</w:t>
            </w:r>
          </w:p>
        </w:tc>
        <w:tc>
          <w:tcPr>
            <w:tcMar>
              <w:top w:w="80.0" w:type="dxa"/>
              <w:bottom w:w="80.0" w:type="dxa"/>
            </w:tcMar>
            <w:vAlign w:val="center"/>
          </w:tcPr>
          <w:p w:rsidR="00000000" w:rsidDel="00000000" w:rsidP="00000000" w:rsidRDefault="00000000" w:rsidRPr="00000000" w14:paraId="00000038">
            <w:pPr>
              <w:rPr/>
            </w:pPr>
            <w:r w:rsidDel="00000000" w:rsidR="00000000" w:rsidRPr="00000000">
              <w:rPr>
                <w:rtl w:val="0"/>
              </w:rPr>
              <w:t xml:space="preserve">0.759</w:t>
            </w:r>
          </w:p>
        </w:tc>
      </w:tr>
      <w:tr>
        <w:trPr>
          <w:cantSplit w:val="0"/>
          <w:tblHeader w:val="0"/>
        </w:trPr>
        <w:tc>
          <w:tcPr>
            <w:tcMar>
              <w:top w:w="80.0" w:type="dxa"/>
              <w:bottom w:w="80.0" w:type="dxa"/>
            </w:tcMar>
            <w:vAlign w:val="center"/>
          </w:tcPr>
          <w:p w:rsidR="00000000" w:rsidDel="00000000" w:rsidP="00000000" w:rsidRDefault="00000000" w:rsidRPr="00000000" w14:paraId="00000039">
            <w:pPr>
              <w:rPr/>
            </w:pPr>
            <w:r w:rsidDel="00000000" w:rsidR="00000000" w:rsidRPr="00000000">
              <w:rPr>
                <w:rtl w:val="0"/>
              </w:rPr>
              <w:t xml:space="preserve">Recall</w:t>
            </w:r>
          </w:p>
        </w:tc>
        <w:tc>
          <w:tcPr>
            <w:tcMar>
              <w:top w:w="80.0" w:type="dxa"/>
              <w:bottom w:w="80.0" w:type="dxa"/>
            </w:tcMar>
            <w:vAlign w:val="center"/>
          </w:tcPr>
          <w:p w:rsidR="00000000" w:rsidDel="00000000" w:rsidP="00000000" w:rsidRDefault="00000000" w:rsidRPr="00000000" w14:paraId="0000003A">
            <w:pPr>
              <w:rPr/>
            </w:pPr>
            <w:r w:rsidDel="00000000" w:rsidR="00000000" w:rsidRPr="00000000">
              <w:rPr>
                <w:rtl w:val="0"/>
              </w:rPr>
              <w:t xml:space="preserve">0.702</w:t>
            </w:r>
          </w:p>
        </w:tc>
      </w:tr>
      <w:tr>
        <w:trPr>
          <w:cantSplit w:val="0"/>
          <w:tblHeader w:val="0"/>
        </w:trPr>
        <w:tc>
          <w:tcPr>
            <w:tcMar>
              <w:top w:w="80.0" w:type="dxa"/>
              <w:bottom w:w="80.0" w:type="dxa"/>
            </w:tcMar>
            <w:vAlign w:val="center"/>
          </w:tcPr>
          <w:p w:rsidR="00000000" w:rsidDel="00000000" w:rsidP="00000000" w:rsidRDefault="00000000" w:rsidRPr="00000000" w14:paraId="0000003B">
            <w:pPr>
              <w:rPr/>
            </w:pPr>
            <w:r w:rsidDel="00000000" w:rsidR="00000000" w:rsidRPr="00000000">
              <w:rPr>
                <w:rtl w:val="0"/>
              </w:rPr>
              <w:t xml:space="preserve">F1 score</w:t>
            </w:r>
          </w:p>
        </w:tc>
        <w:tc>
          <w:tcPr>
            <w:tcMar>
              <w:top w:w="80.0" w:type="dxa"/>
              <w:bottom w:w="80.0" w:type="dxa"/>
            </w:tcMar>
            <w:vAlign w:val="center"/>
          </w:tcPr>
          <w:p w:rsidR="00000000" w:rsidDel="00000000" w:rsidP="00000000" w:rsidRDefault="00000000" w:rsidRPr="00000000" w14:paraId="0000003C">
            <w:pPr>
              <w:rPr/>
            </w:pPr>
            <w:r w:rsidDel="00000000" w:rsidR="00000000" w:rsidRPr="00000000">
              <w:rPr>
                <w:rtl w:val="0"/>
              </w:rPr>
              <w:t xml:space="preserve">0.098</w:t>
            </w:r>
          </w:p>
        </w:tc>
      </w:tr>
    </w:tbl>
    <w:p w:rsidR="00000000" w:rsidDel="00000000" w:rsidP="00000000" w:rsidRDefault="00000000" w:rsidRPr="00000000" w14:paraId="0000003D">
      <w:pPr>
        <w:pStyle w:val="Heading2"/>
        <w:rPr/>
      </w:pPr>
      <w:bookmarkStart w:colFirst="0" w:colLast="0" w:name="_heading=h.lbt4c19qh8mz" w:id="1"/>
      <w:bookmarkEnd w:id="1"/>
      <w:r w:rsidDel="00000000" w:rsidR="00000000" w:rsidRPr="00000000">
        <w:rPr>
          <w:rtl w:val="0"/>
        </w:rPr>
        <w:t xml:space="preserve">Interpretation: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the default model, recall is the most important metric because default is a rare event and the main goal is to identify as many actual default cases as possible. A recall of 0.702 means the model captures about 70.2% of true defaults, which is a solid result for a highly imbalanced problem.</w:t>
      </w:r>
    </w:p>
    <w:p w:rsidR="00000000" w:rsidDel="00000000" w:rsidP="00000000" w:rsidRDefault="00000000" w:rsidRPr="00000000" w14:paraId="00000040">
      <w:pPr>
        <w:rPr/>
      </w:pPr>
      <w:r w:rsidDel="00000000" w:rsidR="00000000" w:rsidRPr="00000000">
        <w:rPr>
          <w:rtl w:val="0"/>
        </w:rPr>
        <w:t xml:space="preserve">The AUC-ROC of 0.759 supports that the model has good overall ability to separate higher-risk loans from lower-risk loans. The F1 score of 0.098 shows that precision is still limited, which is common in rare-event prediction. Overall, the model is more useful as a risk-screening tool than as a highly precise decision tool.</w:t>
      </w:r>
    </w:p>
    <w:p w:rsidR="00000000" w:rsidDel="00000000" w:rsidP="00000000" w:rsidRDefault="00000000" w:rsidRPr="00000000" w14:paraId="00000041">
      <w:pPr>
        <w:pStyle w:val="Heading1"/>
        <w:rPr/>
      </w:pPr>
      <w:r w:rsidDel="00000000" w:rsidR="00000000" w:rsidRPr="00000000">
        <w:rPr>
          <w:rtl w:val="0"/>
        </w:rPr>
        <w:t xml:space="preserve">5. Prepayment Model Results</w:t>
      </w:r>
    </w:p>
    <w:p w:rsidR="00000000" w:rsidDel="00000000" w:rsidP="00000000" w:rsidRDefault="00000000" w:rsidRPr="00000000" w14:paraId="00000042">
      <w:pPr>
        <w:rPr/>
      </w:pP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043">
            <w:pPr>
              <w:rPr/>
            </w:pPr>
            <w:r w:rsidDel="00000000" w:rsidR="00000000" w:rsidRPr="00000000">
              <w:rPr>
                <w:rtl w:val="0"/>
              </w:rPr>
              <w:t xml:space="preserve">Target</w:t>
            </w:r>
          </w:p>
        </w:tc>
        <w:tc>
          <w:tcPr>
            <w:shd w:fill="d9eaf7" w:val="clear"/>
            <w:tcMar>
              <w:top w:w="80.0" w:type="dxa"/>
              <w:bottom w:w="80.0" w:type="dxa"/>
            </w:tcMar>
            <w:vAlign w:val="center"/>
          </w:tcPr>
          <w:p w:rsidR="00000000" w:rsidDel="00000000" w:rsidP="00000000" w:rsidRDefault="00000000" w:rsidRPr="00000000" w14:paraId="00000044">
            <w:pPr>
              <w:rPr/>
            </w:pPr>
            <w:r w:rsidDel="00000000" w:rsidR="00000000" w:rsidRPr="00000000">
              <w:rPr>
                <w:rtl w:val="0"/>
              </w:rPr>
              <w:t xml:space="preserve">Prepayment</w:t>
            </w:r>
          </w:p>
        </w:tc>
      </w:tr>
      <w:tr>
        <w:trPr>
          <w:cantSplit w:val="0"/>
          <w:tblHeader w:val="0"/>
        </w:trPr>
        <w:tc>
          <w:tcPr>
            <w:tcMar>
              <w:top w:w="80.0" w:type="dxa"/>
              <w:bottom w:w="80.0" w:type="dxa"/>
            </w:tcMar>
            <w:vAlign w:val="center"/>
          </w:tcPr>
          <w:p w:rsidR="00000000" w:rsidDel="00000000" w:rsidP="00000000" w:rsidRDefault="00000000" w:rsidRPr="00000000" w14:paraId="00000045">
            <w:pPr>
              <w:rPr/>
            </w:pPr>
            <w:r w:rsidDel="00000000" w:rsidR="00000000" w:rsidRPr="00000000">
              <w:rPr>
                <w:rtl w:val="0"/>
              </w:rPr>
              <w:t xml:space="preserve">Model name</w:t>
            </w:r>
          </w:p>
        </w:tc>
        <w:tc>
          <w:tcPr>
            <w:tcMar>
              <w:top w:w="80.0" w:type="dxa"/>
              <w:bottom w:w="80.0" w:type="dxa"/>
            </w:tcMar>
            <w:vAlign w:val="center"/>
          </w:tcPr>
          <w:p w:rsidR="00000000" w:rsidDel="00000000" w:rsidP="00000000" w:rsidRDefault="00000000" w:rsidRPr="00000000" w14:paraId="00000046">
            <w:pPr>
              <w:rPr/>
            </w:pPr>
            <w:r w:rsidDel="00000000" w:rsidR="00000000" w:rsidRPr="00000000">
              <w:rPr>
                <w:rtl w:val="0"/>
              </w:rPr>
              <w:t xml:space="preserve">Gradient Boosting</w:t>
            </w:r>
          </w:p>
        </w:tc>
      </w:tr>
      <w:tr>
        <w:trPr>
          <w:cantSplit w:val="0"/>
          <w:tblHeader w:val="0"/>
        </w:trPr>
        <w:tc>
          <w:tcPr>
            <w:tcMar>
              <w:top w:w="80.0" w:type="dxa"/>
              <w:bottom w:w="80.0" w:type="dxa"/>
            </w:tcMar>
            <w:vAlign w:val="center"/>
          </w:tcPr>
          <w:p w:rsidR="00000000" w:rsidDel="00000000" w:rsidP="00000000" w:rsidRDefault="00000000" w:rsidRPr="00000000" w14:paraId="00000047">
            <w:pPr>
              <w:rPr/>
            </w:pPr>
            <w:r w:rsidDel="00000000" w:rsidR="00000000" w:rsidRPr="00000000">
              <w:rPr>
                <w:rtl w:val="0"/>
              </w:rPr>
              <w:t xml:space="preserve">Threshold used</w:t>
            </w:r>
          </w:p>
        </w:tc>
        <w:tc>
          <w:tcPr>
            <w:tcMar>
              <w:top w:w="80.0" w:type="dxa"/>
              <w:bottom w:w="80.0" w:type="dxa"/>
            </w:tcMar>
            <w:vAlign w:val="center"/>
          </w:tcPr>
          <w:p w:rsidR="00000000" w:rsidDel="00000000" w:rsidP="00000000" w:rsidRDefault="00000000" w:rsidRPr="00000000" w14:paraId="00000048">
            <w:pPr>
              <w:rPr/>
            </w:pPr>
            <w:r w:rsidDel="00000000" w:rsidR="00000000" w:rsidRPr="00000000">
              <w:rPr>
                <w:rtl w:val="0"/>
              </w:rPr>
              <w:t xml:space="preserve">0.4</w:t>
            </w:r>
          </w:p>
        </w:tc>
      </w:tr>
      <w:tr>
        <w:trPr>
          <w:cantSplit w:val="0"/>
          <w:tblHeader w:val="0"/>
        </w:trPr>
        <w:tc>
          <w:tcPr>
            <w:tcMar>
              <w:top w:w="80.0" w:type="dxa"/>
              <w:bottom w:w="80.0" w:type="dxa"/>
            </w:tcMar>
            <w:vAlign w:val="center"/>
          </w:tcPr>
          <w:p w:rsidR="00000000" w:rsidDel="00000000" w:rsidP="00000000" w:rsidRDefault="00000000" w:rsidRPr="00000000" w14:paraId="00000049">
            <w:pPr>
              <w:rPr/>
            </w:pPr>
            <w:r w:rsidDel="00000000" w:rsidR="00000000" w:rsidRPr="00000000">
              <w:rPr>
                <w:rtl w:val="0"/>
              </w:rPr>
              <w:t xml:space="preserve">AUC-ROC</w:t>
            </w:r>
          </w:p>
        </w:tc>
        <w:tc>
          <w:tcPr>
            <w:tcMar>
              <w:top w:w="80.0" w:type="dxa"/>
              <w:bottom w:w="80.0" w:type="dxa"/>
            </w:tcMar>
            <w:vAlign w:val="center"/>
          </w:tcPr>
          <w:p w:rsidR="00000000" w:rsidDel="00000000" w:rsidP="00000000" w:rsidRDefault="00000000" w:rsidRPr="00000000" w14:paraId="0000004A">
            <w:pPr>
              <w:rPr/>
            </w:pPr>
            <w:r w:rsidDel="00000000" w:rsidR="00000000" w:rsidRPr="00000000">
              <w:rPr>
                <w:rtl w:val="0"/>
              </w:rPr>
              <w:t xml:space="preserve">0.703</w:t>
            </w:r>
          </w:p>
        </w:tc>
      </w:tr>
      <w:tr>
        <w:trPr>
          <w:cantSplit w:val="0"/>
          <w:tblHeader w:val="0"/>
        </w:trPr>
        <w:tc>
          <w:tcPr>
            <w:tcMar>
              <w:top w:w="80.0" w:type="dxa"/>
              <w:bottom w:w="80.0" w:type="dxa"/>
            </w:tcMar>
            <w:vAlign w:val="center"/>
          </w:tcPr>
          <w:p w:rsidR="00000000" w:rsidDel="00000000" w:rsidP="00000000" w:rsidRDefault="00000000" w:rsidRPr="00000000" w14:paraId="0000004B">
            <w:pPr>
              <w:rPr/>
            </w:pPr>
            <w:r w:rsidDel="00000000" w:rsidR="00000000" w:rsidRPr="00000000">
              <w:rPr>
                <w:rtl w:val="0"/>
              </w:rPr>
              <w:t xml:space="preserve">Accuracy</w:t>
            </w:r>
          </w:p>
        </w:tc>
        <w:tc>
          <w:tcPr>
            <w:tcMar>
              <w:top w:w="80.0" w:type="dxa"/>
              <w:bottom w:w="80.0" w:type="dxa"/>
            </w:tcMar>
            <w:vAlign w:val="center"/>
          </w:tcPr>
          <w:p w:rsidR="00000000" w:rsidDel="00000000" w:rsidP="00000000" w:rsidRDefault="00000000" w:rsidRPr="00000000" w14:paraId="0000004C">
            <w:pPr>
              <w:rPr/>
            </w:pPr>
            <w:r w:rsidDel="00000000" w:rsidR="00000000" w:rsidRPr="00000000">
              <w:rPr>
                <w:rtl w:val="0"/>
              </w:rPr>
              <w:t xml:space="preserve">0.627</w:t>
            </w:r>
          </w:p>
        </w:tc>
      </w:tr>
      <w:tr>
        <w:trPr>
          <w:cantSplit w:val="0"/>
          <w:tblHeader w:val="0"/>
        </w:trPr>
        <w:tc>
          <w:tcPr>
            <w:tcMar>
              <w:top w:w="80.0" w:type="dxa"/>
              <w:bottom w:w="80.0" w:type="dxa"/>
            </w:tcMar>
            <w:vAlign w:val="center"/>
          </w:tcPr>
          <w:p w:rsidR="00000000" w:rsidDel="00000000" w:rsidP="00000000" w:rsidRDefault="00000000" w:rsidRPr="00000000" w14:paraId="0000004D">
            <w:pPr>
              <w:rPr/>
            </w:pPr>
            <w:r w:rsidDel="00000000" w:rsidR="00000000" w:rsidRPr="00000000">
              <w:rPr>
                <w:rtl w:val="0"/>
              </w:rPr>
              <w:t xml:space="preserve">F1 score</w:t>
            </w:r>
          </w:p>
        </w:tc>
        <w:tc>
          <w:tcPr>
            <w:tcMar>
              <w:top w:w="80.0" w:type="dxa"/>
              <w:bottom w:w="80.0" w:type="dxa"/>
            </w:tcMar>
            <w:vAlign w:val="center"/>
          </w:tcPr>
          <w:p w:rsidR="00000000" w:rsidDel="00000000" w:rsidP="00000000" w:rsidRDefault="00000000" w:rsidRPr="00000000" w14:paraId="0000004E">
            <w:pPr>
              <w:rPr/>
            </w:pPr>
            <w:r w:rsidDel="00000000" w:rsidR="00000000" w:rsidRPr="00000000">
              <w:rPr>
                <w:rtl w:val="0"/>
              </w:rPr>
              <w:t xml:space="preserve">0.696</w:t>
            </w:r>
          </w:p>
        </w:tc>
      </w:tr>
    </w:tbl>
    <w:p w:rsidR="00000000" w:rsidDel="00000000" w:rsidP="00000000" w:rsidRDefault="00000000" w:rsidRPr="00000000" w14:paraId="0000004F">
      <w:pPr>
        <w:pStyle w:val="Heading2"/>
        <w:rPr/>
      </w:pPr>
      <w:r w:rsidDel="00000000" w:rsidR="00000000" w:rsidRPr="00000000">
        <w:rPr>
          <w:rtl w:val="0"/>
        </w:rPr>
        <w:t xml:space="preserve">Interpretation: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the prepayment model, F1 score is an important metric because it reflects how well the model balances identifying prepaid loans while limiting incorrect positive predictions. An F1 score of 0.696 suggests a reasonably strong balance between precision and recall.</w:t>
      </w:r>
    </w:p>
    <w:p w:rsidR="00000000" w:rsidDel="00000000" w:rsidP="00000000" w:rsidRDefault="00000000" w:rsidRPr="00000000" w14:paraId="00000052">
      <w:pPr>
        <w:rPr/>
      </w:pPr>
      <w:r w:rsidDel="00000000" w:rsidR="00000000" w:rsidRPr="00000000">
        <w:rPr>
          <w:rtl w:val="0"/>
        </w:rPr>
        <w:t xml:space="preserve">The AUC-ROC of 0.703 indicates that the model has good ability to distinguish between loans that are more likely and less likely to prepay. The accuracy of 0.627 shows that the model is correct 62.7% of the time overall, which provides useful information because prepayment is not an extremely imbalanced target. However, F1 score gives more insight into positive-class prediction quality, which is often more important when evaluating how well the model identifies prepaid loans. Overall, the model shows useful predictive performance for understanding prepayment behavior.</w:t>
      </w:r>
    </w:p>
    <w:p w:rsidR="00000000" w:rsidDel="00000000" w:rsidP="00000000" w:rsidRDefault="00000000" w:rsidRPr="00000000" w14:paraId="00000053">
      <w:pPr>
        <w:pStyle w:val="Heading1"/>
        <w:rPr/>
      </w:pPr>
      <w:r w:rsidDel="00000000" w:rsidR="00000000" w:rsidRPr="00000000">
        <w:rPr>
          <w:rtl w:val="0"/>
        </w:rPr>
        <w:t xml:space="preserve">6. Limitations and Next Steps</w:t>
      </w:r>
      <w:r w:rsidDel="00000000" w:rsidR="00000000" w:rsidRPr="00000000">
        <w:rPr>
          <w:rtl w:val="0"/>
        </w:rPr>
      </w:r>
    </w:p>
    <w:p w:rsidR="00000000" w:rsidDel="00000000" w:rsidP="00000000" w:rsidRDefault="00000000" w:rsidRPr="00000000" w14:paraId="00000054">
      <w:pPr>
        <w:pStyle w:val="Heading2"/>
        <w:rPr/>
      </w:pPr>
      <w:bookmarkStart w:colFirst="0" w:colLast="0" w:name="_heading=h.r3swmn272k0r" w:id="2"/>
      <w:bookmarkEnd w:id="2"/>
      <w:r w:rsidDel="00000000" w:rsidR="00000000" w:rsidRPr="00000000">
        <w:rPr>
          <w:rtl w:val="0"/>
        </w:rPr>
        <w:t xml:space="preserve">Limitations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The default target was highly imbalanced at about </w:t>
      </w:r>
      <w:r w:rsidDel="00000000" w:rsidR="00000000" w:rsidRPr="00000000">
        <w:rPr>
          <w:b w:val="1"/>
          <w:bCs w:val="1"/>
          <w:rtl w:val="0"/>
        </w:rPr>
        <w:t xml:space="preserve">2.35%</w:t>
      </w:r>
      <w:r w:rsidDel="00000000" w:rsidR="00000000" w:rsidRPr="00000000">
        <w:rPr>
          <w:rtl w:val="0"/>
        </w:rPr>
        <w:t xml:space="preserve">, which made default prediction more difficult and increased the risk of false positives.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The models used only the available loan, borrower, and property variables, so important external factors such as interest rates and economic conditions were not included.</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Default and prepayment were modeled as binary outcomes, which simplifies the fact that mortgage performance changes over time.</w:t>
      </w:r>
    </w:p>
    <w:p w:rsidR="00000000" w:rsidDel="00000000" w:rsidP="00000000" w:rsidRDefault="00000000" w:rsidRPr="00000000" w14:paraId="00000058">
      <w:pPr>
        <w:pStyle w:val="Heading2"/>
        <w:rPr/>
      </w:pPr>
      <w:bookmarkStart w:colFirst="0" w:colLast="0" w:name="_heading=h.8gbt1utyhj8o" w:id="3"/>
      <w:bookmarkEnd w:id="3"/>
      <w:r w:rsidDel="00000000" w:rsidR="00000000" w:rsidRPr="00000000">
        <w:rPr>
          <w:rtl w:val="0"/>
        </w:rPr>
        <w:t xml:space="preserve">Future Steps</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Test additional models such as </w:t>
      </w:r>
      <w:r w:rsidDel="00000000" w:rsidR="00000000" w:rsidRPr="00000000">
        <w:rPr>
          <w:b w:val="1"/>
          <w:bCs w:val="1"/>
          <w:rtl w:val="0"/>
        </w:rPr>
        <w:t xml:space="preserve">XGBoost, LightGBM, or CatBoost</w:t>
      </w:r>
      <w:r w:rsidDel="00000000" w:rsidR="00000000" w:rsidRPr="00000000">
        <w:rPr>
          <w:rtl w:val="0"/>
        </w:rPr>
        <w:t xml:space="preserve">.</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Add macroeconomic variables to better capture market conditions.</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Optimize the classification threshold based on business needs.</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Explore time-based modeling to better reflect when default or prepayment happens.</w:t>
      </w:r>
    </w:p>
    <w:p w:rsidR="00000000" w:rsidDel="00000000" w:rsidP="00000000" w:rsidRDefault="00000000" w:rsidRPr="00000000" w14:paraId="0000005D">
      <w:pPr>
        <w:pStyle w:val="Heading1"/>
        <w:rPr/>
      </w:pPr>
      <w:r w:rsidDel="00000000" w:rsidR="00000000" w:rsidRPr="00000000">
        <w:rPr>
          <w:rtl w:val="0"/>
        </w:rPr>
        <w:t xml:space="preserve">7. Conclusion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project established a structured mortgage risk modeling workflow that treats default and prepayment as separate analytical problems. That design is appropriate because the two outcomes reflect different borrower behaviors and different portfolio implications. The project also produced reusable modeling artifacts that can support reporting, review, and future refinement.</w:t>
      </w:r>
      <w:r w:rsidDel="00000000" w:rsidR="00000000" w:rsidRPr="00000000">
        <w:rPr>
          <w:rtl w:val="0"/>
        </w:rPr>
      </w:r>
    </w:p>
    <w:sectPr>
      <w:headerReference r:id="rId7" w:type="default"/>
      <w:footerReference r:id="rId8" w:type="default"/>
      <w:pgSz w:h="15840" w:w="12240" w:orient="portrait"/>
      <w:pgMar w:bottom="1008"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Mortgage Default and Prepayment Modeling Report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2f2f"/>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4f4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HdIRcItvnzy52mn+4pkEbkftw==">CgMxLjAyDmguY2x1ZHZ5ejU1ZjN2Mg5oLmxidDRjMTlxaDhtejIOaC5yM3N3bW4yNzJrMHIyDmguOGdidDF1dHloajhvOAByITFQX3ZuSjY0c2FLRXNjWWtOZVZOT2ZOLThDeDZOajY2bQ==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