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C1F1A" w:val="clear"/>
            <w:vAlign w:val="top"/>
          </w:tcPr>
          <w:p>
            <w:pPr>
              <w:pBdr>
                <w:top w:val="single" w:color="1B6B3A" w:sz="18" w:space="0"/>
              </w:pBdr>
              <w:spacing w:before="0"/>
              <w:ind w:left="0" w:right="0"/>
            </w:pPr>
          </w:p>
          <w:p>
            <w:pPr>
              <w:spacing w:before="3200"/>
            </w:pPr>
          </w:p>
          <w:p>
            <w:pPr>
              <w:spacing w:after="200"/>
              <w:ind w:left="1200"/>
              <w:jc w:val="left"/>
            </w:pPr>
            <w:r>
              <w:rPr>
                <w:rFonts w:ascii="Calibri" w:eastAsia="Microsoft YaHei"/>
                <w:color w:val="C9962A"/>
                <w:sz w:val="32"/>
                <w:szCs w:val="32"/>
              </w:rPr>
              <w:t xml:space="preserve">بِسْمِ اللَّهِ الرَّحْمَٰنِ الرَّحِيمِ</w:t>
            </w:r>
          </w:p>
          <w:p>
            <w:pPr>
              <w:spacing w:after="0" w:line="828" w:lineRule="atLeast"/>
              <w:ind w:left="1200" w:right="1200"/>
              <w:jc w:val="left"/>
            </w:pPr>
            <w:r>
              <w:rPr>
                <w:rFonts w:ascii="Calibri" w:eastAsia="SimHei"/>
                <w:b/>
                <w:bCs/>
                <w:color w:val="FFFFFF"/>
                <w:sz w:val="72"/>
                <w:szCs w:val="72"/>
              </w:rPr>
              <w:t xml:space="preserve">LIPS - SIIN</w:t>
            </w:r>
          </w:p>
          <w:p>
            <w:pPr>
              <w:spacing w:after="200" w:line="552" w:lineRule="atLeast"/>
              <w:ind w:left="1200" w:right="1200"/>
              <w:jc w:val="left"/>
            </w:pPr>
            <w:r>
              <w:rPr>
                <w:rFonts w:ascii="Calibri" w:eastAsia="SimHei"/>
                <w:b/>
                <w:bCs/>
                <w:color w:val="FFFFFF"/>
                <w:sz w:val="44"/>
                <w:szCs w:val="44"/>
              </w:rPr>
              <w:t xml:space="preserve">Documentation Technique</w:t>
            </w:r>
          </w:p>
          <w:p>
            <w:pPr>
              <w:pBdr>
                <w:bottom w:val="single" w:color="C9962A" w:sz="12" w:space="12"/>
              </w:pBdr>
              <w:ind w:left="1200" w:right="5200"/>
            </w:pPr>
          </w:p>
          <w:p>
            <w:pPr>
              <w:spacing w:after="100" w:before="400"/>
              <w:ind w:left="1200" w:right="1200"/>
              <w:jc w:val="left"/>
            </w:pPr>
            <w:r>
              <w:rPr>
                <w:rFonts w:ascii="Calibri" w:eastAsia="Microsoft YaHei"/>
                <w:color w:val="B0C8B8"/>
                <w:sz w:val="28"/>
                <w:szCs w:val="28"/>
              </w:rPr>
              <w:t xml:space="preserve">Système d'Information Institutionnel National</w:t>
            </w:r>
          </w:p>
          <w:p>
            <w:pPr>
              <w:spacing w:after="100"/>
              <w:ind w:left="1200" w:right="1200"/>
              <w:jc w:val="left"/>
            </w:pPr>
            <w:r>
              <w:rPr>
                <w:rFonts w:ascii="Calibri" w:eastAsia="Microsoft YaHei"/>
                <w:color w:val="B0C8B8"/>
                <w:sz w:val="28"/>
                <w:szCs w:val="28"/>
              </w:rPr>
              <w:t xml:space="preserve">Ligue des Imams et Prédicateurs du Sénégal</w:t>
            </w:r>
          </w:p>
          <w:p>
            <w:pPr>
              <w:spacing w:before="2800"/>
            </w:pPr>
          </w:p>
          <w:p>
            <w:pPr>
              <w:spacing w:after="80"/>
              <w:ind w:left="1200"/>
              <w:jc w:val="left"/>
            </w:pPr>
            <w:r>
              <w:rPr>
                <w:rFonts w:ascii="Calibri" w:eastAsia="Microsoft YaHei"/>
                <w:color w:val="90B0A0"/>
                <w:sz w:val="22"/>
                <w:szCs w:val="22"/>
              </w:rPr>
              <w:t xml:space="preserve">Version 3.0 — Juin 2026</w:t>
            </w:r>
          </w:p>
          <w:p>
            <w:pPr>
              <w:spacing w:after="80"/>
              <w:ind w:left="1200"/>
              <w:jc w:val="left"/>
            </w:pPr>
            <w:r>
              <w:rPr>
                <w:rFonts w:ascii="Calibri" w:eastAsia="Microsoft YaHei"/>
                <w:color w:val="90B0A0"/>
                <w:sz w:val="20"/>
                <w:szCs w:val="20"/>
              </w:rPr>
              <w:t xml:space="preserve">Stack : Next.js 16 • React 19 • Tailwind CSS 4 • Prisma • SQLite</w:t>
            </w:r>
          </w:p>
          <w:p>
            <w:pPr>
              <w:ind w:left="1200"/>
              <w:jc w:val="left"/>
            </w:pPr>
            <w:r>
              <w:rPr>
                <w:rFonts w:ascii="Calibri" w:eastAsia="Microsoft YaHei"/>
                <w:color w:val="687078"/>
                <w:sz w:val="20"/>
                <w:szCs w:val="20"/>
              </w:rPr>
              <w:t xml:space="preserve">Confidentiel — Usage interne LIPS</w:t>
            </w:r>
          </w:p>
        </w:tc>
      </w:tr>
    </w:tbl>
    <w:p>
      <w:pPr>
        <w:sectPr>
          <w:pgSz w:w="11906" w:h="16838" w:orient="portrait"/>
          <w:pgMar w:top="0" w:right="0" w:bottom="0" w:left="0" w:header="708" w:footer="708" w:gutter="0"/>
          <w:pgNumType/>
          <w:docGrid w:linePitch="360"/>
        </w:sectPr>
      </w:pPr>
    </w:p>
    <w:p>
      <w:pPr>
        <w:spacing w:after="300"/>
        <w:jc w:val="left"/>
      </w:pPr>
      <w:r>
        <w:rPr>
          <w:rFonts w:ascii="Calibri" w:eastAsia="SimHei"/>
          <w:b/>
          <w:bCs/>
          <w:color w:val="0C1F1A"/>
          <w:sz w:val="36"/>
          <w:szCs w:val="36"/>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Présentation du Projet</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Contexte et Objectifs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Architecture Générale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Publics Cibles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Stack Technique Détaillée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Frontend</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Backend et API</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Base de Données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2.4 Système d'Internationalisation (i18n)</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3. Sécurité et Authentification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3.1 Architecture d'Authentification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3.2 Protection Anti-Brute Force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3.3 Indicateur de Force du Mot de Passe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3.4 Badges de Sécurité Visuels</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4. Navigation et Expérience Utilisateur</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4.1 Header et Navigation Responsive</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4.2 Thème Jour/Nuit Automatique</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4.3 Préchargeur (Preloader)</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5. Pages Publiques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5.1 Page d'Accueil</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5.2 Page Coran</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5.3 Autres Pages Publiques</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6. Espaces Privés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6.1 Espace Membre</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6.2 Espace Administrateur</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7. Composants Réutilisables</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8. Design System et Identité Visuelle</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8.1 Palette de Couleurs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8.2 Typographie et Motifs</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9. Déploiement et Infrastructure</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9.1 Configuration de Build</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9.2 Variables d'Environnement</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10. Historique des Modifications</w:t>
            </w:r>
            <w:r>
              <w:tab/>
            </w:r>
            <w:r>
              <w:fldChar w:fldCharType="begin"/>
            </w:r>
            <w:r>
              <w:instrText xml:space="preserve"> PAGEREF _Toc100032 \h </w:instrText>
            </w:r>
            <w:r>
              <w:fldChar w:fldCharType="separate"/>
            </w:r>
            <w:r>
              <w:t>10</w:t>
            </w:r>
            <w:r>
              <w:fldChar w:fldCharType="end"/>
            </w:r>
          </w:hyperlink>
        </w:p>
        <w:p>
          <w:r>
            <w:fldChar w:fldCharType="end"/>
          </w:r>
        </w:p>
      </w:sdtContent>
    </w:sdt>
    <w:p>
      <w:pPr>
        <w:spacing w:before="200"/>
      </w:pPr>
      <w:r>
        <w:rPr>
          <w:i/>
          <w:iCs/>
          <w:color w:val="507070"/>
          <w:sz w:val="20"/>
          <w:szCs w:val="20"/>
        </w:rPr>
        <w:t xml:space="preserve">Astuce : clic droit sur la table des matières → « Mettre à jour les champs » pour actualiser les numéros de page.</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Calibri" w:eastAsia="SimHei"/>
          <w:b/>
          <w:bCs/>
          <w:color w:val="0C1F1A"/>
          <w:sz w:val="32"/>
          <w:szCs w:val="32"/>
        </w:rPr>
        <w:t xml:space="preserve">1. Présentation du Projet</w:t>
      </w:r>
      <w:bookmarkEnd w:id="100000"/>
    </w:p>
    <w:p>
      <w:pPr>
        <w:pStyle w:val="Heading2"/>
        <w:spacing w:after="120" w:before="280" w:line="312"/>
      </w:pPr>
      <w:bookmarkStart w:id="100001" w:name="_Toc100001"/>
      <w:r>
        <w:rPr>
          <w:rFonts w:ascii="Calibri" w:eastAsia="SimHei"/>
          <w:b/>
          <w:bCs/>
          <w:color w:val="0C1F1A"/>
          <w:sz w:val="28"/>
          <w:szCs w:val="28"/>
        </w:rPr>
        <w:t xml:space="preserve">1.1 Contexte et Objectifs</w:t>
      </w:r>
      <w:bookmarkEnd w:id="100001"/>
    </w:p>
    <w:p>
      <w:pPr>
        <w:spacing w:after="60" w:line="312"/>
        <w:ind w:firstLine="480"/>
        <w:jc w:val="both"/>
      </w:pPr>
      <w:r>
        <w:rPr>
          <w:rFonts w:ascii="Calibri" w:eastAsia="Microsoft YaHei"/>
          <w:color w:val="1A2E20"/>
          <w:sz w:val="24"/>
          <w:szCs w:val="24"/>
        </w:rPr>
        <w:t xml:space="preserve">Le SIIN (Système d'Information Institutionnel National) est la plateforme numérique officielle de la LIPS (Ligue des Imams et Prédicateurs du Sénégal). Fondée en 2006 et présente dans les 14 régions administratives du Sénégal, la LIPS fédère plus de 5 000 imams et prédicateurs à travers le pays. Le SIIN constitue l'épine dorsale numérique de cette institution, offrant un cadre technologique moderne pour la gestion des membres, la diffusion de contenus religieux, la coordination régionale et la communication institutionnelle.</w:t>
      </w:r>
    </w:p>
    <w:p>
      <w:pPr>
        <w:spacing w:after="60" w:line="312"/>
        <w:ind w:firstLine="480"/>
        <w:jc w:val="both"/>
      </w:pPr>
      <w:r>
        <w:rPr>
          <w:rFonts w:ascii="Calibri" w:eastAsia="Microsoft YaHei"/>
          <w:color w:val="1A2E20"/>
          <w:sz w:val="24"/>
          <w:szCs w:val="24"/>
        </w:rPr>
        <w:t xml:space="preserve">L'objectif principal du SIIN est de numériser l'ensemble des processus métiers de la LIPS : adhésion des membres, émission et vérification des cartes membres, gestion des horaires de prière, diffusion de communiqués et fatwas, organisation d'événements, et collecte de dons. La plateforme vise également à renforcer la transparence institutionnelle et à faciliter la communication entre le bureau national, les représentants régionaux et les membres de base.</w:t>
      </w:r>
    </w:p>
    <w:p>
      <w:pPr>
        <w:spacing w:after="60" w:line="312"/>
        <w:ind w:firstLine="480"/>
        <w:jc w:val="both"/>
      </w:pPr>
      <w:r>
        <w:rPr>
          <w:rFonts w:ascii="Calibri" w:eastAsia="Microsoft YaHei"/>
          <w:color w:val="1A2E20"/>
          <w:sz w:val="24"/>
          <w:szCs w:val="24"/>
        </w:rPr>
        <w:t xml:space="preserve">Le projet s'inscrit dans une démarche d'institutionnalisation de l'imamat au Sénégal, en mettant à disposition des outils numériques qui respectent les valeurs islamiques tout en exploitant les technologies les plus avancées. La devise de la LIPS, « Par la patience et la certitude, on atteint l'imamat dans la religion », guide chaque décision de conception et de développement.</w:t>
      </w:r>
    </w:p>
    <w:p>
      <w:pPr>
        <w:pStyle w:val="Heading2"/>
        <w:spacing w:after="120" w:before="280" w:line="312"/>
      </w:pPr>
      <w:bookmarkStart w:id="100002" w:name="_Toc100002"/>
      <w:r>
        <w:rPr>
          <w:rFonts w:ascii="Calibri" w:eastAsia="SimHei"/>
          <w:b/>
          <w:bCs/>
          <w:color w:val="0C1F1A"/>
          <w:sz w:val="28"/>
          <w:szCs w:val="28"/>
        </w:rPr>
        <w:t xml:space="preserve">1.2 Architecture Générale</w:t>
      </w:r>
      <w:bookmarkEnd w:id="100002"/>
    </w:p>
    <w:p>
      <w:pPr>
        <w:spacing w:after="60" w:line="312"/>
        <w:ind w:firstLine="480"/>
        <w:jc w:val="both"/>
      </w:pPr>
      <w:r>
        <w:rPr>
          <w:rFonts w:ascii="Calibri" w:eastAsia="Microsoft YaHei"/>
          <w:color w:val="1A2E20"/>
          <w:sz w:val="24"/>
          <w:szCs w:val="24"/>
        </w:rPr>
        <w:t xml:space="preserve">Le SIIN est construit sur une architecture monolithique moderne utilisant Next.js 16 (App Router) comme framework fullstack. Le frontend et le backend partagent le même dépôt, les API Routes de Next.js servant de couche backend. La base de données SQLite gérée par Prisma ORM assure la persistance des données. Cette architecture a été choisie pour sa simplicité de déploiement, sa performance et sa capacité à répondre aux besoins d'une institution de taille moyenne.</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Couche</w:t>
            </w:r>
          </w:p>
        </w:tc>
        <w:tc>
          <w:tcPr>
            <w:tcW w:type="pct" w:w="4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Technologie</w:t>
            </w:r>
          </w:p>
        </w:tc>
        <w:tc>
          <w:tcPr>
            <w:tcW w:type="pct" w:w="4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Rôle</w:t>
            </w:r>
          </w:p>
        </w:tc>
      </w:tr>
      <w:tr>
        <w:trPr>
          <w:cantSplit/>
        </w:trPr>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Frontend</w:t>
            </w:r>
          </w:p>
        </w:tc>
        <w:tc>
          <w:tcPr>
            <w:tcW w:type="pct" w:w="4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Next.js 16 + React 19 + Tailwind CSS 4</w:t>
            </w:r>
          </w:p>
        </w:tc>
        <w:tc>
          <w:tcPr>
            <w:tcW w:type="pct" w:w="4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Interface utilisateur, rendu SSR/SSG, routing</w:t>
            </w:r>
          </w:p>
        </w:tc>
      </w:tr>
      <w:tr>
        <w:trPr>
          <w:cantSplit/>
        </w:trPr>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UI Components</w:t>
            </w:r>
          </w:p>
        </w:tc>
        <w:tc>
          <w:tcPr>
            <w:tcW w:type="pct" w:w="4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shadcn/ui (Radix) + Framer Motion</w:t>
            </w:r>
          </w:p>
        </w:tc>
        <w:tc>
          <w:tcPr>
            <w:tcW w:type="pct" w:w="4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Composants accessibles et animations</w:t>
            </w:r>
          </w:p>
        </w:tc>
      </w:tr>
      <w:tr>
        <w:trPr>
          <w:cantSplit/>
        </w:trPr>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Backend API</w:t>
            </w:r>
          </w:p>
        </w:tc>
        <w:tc>
          <w:tcPr>
            <w:tcW w:type="pct" w:w="4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Next.js API Routes + Middleware</w:t>
            </w:r>
          </w:p>
        </w:tc>
        <w:tc>
          <w:tcPr>
            <w:tcW w:type="pct" w:w="4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Endpoints REST, authentification JWT, protection des routes</w:t>
            </w:r>
          </w:p>
        </w:tc>
      </w:tr>
      <w:tr>
        <w:trPr>
          <w:cantSplit/>
        </w:trPr>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Base de données</w:t>
            </w:r>
          </w:p>
        </w:tc>
        <w:tc>
          <w:tcPr>
            <w:tcW w:type="pct" w:w="4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SQLite + Prisma ORM</w:t>
            </w:r>
          </w:p>
        </w:tc>
        <w:tc>
          <w:tcPr>
            <w:tcW w:type="pct" w:w="4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Persistance, migrations, requêtage typé</w:t>
            </w:r>
          </w:p>
        </w:tc>
      </w:tr>
      <w:tr>
        <w:trPr>
          <w:cantSplit/>
        </w:trPr>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Authentification</w:t>
            </w:r>
          </w:p>
        </w:tc>
        <w:tc>
          <w:tcPr>
            <w:tcW w:type="pct" w:w="4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JWT (jose) + bcryptjs</w:t>
            </w:r>
          </w:p>
        </w:tc>
        <w:tc>
          <w:tcPr>
            <w:tcW w:type="pct" w:w="4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Tokens sécurisés, hashage mots de passe</w:t>
            </w:r>
          </w:p>
        </w:tc>
      </w:tr>
      <w:tr>
        <w:trPr>
          <w:cantSplit/>
        </w:trPr>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i18n</w:t>
            </w:r>
          </w:p>
        </w:tc>
        <w:tc>
          <w:tcPr>
            <w:tcW w:type="pct" w:w="4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Context API custom + 500+ clés FR/AR/EN</w:t>
            </w:r>
          </w:p>
        </w:tc>
        <w:tc>
          <w:tcPr>
            <w:tcW w:type="pct" w:w="4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Trilinguisme complet avec support RTL</w:t>
            </w:r>
          </w:p>
        </w:tc>
      </w:tr>
      <w:tr>
        <w:trPr>
          <w:cantSplit/>
        </w:trPr>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Thème</w:t>
            </w:r>
          </w:p>
        </w:tc>
        <w:tc>
          <w:tcPr>
            <w:tcW w:type="pct" w:w="4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next-themes + auto jour/nuit</w:t>
            </w:r>
          </w:p>
        </w:tc>
        <w:tc>
          <w:tcPr>
            <w:tcW w:type="pct" w:w="4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Mode clair/sombre automatique (timezone Dakar)</w:t>
            </w:r>
          </w:p>
        </w:tc>
      </w:tr>
      <w:tr>
        <w:trPr>
          <w:cantSplit/>
        </w:trPr>
        <w:tc>
          <w:tcPr>
            <w:tcW w:type="pct" w:w="15%"/>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Déploiement</w:t>
            </w:r>
          </w:p>
        </w:tc>
        <w:tc>
          <w:tcPr>
            <w:tcW w:type="pct" w:w="40%"/>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Standalone output + Caddy</w:t>
            </w:r>
          </w:p>
        </w:tc>
        <w:tc>
          <w:tcPr>
            <w:tcW w:type="pct" w:w="45%"/>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Docker-ready, reverse proxy HTTPS</w:t>
            </w:r>
          </w:p>
        </w:tc>
      </w:tr>
    </w:tbl>
    <w:p>
      <w:pPr>
        <w:pStyle w:val="Heading2"/>
        <w:spacing w:after="120" w:before="280" w:line="312"/>
      </w:pPr>
      <w:bookmarkStart w:id="100003" w:name="_Toc100003"/>
      <w:r>
        <w:rPr>
          <w:rFonts w:ascii="Calibri" w:eastAsia="SimHei"/>
          <w:b/>
          <w:bCs/>
          <w:color w:val="0C1F1A"/>
          <w:sz w:val="28"/>
          <w:szCs w:val="28"/>
        </w:rPr>
        <w:t xml:space="preserve">1.3 Publics Cibles</w:t>
      </w:r>
      <w:bookmarkEnd w:id="100003"/>
    </w:p>
    <w:p>
      <w:pPr>
        <w:spacing w:after="60" w:line="312"/>
        <w:ind w:firstLine="480"/>
        <w:jc w:val="both"/>
      </w:pPr>
      <w:r>
        <w:rPr>
          <w:rFonts w:ascii="Calibri" w:eastAsia="Microsoft YaHei"/>
          <w:color w:val="1A2E20"/>
          <w:sz w:val="24"/>
          <w:szCs w:val="24"/>
        </w:rPr>
        <w:t xml:space="preserve">La plateforme SIIN s'adresse à trois publics distincts, chacun disposant d'un espace dédié avec des fonctionnalités spécifiques et des niveaux d'accès différenciés. Le site public est accessible à tous les visiteurs et présente l'institution, ses services, ses publications et ses horaires de prière. L'espace membre est réservé aux imams et prédicateurs adhérents disposant d'un matricule valide. L'espace administrateur est strictement limité au personnel autorisé du bureau national et des commissions.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Public</w:t>
            </w:r>
          </w:p>
        </w:tc>
        <w:tc>
          <w:tcPr>
            <w:tcW w:type="pct" w:w="22%"/>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Route</w:t>
            </w:r>
          </w:p>
        </w:tc>
        <w:tc>
          <w:tcPr>
            <w:tcW w:type="pct" w:w="2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Authentification</w:t>
            </w:r>
          </w:p>
        </w:tc>
        <w:tc>
          <w:tcPr>
            <w:tcW w:type="pct" w:w="3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Fonctionnalités clés</w:t>
            </w:r>
          </w:p>
        </w:tc>
      </w:tr>
      <w:tr>
        <w:trPr>
          <w:cantSplit/>
        </w:trPr>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Visiteurs</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w:t>
            </w:r>
          </w:p>
        </w:tc>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Aucune</w:t>
            </w:r>
          </w:p>
        </w:tc>
        <w:tc>
          <w:tcPr>
            <w:tcW w:type="pct" w:w="3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Accueil, prières, Coran, actualités, adhésion, dons</w:t>
            </w:r>
          </w:p>
        </w:tc>
      </w:tr>
      <w:tr>
        <w:trPr>
          <w:cantSplit/>
        </w:trPr>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Membres</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/espace-membre</w:t>
            </w:r>
          </w:p>
        </w:tc>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JWT membre (24h)</w:t>
            </w:r>
          </w:p>
        </w:tc>
        <w:tc>
          <w:tcPr>
            <w:tcW w:type="pct" w:w="3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Profil, carte membre, paiements, dashboard</w:t>
            </w:r>
          </w:p>
        </w:tc>
      </w:tr>
      <w:tr>
        <w:trPr>
          <w:cantSplit/>
        </w:trPr>
        <w:tc>
          <w:tcPr>
            <w:tcW w:type="pct" w:w="18%"/>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Administrateurs</w:t>
            </w:r>
          </w:p>
        </w:tc>
        <w:tc>
          <w:tcPr>
            <w:tcW w:type="pct" w:w="22%"/>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/admin</w:t>
            </w:r>
          </w:p>
        </w:tc>
        <w:tc>
          <w:tcPr>
            <w:tcW w:type="pct" w:w="25%"/>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JWT admin (24h)</w:t>
            </w:r>
          </w:p>
        </w:tc>
        <w:tc>
          <w:tcPr>
            <w:tcW w:type="pct" w:w="35%"/>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CRUD membres, contenus, FAQ, régions, paramètres</w:t>
            </w:r>
          </w:p>
        </w:tc>
      </w:tr>
    </w:tbl>
    <w:p>
      <w:pPr>
        <w:pStyle w:val="Heading1"/>
        <w:spacing w:after="120" w:before="360" w:line="312"/>
      </w:pPr>
      <w:bookmarkStart w:id="100004" w:name="_Toc100004"/>
      <w:r>
        <w:rPr>
          <w:rFonts w:ascii="Calibri" w:eastAsia="SimHei"/>
          <w:b/>
          <w:bCs/>
          <w:color w:val="0C1F1A"/>
          <w:sz w:val="32"/>
          <w:szCs w:val="32"/>
        </w:rPr>
        <w:t xml:space="preserve">2. Stack Technique Détaillée</w:t>
      </w:r>
      <w:bookmarkEnd w:id="100004"/>
    </w:p>
    <w:p>
      <w:pPr>
        <w:pStyle w:val="Heading2"/>
        <w:spacing w:after="120" w:before="280" w:line="312"/>
      </w:pPr>
      <w:bookmarkStart w:id="100005" w:name="_Toc100005"/>
      <w:r>
        <w:rPr>
          <w:rFonts w:ascii="Calibri" w:eastAsia="SimHei"/>
          <w:b/>
          <w:bCs/>
          <w:color w:val="0C1F1A"/>
          <w:sz w:val="28"/>
          <w:szCs w:val="28"/>
        </w:rPr>
        <w:t xml:space="preserve">2.1 Frontend</w:t>
      </w:r>
      <w:bookmarkEnd w:id="100005"/>
    </w:p>
    <w:p>
      <w:pPr>
        <w:spacing w:after="60" w:line="312"/>
        <w:ind w:firstLine="480"/>
        <w:jc w:val="both"/>
      </w:pPr>
      <w:r>
        <w:rPr>
          <w:rFonts w:ascii="Calibri" w:eastAsia="Microsoft YaHei"/>
          <w:color w:val="1A2E20"/>
          <w:sz w:val="24"/>
          <w:szCs w:val="24"/>
        </w:rPr>
        <w:t xml:space="preserve">Le frontend est construit avec Next.js 16 exploitant l'App Router avec des Server Components par défaut. React 19 fournit les dernières optimisations de rendu. Tailwind CSS 4 gère le système de design avec un bloc @theme custom définissant les couleurs institutionnelles LIPS (lips-green #1B6B3A, lips-gold #C9962A, lips-emerald #0D7D5E). Les composants shadcn/ui offrent une bibliothèque accessible basée sur Radix UI, tandis que Framer Motion anime les transitions et interactions utilisateur avec des animations fluides et performantes.</w:t>
      </w:r>
    </w:p>
    <w:p>
      <w:pPr>
        <w:spacing w:after="60" w:line="312"/>
        <w:ind w:firstLine="480"/>
        <w:jc w:val="both"/>
      </w:pPr>
      <w:r>
        <w:rPr>
          <w:rFonts w:ascii="Calibri" w:eastAsia="Microsoft YaHei"/>
          <w:color w:val="1A2E20"/>
          <w:sz w:val="24"/>
          <w:szCs w:val="24"/>
        </w:rPr>
        <w:t xml:space="preserve">Le système de thème intègre trois modes de fonctionnement : le mode clair (light), le mode sombre (dark) et le mode automatique (auto). Le mode auto utilise le fuseau horaire de Dakar (Africa/Dakar, UTC+0) pour basculer automatiquement entre le mode jour (06h-19h) et le mode nuit (19h-06h). Un script inline dans le &lt;head&gt; du document HTML évite le flash de contenu non stylé (FOUC) en appliquant la classe dark avant l'hydratation React. Le composant ThemeToggle permet de cycliquement passer d'un mode à l'autre (Clair → Sombre → Auto → Clair) ou d'accéder à un menu déroulant avec les quatre options incluant le mode système.</w:t>
      </w:r>
    </w:p>
    <w:p>
      <w:pPr>
        <w:pStyle w:val="Heading2"/>
        <w:spacing w:after="120" w:before="280" w:line="312"/>
      </w:pPr>
      <w:bookmarkStart w:id="100006" w:name="_Toc100006"/>
      <w:r>
        <w:rPr>
          <w:rFonts w:ascii="Calibri" w:eastAsia="SimHei"/>
          <w:b/>
          <w:bCs/>
          <w:color w:val="0C1F1A"/>
          <w:sz w:val="28"/>
          <w:szCs w:val="28"/>
        </w:rPr>
        <w:t xml:space="preserve">2.2 Backend et API</w:t>
      </w:r>
      <w:bookmarkEnd w:id="100006"/>
    </w:p>
    <w:p>
      <w:pPr>
        <w:spacing w:after="60" w:line="312"/>
        <w:ind w:firstLine="480"/>
        <w:jc w:val="both"/>
      </w:pPr>
      <w:r>
        <w:rPr>
          <w:rFonts w:ascii="Calibri" w:eastAsia="Microsoft YaHei"/>
          <w:color w:val="1A2E20"/>
          <w:sz w:val="24"/>
          <w:szCs w:val="24"/>
        </w:rPr>
        <w:t xml:space="preserve">Les API Routes de Next.js servent de couche backend complète. Chaque endpoint est une Route Handler TypeScript située dans le répertoire src/app/api/. Le middleware Next.js (src/middleware.ts) intercepte toutes les requêtes vers /admin/* et /espace-membre/* pour vérifier la présence et la validité des JWT d'authentification. Les tokens sont stockés dans des cookies HTTP-only (lips-admin-session et lips-member-session) avec vérification via la bibliothèque jose. En cas de token invalide ou expiré, l'utilisateur est redirigé vers la page de connexion correspondante avec un paramètre de redirection.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Endpoint</w:t>
            </w:r>
          </w:p>
        </w:tc>
        <w:tc>
          <w:tcPr>
            <w:tcW w:type="pct" w:w="1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Méthode</w:t>
            </w:r>
          </w:p>
        </w:tc>
        <w:tc>
          <w:tcPr>
            <w:tcW w:type="pct" w:w="1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Auth</w:t>
            </w:r>
          </w:p>
        </w:tc>
        <w:tc>
          <w:tcPr>
            <w:tcW w:type="pct" w:w="5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Description</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/api/admin/login</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POST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Aucune</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Authentification administrateur</w:t>
            </w:r>
          </w:p>
        </w:tc>
      </w:tr>
      <w:tr>
        <w:trPr>
          <w:cantSplit/>
        </w:trPr>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/api/admin/me</w:t>
            </w:r>
          </w:p>
        </w:tc>
        <w:tc>
          <w:tcPr>
            <w:tcW w:type="pct" w:w="1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GET</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Profil admin connecté</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/api/admin/membres</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GET/POST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Liste et création de membres</w:t>
            </w:r>
          </w:p>
        </w:tc>
      </w:tr>
      <w:tr>
        <w:trPr>
          <w:cantSplit/>
        </w:trPr>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/api/admin/membres/[id]</w:t>
            </w:r>
          </w:p>
        </w:tc>
        <w:tc>
          <w:tcPr>
            <w:tcW w:type="pct" w:w="1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GET/PUT/DELETE</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CRUD membre individuel</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/api/admin/contenus</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GET/POST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Gestion des contenus (articles, fatwas, événements)</w:t>
            </w:r>
          </w:p>
        </w:tc>
      </w:tr>
      <w:tr>
        <w:trPr>
          <w:cantSplit/>
        </w:trPr>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/api/admin/regions</w:t>
            </w:r>
          </w:p>
        </w:tc>
        <w:tc>
          <w:tcPr>
            <w:tcW w:type="pct" w:w="1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GET/POST</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Gestion des régions</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/api/admin/faq</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GET/POST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Gestion FAQ</w:t>
            </w:r>
          </w:p>
        </w:tc>
      </w:tr>
      <w:tr>
        <w:trPr>
          <w:cantSplit/>
        </w:trPr>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/api/admin/bureau</w:t>
            </w:r>
          </w:p>
        </w:tc>
        <w:tc>
          <w:tcPr>
            <w:tcW w:type="pct" w:w="1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GET/POST</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Gestion membres du bureau</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/api/admin/commissions</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GET/POST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Gestion commissions</w:t>
            </w:r>
          </w:p>
        </w:tc>
      </w:tr>
      <w:tr>
        <w:trPr>
          <w:cantSplit/>
        </w:trPr>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/api/admin/concours</w:t>
            </w:r>
          </w:p>
        </w:tc>
        <w:tc>
          <w:tcPr>
            <w:tcW w:type="pct" w:w="1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GET/POST</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Gestion concours coraniques</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/api/admin/parametres</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GET/PUT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Configuration du site</w:t>
            </w:r>
          </w:p>
        </w:tc>
      </w:tr>
      <w:tr>
        <w:trPr>
          <w:cantSplit/>
        </w:trPr>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/api/admin/prieres</w:t>
            </w:r>
          </w:p>
        </w:tc>
        <w:tc>
          <w:tcPr>
            <w:tcW w:type="pct" w:w="1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GET/PUT</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Admin JWT</w:t>
            </w:r>
          </w:p>
        </w:tc>
        <w:tc>
          <w:tcPr>
            <w:tcW w:type="pct" w:w="5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Configuration prières</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/api/membre/login</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POST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Aucune</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Authentification membre</w:t>
            </w:r>
          </w:p>
        </w:tc>
      </w:tr>
      <w:tr>
        <w:trPr>
          <w:cantSplit/>
        </w:trPr>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/api/membre/me</w:t>
            </w:r>
          </w:p>
        </w:tc>
        <w:tc>
          <w:tcPr>
            <w:tcW w:type="pct" w:w="1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GET</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Member JWT</w:t>
            </w:r>
          </w:p>
        </w:tc>
        <w:tc>
          <w:tcPr>
            <w:tcW w:type="pct" w:w="5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Profil membre connecté</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/api/prayer-times</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Aucune</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Horaires de prière (API externe)</w:t>
            </w:r>
          </w:p>
        </w:tc>
      </w:tr>
      <w:tr>
        <w:trPr>
          <w:cantSplit/>
        </w:trPr>
        <w:tc>
          <w:tcPr>
            <w:tcW w:type="pct" w:w="2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/api/coran/reciters</w:t>
            </w:r>
          </w:p>
        </w:tc>
        <w:tc>
          <w:tcPr>
            <w:tcW w:type="pct" w:w="1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GET</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Aucune</w:t>
            </w:r>
          </w:p>
        </w:tc>
        <w:tc>
          <w:tcPr>
            <w:tcW w:type="pct" w:w="5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Liste des récitateurs (MP3Quran)</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/api/coran/suwar</w:t>
            </w:r>
          </w:p>
        </w:tc>
        <w:tc>
          <w:tcPr>
            <w:tcW w:type="pct" w:w="1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GET</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Aucune</w:t>
            </w:r>
          </w:p>
        </w:tc>
        <w:tc>
          <w:tcPr>
            <w:tcW w:type="pct" w:w="5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Index des 114 sourates</w:t>
            </w:r>
          </w:p>
        </w:tc>
      </w:tr>
      <w:tr>
        <w:trPr>
          <w:cantSplit/>
        </w:trPr>
        <w:tc>
          <w:tcPr>
            <w:tcW w:type="pct" w:w="25%"/>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/api/verifier-carte</w:t>
            </w:r>
          </w:p>
        </w:tc>
        <w:tc>
          <w:tcPr>
            <w:tcW w:type="pct" w:w="10%"/>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POST</w:t>
            </w:r>
          </w:p>
        </w:tc>
        <w:tc>
          <w:tcPr>
            <w:tcW w:type="pct" w:w="15%"/>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Aucune</w:t>
            </w:r>
          </w:p>
        </w:tc>
        <w:tc>
          <w:tcPr>
            <w:tcW w:type="pct" w:w="50%"/>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Vérification carte membre par matricule</w:t>
            </w:r>
          </w:p>
        </w:tc>
      </w:tr>
    </w:tbl>
    <w:p>
      <w:pPr>
        <w:pStyle w:val="Heading2"/>
        <w:spacing w:after="120" w:before="280" w:line="312"/>
      </w:pPr>
      <w:bookmarkStart w:id="100007" w:name="_Toc100007"/>
      <w:r>
        <w:rPr>
          <w:rFonts w:ascii="Calibri" w:eastAsia="SimHei"/>
          <w:b/>
          <w:bCs/>
          <w:color w:val="0C1F1A"/>
          <w:sz w:val="28"/>
          <w:szCs w:val="28"/>
        </w:rPr>
        <w:t xml:space="preserve">2.3 Base de Données</w:t>
      </w:r>
      <w:bookmarkEnd w:id="100007"/>
    </w:p>
    <w:p>
      <w:pPr>
        <w:spacing w:after="60" w:line="312"/>
        <w:ind w:firstLine="480"/>
        <w:jc w:val="both"/>
      </w:pPr>
      <w:r>
        <w:rPr>
          <w:rFonts w:ascii="Calibri" w:eastAsia="Microsoft YaHei"/>
          <w:color w:val="1A2E20"/>
          <w:sz w:val="24"/>
          <w:szCs w:val="24"/>
        </w:rPr>
        <w:t xml:space="preserve">La base de données SQLite est gérée par Prisma ORM qui fournit un schéma typé, des migrations automatiques et un client généré. Le schéma Prisma définit 9 modèles couvrant les domaines métiers de la LIPS. Le fichier de base de données est situé dans db/custom.db avec l'URL de connexion configurée via la variable d'environnement DATABASE_URL. Prisma permet de changer facilement de SGBD (PostgreSQL, MySQL) si les besoins évoluent sans modification du code applicatif.</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Modèle</w:t>
            </w:r>
          </w:p>
        </w:tc>
        <w:tc>
          <w:tcPr>
            <w:tcW w:type="pct" w:w="18%"/>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Domaine</w:t>
            </w:r>
          </w:p>
        </w:tc>
        <w:tc>
          <w:tcPr>
            <w:tcW w:type="pct" w:w="62%"/>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Description</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User</w:t>
            </w:r>
          </w:p>
        </w:tc>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Membres</w:t>
            </w:r>
          </w:p>
        </w:tc>
        <w:tc>
          <w:tcPr>
            <w:tcW w:type="pct" w:w="6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Imams, prédicateurs, admin avec matricule unique, rôle, statut, région</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Region</w:t>
            </w:r>
          </w:p>
        </w:tc>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Gouvernance</w:t>
            </w:r>
          </w:p>
        </w:tc>
        <w:tc>
          <w:tcPr>
            <w:tcW w:type="pct" w:w="6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14 régions avec code, nom (FR/AR), coordonnées GPS, stats</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Mosque</w:t>
            </w:r>
          </w:p>
        </w:tc>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Gouvernance</w:t>
            </w:r>
          </w:p>
        </w:tc>
        <w:tc>
          <w:tcPr>
            <w:tcW w:type="pct" w:w="6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Mosquées affiliées avec adresse et lien région</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CarteMembre</w:t>
            </w:r>
          </w:p>
        </w:tc>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Carte Membre</w:t>
            </w:r>
          </w:p>
        </w:tc>
        <w:tc>
          <w:tcPr>
            <w:tcW w:type="pct" w:w="6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Carte avec QR code, dates émission/expiration, lien utilisateur</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Paiement</w:t>
            </w:r>
          </w:p>
        </w:tc>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Financier</w:t>
            </w:r>
          </w:p>
        </w:tc>
        <w:tc>
          <w:tcPr>
            <w:tcW w:type="pct" w:w="6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Cotisations, dons, adhésions avec référence et méthode</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Content</w:t>
            </w:r>
          </w:p>
        </w:tc>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Communication</w:t>
            </w:r>
          </w:p>
        </w:tc>
        <w:tc>
          <w:tcPr>
            <w:tcW w:type="pct" w:w="6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Communiqués, fatwas, articles, événements avec version bilingue</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FAQ</w:t>
            </w:r>
          </w:p>
        </w:tc>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Communication</w:t>
            </w:r>
          </w:p>
        </w:tc>
        <w:tc>
          <w:tcPr>
            <w:tcW w:type="pct" w:w="6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Questions fréquentes avec ordre d'affichage</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BureauMember</w:t>
            </w:r>
          </w:p>
        </w:tc>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Institutionnel</w:t>
            </w:r>
          </w:p>
        </w:tc>
        <w:tc>
          <w:tcPr>
            <w:tcW w:type="pct" w:w="6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Membres du bureau national avec rôle et bio</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Commission</w:t>
            </w:r>
          </w:p>
        </w:tc>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Institutionnel</w:t>
            </w:r>
          </w:p>
        </w:tc>
        <w:tc>
          <w:tcPr>
            <w:tcW w:type="pct" w:w="6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Commissions thématiques avec nom bilingue et icône</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Concours</w:t>
            </w:r>
          </w:p>
        </w:tc>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Formation</w:t>
            </w:r>
          </w:p>
        </w:tc>
        <w:tc>
          <w:tcPr>
            <w:tcW w:type="pct" w:w="6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Concours coraniques avec dates, lieu, statut</w:t>
            </w:r>
          </w:p>
        </w:tc>
      </w:tr>
      <w:tr>
        <w:trPr>
          <w:cantSplit/>
        </w:trPr>
        <w:tc>
          <w:tcPr>
            <w:tcW w:type="pct" w:w="20%"/>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SiteConfig</w:t>
            </w:r>
          </w:p>
        </w:tc>
        <w:tc>
          <w:tcPr>
            <w:tcW w:type="pct" w:w="18%"/>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Configuration</w:t>
            </w:r>
          </w:p>
        </w:tc>
        <w:tc>
          <w:tcPr>
            <w:tcW w:type="pct" w:w="62%"/>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Paramètres clé-valeur du site</w:t>
            </w:r>
          </w:p>
        </w:tc>
      </w:tr>
    </w:tbl>
    <w:p>
      <w:pPr>
        <w:pStyle w:val="Heading2"/>
        <w:spacing w:after="120" w:before="280" w:line="312"/>
      </w:pPr>
      <w:bookmarkStart w:id="100008" w:name="_Toc100008"/>
      <w:r>
        <w:rPr>
          <w:rFonts w:ascii="Calibri" w:eastAsia="SimHei"/>
          <w:b/>
          <w:bCs/>
          <w:color w:val="0C1F1A"/>
          <w:sz w:val="28"/>
          <w:szCs w:val="28"/>
        </w:rPr>
        <w:t xml:space="preserve">2.4 Système d'Internationalisation (i18n)</w:t>
      </w:r>
      <w:bookmarkEnd w:id="100008"/>
    </w:p>
    <w:p>
      <w:pPr>
        <w:spacing w:after="60" w:line="312"/>
        <w:ind w:firstLine="480"/>
        <w:jc w:val="both"/>
      </w:pPr>
      <w:r>
        <w:rPr>
          <w:rFonts w:ascii="Calibri" w:eastAsia="Microsoft YaHei"/>
          <w:color w:val="1A2E20"/>
          <w:sz w:val="24"/>
          <w:szCs w:val="24"/>
        </w:rPr>
        <w:t xml:space="preserve">Le SIIN implémente un système trilingue complet (Français, Arabe, Anglais) basé sur React Context API. Le fichier translations.ts contient plus de 500 clés de traduction couvrant l'ensemble de l'interface : navigation, hero, horaires de prière, services, statistiques, actualités, régions, Coran, newsletter, footer, et pages spécifiques (connexion membre, connexion admin, vérification carte). Le LanguageProvider encapsule l'application et expose les fonctions t() et p() pour accéder aux traductions, ainsi que les états locale et setLocale pour gérer la langue courante.</w:t>
      </w:r>
    </w:p>
    <w:p>
      <w:pPr>
        <w:spacing w:after="60" w:line="312"/>
        <w:ind w:firstLine="480"/>
        <w:jc w:val="both"/>
      </w:pPr>
      <w:r>
        <w:rPr>
          <w:rFonts w:ascii="Calibri" w:eastAsia="Microsoft YaHei"/>
          <w:color w:val="1A2E20"/>
          <w:sz w:val="24"/>
          <w:szCs w:val="24"/>
        </w:rPr>
        <w:t xml:space="preserve">Le support RTL (Right-to-Left) pour l'arabe est géré via l'attribut dir='rtl' sur l'élément HTML root, avec des règles CSS spécifiques dans globals.css pour inverser les marges, les flexbox et les propriétés directionnelles. La police Noto Naskh Arabic est utilisée pour le rendu des textes arabes avec une hauteur de ligne de 1.8 pour une lisibilité optimale. Le sélecteur de langue (LanguageSwitcher) affiche le drapeau, le nom complet de la langue et un indicateur visuel de la langue active.</w:t>
      </w:r>
    </w:p>
    <w:p>
      <w:pPr>
        <w:pStyle w:val="Heading1"/>
        <w:spacing w:after="120" w:before="360" w:line="312"/>
      </w:pPr>
      <w:bookmarkStart w:id="100009" w:name="_Toc100009"/>
      <w:r>
        <w:rPr>
          <w:rFonts w:ascii="Calibri" w:eastAsia="SimHei"/>
          <w:b/>
          <w:bCs/>
          <w:color w:val="0C1F1A"/>
          <w:sz w:val="32"/>
          <w:szCs w:val="32"/>
        </w:rPr>
        <w:t xml:space="preserve">3. Sécurité et Authentification</w:t>
      </w:r>
      <w:bookmarkEnd w:id="100009"/>
    </w:p>
    <w:p>
      <w:pPr>
        <w:pStyle w:val="Heading2"/>
        <w:spacing w:after="120" w:before="280" w:line="312"/>
      </w:pPr>
      <w:bookmarkStart w:id="100010" w:name="_Toc100010"/>
      <w:r>
        <w:rPr>
          <w:rFonts w:ascii="Calibri" w:eastAsia="SimHei"/>
          <w:b/>
          <w:bCs/>
          <w:color w:val="0C1F1A"/>
          <w:sz w:val="28"/>
          <w:szCs w:val="28"/>
        </w:rPr>
        <w:t xml:space="preserve">3.1 Architecture d'Authentification</w:t>
      </w:r>
      <w:bookmarkEnd w:id="100010"/>
    </w:p>
    <w:p>
      <w:pPr>
        <w:spacing w:after="60" w:line="312"/>
        <w:ind w:firstLine="480"/>
        <w:jc w:val="both"/>
      </w:pPr>
      <w:r>
        <w:rPr>
          <w:rFonts w:ascii="Calibri" w:eastAsia="Microsoft YaHei"/>
          <w:color w:val="1A2E20"/>
          <w:sz w:val="24"/>
          <w:szCs w:val="24"/>
        </w:rPr>
        <w:t xml:space="preserve">Le SIIN utilise un système d'authentification dual avec des tokens JWT (JSON Web Tokens) séparés pour les administrateurs et les membres. Chaque type d'utilisateur dispose de son propre cookie de session (lips-admin-session et lips-member-session), de sa propre clé secrète JWT et de ses propres endpoints d'authentification. Cette séparation stricte garantit qu'un membre ne peut jamais accéder aux routes administrateur et vice versa, même en cas de compromission d'un token.</w:t>
      </w:r>
    </w:p>
    <w:p>
      <w:pPr>
        <w:spacing w:after="60" w:line="312"/>
        <w:ind w:firstLine="480"/>
        <w:jc w:val="both"/>
      </w:pPr>
      <w:r>
        <w:rPr>
          <w:rFonts w:ascii="Calibri" w:eastAsia="Microsoft YaHei"/>
          <w:color w:val="1A2E20"/>
          <w:sz w:val="24"/>
          <w:szCs w:val="24"/>
        </w:rPr>
        <w:t xml:space="preserve">Les mots de passe sont hashés avec bcryptjs (salt rounds par défaut) avant stockage en base de données. La vérification se fait par comparaison du hash, sans jamais transmettre le mot de passe en clair. Les tokens JWT sont signés avec la bibliothèque jose et ont une durée de validité de 24 heures. Le middleware Next.js intercepte chaque requête vers les zones protégées, vérifie la signature et l'expiration du token, et redirige vers la page de connexion en cas d'échec.</w:t>
      </w:r>
    </w:p>
    <w:p>
      <w:pPr>
        <w:pStyle w:val="Heading2"/>
        <w:spacing w:after="120" w:before="280" w:line="312"/>
      </w:pPr>
      <w:bookmarkStart w:id="100011" w:name="_Toc100011"/>
      <w:r>
        <w:rPr>
          <w:rFonts w:ascii="Calibri" w:eastAsia="SimHei"/>
          <w:b/>
          <w:bCs/>
          <w:color w:val="0C1F1A"/>
          <w:sz w:val="28"/>
          <w:szCs w:val="28"/>
        </w:rPr>
        <w:t xml:space="preserve">3.2 Protection Anti-Brute Force</w:t>
      </w:r>
      <w:bookmarkEnd w:id="100011"/>
    </w:p>
    <w:p>
      <w:pPr>
        <w:spacing w:after="60" w:line="312"/>
        <w:ind w:firstLine="480"/>
        <w:jc w:val="both"/>
      </w:pPr>
      <w:r>
        <w:rPr>
          <w:rFonts w:ascii="Calibri" w:eastAsia="Microsoft YaHei"/>
          <w:color w:val="1A2E20"/>
          <w:sz w:val="24"/>
          <w:szCs w:val="24"/>
        </w:rPr>
        <w:t xml:space="preserve">Les pages de connexion implémentent une protection anti-brute force côté client avec verrouillage temporaire du compte après tentatives infructueuses. Pour les membres, le seuil est de 5 tentatives avant verrouillage de 5 minutes. Pour les administrateurs, le seuil est également de 5 tentatives mais le verrouillage dure 15 minutes, reflétant le niveau de sensibilité supérieur de l'accès admin. Les informations de verrouillage sont stockées dans le localStorage du navigateur avec des clés séparées (lips-member-lockout et lips-admin-lockout).</w:t>
      </w:r>
    </w:p>
    <w:p>
      <w:pPr>
        <w:spacing w:after="60" w:line="312"/>
        <w:ind w:firstLine="480"/>
        <w:jc w:val="both"/>
      </w:pPr>
      <w:r>
        <w:rPr>
          <w:rFonts w:ascii="Calibri" w:eastAsia="Microsoft YaHei"/>
          <w:color w:val="1A2E20"/>
          <w:sz w:val="24"/>
          <w:szCs w:val="24"/>
        </w:rPr>
        <w:t xml:space="preserve">Un compteur de tentatives restantes s'affiche en temps réel sous le formulaire de connexion, et un message d'avertissement explicite apparaît lorsque le compte est verrouillé, indiquant la durée restante avant déverrouillage automatique. Un minuteur actualise cette information toutes les 5 secondes. Lorsque le verrouillage expire, les compteurs sont automatiquement réinitialisés et l'utilisateur peut de nouveau tenter de se connecter.</w:t>
      </w:r>
    </w:p>
    <w:p>
      <w:pPr>
        <w:pStyle w:val="Heading2"/>
        <w:spacing w:after="120" w:before="280" w:line="312"/>
      </w:pPr>
      <w:bookmarkStart w:id="100012" w:name="_Toc100012"/>
      <w:r>
        <w:rPr>
          <w:rFonts w:ascii="Calibri" w:eastAsia="SimHei"/>
          <w:b/>
          <w:bCs/>
          <w:color w:val="0C1F1A"/>
          <w:sz w:val="28"/>
          <w:szCs w:val="28"/>
        </w:rPr>
        <w:t xml:space="preserve">3.3 Indicateur de Force du Mot de Passe</w:t>
      </w:r>
      <w:bookmarkEnd w:id="100012"/>
    </w:p>
    <w:p>
      <w:pPr>
        <w:spacing w:after="60" w:line="312"/>
        <w:ind w:firstLine="480"/>
        <w:jc w:val="both"/>
      </w:pPr>
      <w:r>
        <w:rPr>
          <w:rFonts w:ascii="Calibri" w:eastAsia="Microsoft YaHei"/>
          <w:color w:val="1A2E20"/>
          <w:sz w:val="24"/>
          <w:szCs w:val="24"/>
        </w:rPr>
        <w:t xml:space="preserve">Les deux pages de connexion (membre et administrateur) intègrent un indicateur visuel de force du mot de passe qui s'affiche en temps réel lorsque l'utilisateur saisit son mot de passe. L'indicateur évalue cinq critères : longueur minimale de 6 caractères, longueur de 8 caractères ou plus, présence de majuscules, présence de chiffres, et présence de caractères spéciaux. Quatre barres colorées affichent le résultat : Faible (rouge), Moyen (ambre), Bon (vert LIPS), Fort (vert émeraude). Cette fonctionnalité encourage les utilisateurs à choisir des mots de passe robustes.</w:t>
      </w:r>
    </w:p>
    <w:p>
      <w:pPr>
        <w:pStyle w:val="Heading2"/>
        <w:spacing w:after="120" w:before="280" w:line="312"/>
      </w:pPr>
      <w:bookmarkStart w:id="100013" w:name="_Toc100013"/>
      <w:r>
        <w:rPr>
          <w:rFonts w:ascii="Calibri" w:eastAsia="SimHei"/>
          <w:b/>
          <w:bCs/>
          <w:color w:val="0C1F1A"/>
          <w:sz w:val="28"/>
          <w:szCs w:val="28"/>
        </w:rPr>
        <w:t xml:space="preserve">3.4 Badges de Sécurité Visuels</w:t>
      </w:r>
      <w:bookmarkEnd w:id="100013"/>
    </w:p>
    <w:p>
      <w:pPr>
        <w:spacing w:after="60" w:line="312"/>
        <w:ind w:firstLine="480"/>
        <w:jc w:val="both"/>
      </w:pPr>
      <w:r>
        <w:rPr>
          <w:rFonts w:ascii="Calibri" w:eastAsia="Microsoft YaHei"/>
          <w:color w:val="1A2E20"/>
          <w:sz w:val="24"/>
          <w:szCs w:val="24"/>
        </w:rPr>
        <w:t xml:space="preserve">Les formulaires de connexion affichent des badges de sécurité en bas du formulaire pour rassurer l'utilisateur sur le niveau de protection de ses données. Côté membre, trois badges sont visibles : « Chiffrement SSL », « Auth JWT » et « Session 24h ». Côté administrateur, les badges sont adaptés au contexte : « SSL/TLS », « JWT Secure » et « Anti-intrusion ». Ces indicateurs sont accompagnés d'icônes Lucide (Shield, Fingerprint, BadgeCheck) pour une identification visuelle rapide. La page admin affiche également un avertissement d'accès restreint en pied de formulaire.</w:t>
      </w:r>
    </w:p>
    <w:p>
      <w:pPr>
        <w:pStyle w:val="Heading1"/>
        <w:spacing w:after="120" w:before="360" w:line="312"/>
      </w:pPr>
      <w:bookmarkStart w:id="100014" w:name="_Toc100014"/>
      <w:r>
        <w:rPr>
          <w:rFonts w:ascii="Calibri" w:eastAsia="SimHei"/>
          <w:b/>
          <w:bCs/>
          <w:color w:val="0C1F1A"/>
          <w:sz w:val="32"/>
          <w:szCs w:val="32"/>
        </w:rPr>
        <w:t xml:space="preserve">4. Navigation et Expérience Utilisateur</w:t>
      </w:r>
      <w:bookmarkEnd w:id="100014"/>
    </w:p>
    <w:p>
      <w:pPr>
        <w:pStyle w:val="Heading2"/>
        <w:spacing w:after="120" w:before="280" w:line="312"/>
      </w:pPr>
      <w:bookmarkStart w:id="100015" w:name="_Toc100015"/>
      <w:r>
        <w:rPr>
          <w:rFonts w:ascii="Calibri" w:eastAsia="SimHei"/>
          <w:b/>
          <w:bCs/>
          <w:color w:val="0C1F1A"/>
          <w:sz w:val="28"/>
          <w:szCs w:val="28"/>
        </w:rPr>
        <w:t xml:space="preserve">4.1 Header et Navigation Responsive</w:t>
      </w:r>
      <w:bookmarkEnd w:id="100015"/>
    </w:p>
    <w:p>
      <w:pPr>
        <w:spacing w:after="60" w:line="312"/>
        <w:ind w:firstLine="480"/>
        <w:jc w:val="both"/>
      </w:pPr>
      <w:r>
        <w:rPr>
          <w:rFonts w:ascii="Calibri" w:eastAsia="Microsoft YaHei"/>
          <w:color w:val="1A2E20"/>
          <w:sz w:val="24"/>
          <w:szCs w:val="24"/>
        </w:rPr>
        <w:t xml:space="preserve">Le header du site public est un composant sticky qui s'adapte automatiquement à la taille de l'écran. Sur les écrans XL (1280px et plus), la navigation horizontale affiche les 9 items du menu avec des dropdowns animés (Framer Motion) pour les sous-menus « À Propos » et « Actualités ». Sur les écrans plus petits (tablette et mobile), un bouton hamburger ouvre un panneau latéral glissant depuis la droite (slide-in panel) avec un fond semi-transparent et un effet de blur.</w:t>
      </w:r>
    </w:p>
    <w:p>
      <w:pPr>
        <w:spacing w:after="60" w:line="312"/>
        <w:ind w:firstLine="480"/>
        <w:jc w:val="both"/>
      </w:pPr>
      <w:r>
        <w:rPr>
          <w:rFonts w:ascii="Calibri" w:eastAsia="Microsoft YaHei"/>
          <w:color w:val="1A2E20"/>
          <w:sz w:val="24"/>
          <w:szCs w:val="24"/>
        </w:rPr>
        <w:t xml:space="preserve">Le panneau mobile inclut un en-tête avec le logo et un bouton de fermeture, les items de navigation avec des sous-menus dépliables en accordéon, et une section fixe en bas contenant le sélecteur de thème, le sélecteur de langue et le bouton d'accès à l'espace membre. Le scroll du body est désactivé lorsque le menu est ouvert pour éviter les conflits de navigation. Le menu se ferme automatiquement lors d'un changement de route ou d'un redimensionnement de la fenêtre au-dessus de 1280px.</w:t>
      </w:r>
    </w:p>
    <w:p>
      <w:pPr>
        <w:pStyle w:val="Heading2"/>
        <w:spacing w:after="120" w:before="280" w:line="312"/>
      </w:pPr>
      <w:bookmarkStart w:id="100016" w:name="_Toc100016"/>
      <w:r>
        <w:rPr>
          <w:rFonts w:ascii="Calibri" w:eastAsia="SimHei"/>
          <w:b/>
          <w:bCs/>
          <w:color w:val="0C1F1A"/>
          <w:sz w:val="28"/>
          <w:szCs w:val="28"/>
        </w:rPr>
        <w:t xml:space="preserve">4.2 Thème Jour/Nuit Automatique</w:t>
      </w:r>
      <w:bookmarkEnd w:id="100016"/>
    </w:p>
    <w:p>
      <w:pPr>
        <w:spacing w:after="60" w:line="312"/>
        <w:ind w:firstLine="480"/>
        <w:jc w:val="both"/>
      </w:pPr>
      <w:r>
        <w:rPr>
          <w:rFonts w:ascii="Calibri" w:eastAsia="Microsoft YaHei"/>
          <w:color w:val="1A2E20"/>
          <w:sz w:val="24"/>
          <w:szCs w:val="24"/>
        </w:rPr>
        <w:t xml:space="preserve">Le système de thème propose quatre modes : Clair (light), Sombre (dark), Auto et Système (system). Le mode Auto est le mode par défaut et bascule automatiquement entre le thème clair et sombre en fonction de l'heure de Dakar : le mode jour est actif de 06h00 à 19h00, et le mode nuit de 19h00 à 06h00. Cette logique utilise le fuseau horaire Africa/Dakar (UTC+0) pour s'adapter au contexte sénégalais. Un scheduler côté client calcule le délai jusqu'à la prochaine transition et planifie la bascule automatique via setTimeout.</w:t>
      </w:r>
    </w:p>
    <w:p>
      <w:pPr>
        <w:spacing w:after="60" w:line="312"/>
        <w:ind w:firstLine="480"/>
        <w:jc w:val="both"/>
      </w:pPr>
      <w:r>
        <w:rPr>
          <w:rFonts w:ascii="Calibri" w:eastAsia="Microsoft YaHei"/>
          <w:color w:val="1A2E20"/>
          <w:sz w:val="24"/>
          <w:szCs w:val="24"/>
        </w:rPr>
        <w:t xml:space="preserve">Pour éviter le flash de contenu (FOUC) au chargement initial, un script inline dans la balise &lt;head&gt; du document exécute la logique de détection du thème avant l'hydratation React. Ce script lit le mode sauvegardé dans localStorage, et si le mode est auto ou non défini, calcule l'heure de Dakar pour déterminer s'il faut appliquer la classe dark à l'élément &lt;html&gt;. Le composant ThemeToggle affiche une icône animée (Soleil, Lune ou Lever de soleil) et permet de cycler entre les modes par clic simple, ou d'accéder au menu détaillé par clic droit.</w:t>
      </w:r>
    </w:p>
    <w:p>
      <w:pPr>
        <w:pStyle w:val="Heading2"/>
        <w:spacing w:after="120" w:before="280" w:line="312"/>
      </w:pPr>
      <w:bookmarkStart w:id="100017" w:name="_Toc100017"/>
      <w:r>
        <w:rPr>
          <w:rFonts w:ascii="Calibri" w:eastAsia="SimHei"/>
          <w:b/>
          <w:bCs/>
          <w:color w:val="0C1F1A"/>
          <w:sz w:val="28"/>
          <w:szCs w:val="28"/>
        </w:rPr>
        <w:t xml:space="preserve">4.3 Préchargeur (Preloader)</w:t>
      </w:r>
      <w:bookmarkEnd w:id="100017"/>
    </w:p>
    <w:p>
      <w:pPr>
        <w:spacing w:after="60" w:line="312"/>
        <w:ind w:firstLine="480"/>
        <w:jc w:val="both"/>
      </w:pPr>
      <w:r>
        <w:rPr>
          <w:rFonts w:ascii="Calibri" w:eastAsia="Microsoft YaHei"/>
          <w:color w:val="1A2E20"/>
          <w:sz w:val="24"/>
          <w:szCs w:val="24"/>
        </w:rPr>
        <w:t xml:space="preserve">Un écran de préchargeur animé s'affiche pendant 1,8 seconde au chargement initial du site, créant une transition visuelle élégante entre le chargement et le contenu. Le preloader affiche le logo LIPS avec une animation de pulse, une bismillah en arabe (بسم الله الرحمن الرحيم), et un ornement géométrique islamique en rotation. Le tout disparaît avec un fondu progressif pour révéler la page principale.</w:t>
      </w:r>
    </w:p>
    <w:p>
      <w:pPr>
        <w:pStyle w:val="Heading1"/>
        <w:spacing w:after="120" w:before="360" w:line="312"/>
      </w:pPr>
      <w:bookmarkStart w:id="100018" w:name="_Toc100018"/>
      <w:r>
        <w:rPr>
          <w:rFonts w:ascii="Calibri" w:eastAsia="SimHei"/>
          <w:b/>
          <w:bCs/>
          <w:color w:val="0C1F1A"/>
          <w:sz w:val="32"/>
          <w:szCs w:val="32"/>
        </w:rPr>
        <w:t xml:space="preserve">5. Pages Publiques</w:t>
      </w:r>
      <w:bookmarkEnd w:id="100018"/>
    </w:p>
    <w:p>
      <w:pPr>
        <w:pStyle w:val="Heading2"/>
        <w:spacing w:after="120" w:before="280" w:line="312"/>
      </w:pPr>
      <w:bookmarkStart w:id="100019" w:name="_Toc100019"/>
      <w:r>
        <w:rPr>
          <w:rFonts w:ascii="Calibri" w:eastAsia="SimHei"/>
          <w:b/>
          <w:bCs/>
          <w:color w:val="0C1F1A"/>
          <w:sz w:val="28"/>
          <w:szCs w:val="28"/>
        </w:rPr>
        <w:t xml:space="preserve">5.1 Page d'Accueil</w:t>
      </w:r>
      <w:bookmarkEnd w:id="100019"/>
    </w:p>
    <w:p>
      <w:pPr>
        <w:spacing w:after="60" w:line="312"/>
        <w:ind w:firstLine="480"/>
        <w:jc w:val="both"/>
      </w:pPr>
      <w:r>
        <w:rPr>
          <w:rFonts w:ascii="Calibri" w:eastAsia="Microsoft YaHei"/>
          <w:color w:val="1A2E20"/>
          <w:sz w:val="24"/>
          <w:szCs w:val="24"/>
        </w:rPr>
        <w:t xml:space="preserve">La page d'accueil est structurée en sections empilées verticalement, chacune apportant une information clé sur la LIPS. L'ordre des sections est le suivant : Preloader (transition), Header (navigation sticky), PrayerTimesWidget (barre d'horaires de prière), HeroSection (bannière principale avec CTA), HomeServices (6 cartes de services), HomeAboutNarrative (récit institutionnel avec image), StatsSection (chiffres clés animés), HomeAbout (présentation détaillée), HomeActualites (dernières publications), HomeRegions (carte des 14 régions), HomeCTA (blocs d'appels à l'action), NewsletterSection (inscription newsletter), et LipsFooter (pied de page complet).</w:t>
      </w:r>
    </w:p>
    <w:p>
      <w:pPr>
        <w:spacing w:after="60" w:line="312"/>
        <w:ind w:firstLine="480"/>
        <w:jc w:val="both"/>
      </w:pPr>
      <w:r>
        <w:rPr>
          <w:rFonts w:ascii="Calibri" w:eastAsia="Microsoft YaHei"/>
          <w:color w:val="1A2E20"/>
          <w:sz w:val="24"/>
          <w:szCs w:val="24"/>
        </w:rPr>
        <w:t xml:space="preserve">Chaque section utilise des animations au scroll (reveal-on-scroll) pour révéler progressivement le contenu, des motifs géométriques islamiques en arrière-plan, et la palette de couleurs institutionnelle (vert LIPS, or, crème, émeraude). Le design responsive garantit un affichage optimal sur mobile, tablette et desktop. Le hero section présente la devise en arabe avec sa traduction, le nom complet de l'institution, un sous-titre descriptif, et deux boutons d'action : « Adhérer à la LIPS » et « Découvrir la LIPS ».</w:t>
      </w:r>
    </w:p>
    <w:p>
      <w:pPr>
        <w:pStyle w:val="Heading2"/>
        <w:spacing w:after="120" w:before="280" w:line="312"/>
      </w:pPr>
      <w:bookmarkStart w:id="100020" w:name="_Toc100020"/>
      <w:r>
        <w:rPr>
          <w:rFonts w:ascii="Calibri" w:eastAsia="SimHei"/>
          <w:b/>
          <w:bCs/>
          <w:color w:val="0C1F1A"/>
          <w:sz w:val="28"/>
          <w:szCs w:val="28"/>
        </w:rPr>
        <w:t xml:space="preserve">5.2 Page Coran</w:t>
      </w:r>
      <w:bookmarkEnd w:id="100020"/>
    </w:p>
    <w:p>
      <w:pPr>
        <w:spacing w:after="60" w:line="312"/>
        <w:ind w:firstLine="480"/>
        <w:jc w:val="both"/>
      </w:pPr>
      <w:r>
        <w:rPr>
          <w:rFonts w:ascii="Calibri" w:eastAsia="Microsoft YaHei"/>
          <w:color w:val="1A2E20"/>
          <w:sz w:val="24"/>
          <w:szCs w:val="24"/>
        </w:rPr>
        <w:t xml:space="preserve">La page Coran est une expérience complète de lecture et d'écoute du Saint Coran. Elle intègre un verset du jour (7 versets rotatifs, un par jour de la semaine), un lecteur audio streaming via l'API MP3Quran.net avec sélection de récitateurs populaires, un index interactif des 114 sourates avec recherche par nom ou numéro, et une section de ressources coraniques (lecture en ligne, MP3Quran, Coran en wolof, tafsir français, guide de mémorisation). Les sourates sont classées Makki/Madani avec indicateurs visuels distincts.</w:t>
      </w:r>
    </w:p>
    <w:p>
      <w:pPr>
        <w:pStyle w:val="Heading2"/>
        <w:spacing w:after="120" w:before="280" w:line="312"/>
      </w:pPr>
      <w:bookmarkStart w:id="100021" w:name="_Toc100021"/>
      <w:r>
        <w:rPr>
          <w:rFonts w:ascii="Calibri" w:eastAsia="SimHei"/>
          <w:b/>
          <w:bCs/>
          <w:color w:val="0C1F1A"/>
          <w:sz w:val="28"/>
          <w:szCs w:val="28"/>
        </w:rPr>
        <w:t xml:space="preserve">5.3 Autres Pages Publiques</w:t>
      </w:r>
      <w:bookmarkEnd w:id="100021"/>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8%"/>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Page</w:t>
            </w:r>
          </w:p>
        </w:tc>
        <w:tc>
          <w:tcPr>
            <w:tcW w:type="pct" w:w="22%"/>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Route</w:t>
            </w:r>
          </w:p>
        </w:tc>
        <w:tc>
          <w:tcPr>
            <w:tcW w:type="pct" w:w="6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Description</w:t>
            </w:r>
          </w:p>
        </w:tc>
      </w:tr>
      <w:tr>
        <w:trPr>
          <w:cantSplit/>
        </w:trPr>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À Propos</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/a-propos</w:t>
            </w:r>
          </w:p>
        </w:tc>
        <w:tc>
          <w:tcPr>
            <w:tcW w:type="pct" w:w="6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Mission, gouvernance, carte membre, FAQ avec ancres</w:t>
            </w:r>
          </w:p>
        </w:tc>
      </w:tr>
      <w:tr>
        <w:trPr>
          <w:cantSplit/>
        </w:trPr>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Actualités</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/actualites</w:t>
            </w:r>
          </w:p>
        </w:tc>
        <w:tc>
          <w:tcPr>
            <w:tcW w:type="pct" w:w="6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Communiqués, fatwas, événements, galerie photos</w:t>
            </w:r>
          </w:p>
        </w:tc>
      </w:tr>
      <w:tr>
        <w:trPr>
          <w:cantSplit/>
        </w:trPr>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Agenda</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/agenda</w:t>
            </w:r>
          </w:p>
        </w:tc>
        <w:tc>
          <w:tcPr>
            <w:tcW w:type="pct" w:w="6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Calendrier Hijri, événements religieux, programmes LIPS</w:t>
            </w:r>
          </w:p>
        </w:tc>
      </w:tr>
      <w:tr>
        <w:trPr>
          <w:cantSplit/>
        </w:trPr>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Régions</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/regions</w:t>
            </w:r>
          </w:p>
        </w:tc>
        <w:tc>
          <w:tcPr>
            <w:tcW w:type="pct" w:w="6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Carte interactive des 14 régions avec statistiques</w:t>
            </w:r>
          </w:p>
        </w:tc>
      </w:tr>
      <w:tr>
        <w:trPr>
          <w:cantSplit/>
        </w:trPr>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Adhérer</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/adherer</w:t>
            </w:r>
          </w:p>
        </w:tc>
        <w:tc>
          <w:tcPr>
            <w:tcW w:type="pct" w:w="6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Formulaire d'adhésion avec génération de matricule</w:t>
            </w:r>
          </w:p>
        </w:tc>
      </w:tr>
      <w:tr>
        <w:trPr>
          <w:cantSplit/>
        </w:trPr>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Vérifier Carte</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/verifier-carte</w:t>
            </w:r>
          </w:p>
        </w:tc>
        <w:tc>
          <w:tcPr>
            <w:tcW w:type="pct" w:w="6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Vérification instantanée par matricule avec QR code</w:t>
            </w:r>
          </w:p>
        </w:tc>
      </w:tr>
      <w:tr>
        <w:trPr>
          <w:cantSplit/>
        </w:trPr>
        <w:tc>
          <w:tcPr>
            <w:tcW w:type="pct" w:w="18%"/>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Faire un Don</w:t>
            </w:r>
          </w:p>
        </w:tc>
        <w:tc>
          <w:tcPr>
            <w:tcW w:type="pct" w:w="22%"/>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/faire-un-don</w:t>
            </w:r>
          </w:p>
        </w:tc>
        <w:tc>
          <w:tcPr>
            <w:tcW w:type="pct" w:w="60%"/>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Page de don avec intégration CinetPay/Wave</w:t>
            </w:r>
          </w:p>
        </w:tc>
      </w:tr>
    </w:tbl>
    <w:p>
      <w:pPr>
        <w:pStyle w:val="Heading1"/>
        <w:spacing w:after="120" w:before="360" w:line="312"/>
      </w:pPr>
      <w:bookmarkStart w:id="100022" w:name="_Toc100022"/>
      <w:r>
        <w:rPr>
          <w:rFonts w:ascii="Calibri" w:eastAsia="SimHei"/>
          <w:b/>
          <w:bCs/>
          <w:color w:val="0C1F1A"/>
          <w:sz w:val="32"/>
          <w:szCs w:val="32"/>
        </w:rPr>
        <w:t xml:space="preserve">6. Espaces Privés</w:t>
      </w:r>
      <w:bookmarkEnd w:id="100022"/>
    </w:p>
    <w:p>
      <w:pPr>
        <w:pStyle w:val="Heading2"/>
        <w:spacing w:after="120" w:before="280" w:line="312"/>
      </w:pPr>
      <w:bookmarkStart w:id="100023" w:name="_Toc100023"/>
      <w:r>
        <w:rPr>
          <w:rFonts w:ascii="Calibri" w:eastAsia="SimHei"/>
          <w:b/>
          <w:bCs/>
          <w:color w:val="0C1F1A"/>
          <w:sz w:val="28"/>
          <w:szCs w:val="28"/>
        </w:rPr>
        <w:t xml:space="preserve">6.1 Espace Membre</w:t>
      </w:r>
      <w:bookmarkEnd w:id="100023"/>
    </w:p>
    <w:p>
      <w:pPr>
        <w:spacing w:after="60" w:line="312"/>
        <w:ind w:firstLine="480"/>
        <w:jc w:val="both"/>
      </w:pPr>
      <w:r>
        <w:rPr>
          <w:rFonts w:ascii="Calibri" w:eastAsia="Microsoft YaHei"/>
          <w:color w:val="1A2E20"/>
          <w:sz w:val="24"/>
          <w:szCs w:val="24"/>
        </w:rPr>
        <w:t xml:space="preserve">L'espace membre (/espace-membre) est accessible après authentification via la page de connexion (/espace-membre/login). Le layout de l'espace membre utilise un header simplifié avec le logo, les informations de l'utilisateur connecté et un bouton de déconnexion. Sur mobile, une Sheet (tiroir latéral droit) remplace la navigation latérale. Le dashboard membre affiche la carte de membre avec QR code, les informations personnelles, l'historique des paiements et les prochaines échéances. La page de connexion membre utilise un design glassmorphism avec arrière-plan vert foncé et motif islamique, un formulaire avec icônes, indicateurs de force du mot de passe et protection anti-brute force.</w:t>
      </w:r>
    </w:p>
    <w:p>
      <w:pPr>
        <w:pStyle w:val="Heading2"/>
        <w:spacing w:after="120" w:before="280" w:line="312"/>
      </w:pPr>
      <w:bookmarkStart w:id="100024" w:name="_Toc100024"/>
      <w:r>
        <w:rPr>
          <w:rFonts w:ascii="Calibri" w:eastAsia="SimHei"/>
          <w:b/>
          <w:bCs/>
          <w:color w:val="0C1F1A"/>
          <w:sz w:val="28"/>
          <w:szCs w:val="28"/>
        </w:rPr>
        <w:t xml:space="preserve">6.2 Espace Administrateur</w:t>
      </w:r>
      <w:bookmarkEnd w:id="100024"/>
    </w:p>
    <w:p>
      <w:pPr>
        <w:spacing w:after="60" w:line="312"/>
        <w:ind w:firstLine="480"/>
        <w:jc w:val="both"/>
      </w:pPr>
      <w:r>
        <w:rPr>
          <w:rFonts w:ascii="Calibri" w:eastAsia="Microsoft YaHei"/>
          <w:color w:val="1A2E20"/>
          <w:sz w:val="24"/>
          <w:szCs w:val="24"/>
        </w:rPr>
        <w:t xml:space="preserve">L'espace administrateur (/admin) offre une interface complète de gestion du SIIN. Le layout admin comprend une sidebar gauche (desktop) ou un tiroir latéral gauche (mobile via Sheet) avec les liens de navigation vers les différentes sections : Dashboard, Membres, Contenus, Agenda, Prières, FAQ, Coran, Régions, Bureau, Commissions, Concours et Paramètres. La page de connexion admin utilise un design plus sombre et plus sobre que la page membre, avec un bandeau de sécurité or-vert, un avertissement d'accès restreint et des badges de sécurité renforcés (SSL/TLS, JWT Secure, Anti-intrusion). Le bouton de connexion admin est de couleur or (lips-gold) pour le distinguer visuellement du bouton membre.</w:t>
      </w:r>
    </w:p>
    <w:p>
      <w:pPr>
        <w:pStyle w:val="Heading1"/>
        <w:spacing w:after="120" w:before="360" w:line="312"/>
      </w:pPr>
      <w:bookmarkStart w:id="100025" w:name="_Toc100025"/>
      <w:r>
        <w:rPr>
          <w:rFonts w:ascii="Calibri" w:eastAsia="SimHei"/>
          <w:b/>
          <w:bCs/>
          <w:color w:val="0C1F1A"/>
          <w:sz w:val="32"/>
          <w:szCs w:val="32"/>
        </w:rPr>
        <w:t xml:space="preserve">7. Composants Réutilisables</w:t>
      </w:r>
      <w:bookmarkEnd w:id="100025"/>
    </w:p>
    <w:p>
      <w:pPr>
        <w:spacing w:after="60" w:line="312"/>
        <w:ind w:firstLine="480"/>
        <w:jc w:val="both"/>
      </w:pPr>
      <w:r>
        <w:rPr>
          <w:rFonts w:ascii="Calibri" w:eastAsia="Microsoft YaHei"/>
          <w:color w:val="1A2E20"/>
          <w:sz w:val="24"/>
          <w:szCs w:val="24"/>
        </w:rPr>
        <w:t xml:space="preserve">Le projet utilise une architecture de composants modulaires séparée en deux répertoires : src/components/ui/ pour les composants primitifs shadcn/ui (54 composants couvrant boutons, inputs, dialogues, tables, formulaires, etc.) et src/components/lips/ pour les composants métier spécifiques à la LIPS (22 composants). Chaque composant LIPS est internationalisé et adapté au mode sombre.</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Composant</w:t>
            </w:r>
          </w:p>
        </w:tc>
        <w:tc>
          <w:tcPr>
            <w:tcW w:type="pct" w:w="22%"/>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Fichier</w:t>
            </w:r>
          </w:p>
        </w:tc>
        <w:tc>
          <w:tcPr>
            <w:tcW w:type="pct" w:w="58%"/>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Fonction</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LipsHeader</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header.tsx</w:t>
            </w:r>
          </w:p>
        </w:tc>
        <w:tc>
          <w:tcPr>
            <w:tcW w:type="pct" w:w="5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Navigation sticky responsive avec dropdowns et panneau mobile</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LipsFooter</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footer.tsx</w:t>
            </w:r>
          </w:p>
        </w:tc>
        <w:tc>
          <w:tcPr>
            <w:tcW w:type="pct" w:w="5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Pied de page avec liens, contact, copyright</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HeroSection</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hero.tsx</w:t>
            </w:r>
          </w:p>
        </w:tc>
        <w:tc>
          <w:tcPr>
            <w:tcW w:type="pct" w:w="5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Bannière principale avec CTA et stats</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HomeServices</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home-services.tsx</w:t>
            </w:r>
          </w:p>
        </w:tc>
        <w:tc>
          <w:tcPr>
            <w:tcW w:type="pct" w:w="5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6 cartes de services avec icônes et gradients</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PrayerTimesWidget</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prayer-times.tsx</w:t>
            </w:r>
          </w:p>
        </w:tc>
        <w:tc>
          <w:tcPr>
            <w:tcW w:type="pct" w:w="5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Barre horaires prière avec sélecteur région</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ThemeToggle</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theme-toggle.tsx</w:t>
            </w:r>
          </w:p>
        </w:tc>
        <w:tc>
          <w:tcPr>
            <w:tcW w:type="pct" w:w="5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Bascule jour/nuit/auto avec icônes animées</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LanguageSwitcher</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language-switcher.tsx</w:t>
            </w:r>
          </w:p>
        </w:tc>
        <w:tc>
          <w:tcPr>
            <w:tcW w:type="pct" w:w="5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Sélecteur trilingue FR/AR/EN avec drapeaux</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Preloader</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preloader.tsx</w:t>
            </w:r>
          </w:p>
        </w:tc>
        <w:tc>
          <w:tcPr>
            <w:tcW w:type="pct" w:w="5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Écran de chargement animé avec bismillah</w:t>
            </w:r>
          </w:p>
        </w:tc>
      </w:tr>
      <w:tr>
        <w:trPr>
          <w:cantSplit/>
        </w:trPr>
        <w:tc>
          <w:tcPr>
            <w:tcW w:type="pct" w:w="2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CarteMembre</w:t>
            </w:r>
          </w:p>
        </w:tc>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carte-membre.tsx</w:t>
            </w:r>
          </w:p>
        </w:tc>
        <w:tc>
          <w:tcPr>
            <w:tcW w:type="pct" w:w="5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Carte membre avec QR code et informations</w:t>
            </w:r>
          </w:p>
        </w:tc>
      </w:tr>
      <w:tr>
        <w:trPr>
          <w:cantSplit/>
        </w:trPr>
        <w:tc>
          <w:tcPr>
            <w:tcW w:type="pct" w:w="2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SenegalMap</w:t>
            </w:r>
          </w:p>
        </w:tc>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senegal-map.tsx</w:t>
            </w:r>
          </w:p>
        </w:tc>
        <w:tc>
          <w:tcPr>
            <w:tcW w:type="pct" w:w="5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Carte interactive du Sénégal</w:t>
            </w:r>
          </w:p>
        </w:tc>
      </w:tr>
      <w:tr>
        <w:trPr>
          <w:cantSplit/>
        </w:trPr>
        <w:tc>
          <w:tcPr>
            <w:tcW w:type="pct" w:w="20%"/>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CoranPlayer</w:t>
            </w:r>
          </w:p>
        </w:tc>
        <w:tc>
          <w:tcPr>
            <w:tcW w:type="pct" w:w="22%"/>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coran.tsx</w:t>
            </w:r>
          </w:p>
        </w:tc>
        <w:tc>
          <w:tcPr>
            <w:tcW w:type="pct" w:w="58%"/>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Lecteur Coran avec récitateurs et sourates</w:t>
            </w:r>
          </w:p>
        </w:tc>
      </w:tr>
    </w:tbl>
    <w:p>
      <w:pPr>
        <w:pStyle w:val="Heading1"/>
        <w:spacing w:after="120" w:before="360" w:line="312"/>
      </w:pPr>
      <w:bookmarkStart w:id="100026" w:name="_Toc100026"/>
      <w:r>
        <w:rPr>
          <w:rFonts w:ascii="Calibri" w:eastAsia="SimHei"/>
          <w:b/>
          <w:bCs/>
          <w:color w:val="0C1F1A"/>
          <w:sz w:val="32"/>
          <w:szCs w:val="32"/>
        </w:rPr>
        <w:t xml:space="preserve">8. Design System et Identité Visuelle</w:t>
      </w:r>
      <w:bookmarkEnd w:id="100026"/>
    </w:p>
    <w:p>
      <w:pPr>
        <w:pStyle w:val="Heading2"/>
        <w:spacing w:after="120" w:before="280" w:line="312"/>
      </w:pPr>
      <w:bookmarkStart w:id="100027" w:name="_Toc100027"/>
      <w:r>
        <w:rPr>
          <w:rFonts w:ascii="Calibri" w:eastAsia="SimHei"/>
          <w:b/>
          <w:bCs/>
          <w:color w:val="0C1F1A"/>
          <w:sz w:val="28"/>
          <w:szCs w:val="28"/>
        </w:rPr>
        <w:t xml:space="preserve">8.1 Palette de Couleurs</w:t>
      </w:r>
      <w:bookmarkEnd w:id="100027"/>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Nom</w:t>
            </w:r>
          </w:p>
        </w:tc>
        <w:tc>
          <w:tcPr>
            <w:tcW w:type="pct" w:w="18%"/>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Hex</w:t>
            </w:r>
          </w:p>
        </w:tc>
        <w:tc>
          <w:tcPr>
            <w:tcW w:type="pct" w:w="6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Usage</w:t>
            </w:r>
          </w:p>
        </w:tc>
      </w:tr>
      <w:tr>
        <w:trPr>
          <w:cantSplit/>
        </w:trPr>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lips-green</w:t>
            </w:r>
          </w:p>
        </w:tc>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#1B6B3A</w:t>
            </w:r>
          </w:p>
        </w:tc>
        <w:tc>
          <w:tcPr>
            <w:tcW w:type="pct" w:w="6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Couleur primaire, boutons, liens actifs, accents</w:t>
            </w:r>
          </w:p>
        </w:tc>
      </w:tr>
      <w:tr>
        <w:trPr>
          <w:cantSplit/>
        </w:trPr>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lips-green-light</w:t>
            </w:r>
          </w:p>
        </w:tc>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#2E8B57</w:t>
            </w:r>
          </w:p>
        </w:tc>
        <w:tc>
          <w:tcPr>
            <w:tcW w:type="pct" w:w="6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Hover states, backgrounds légers</w:t>
            </w:r>
          </w:p>
        </w:tc>
      </w:tr>
      <w:tr>
        <w:trPr>
          <w:cantSplit/>
        </w:trPr>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lips-green-dark</w:t>
            </w:r>
          </w:p>
        </w:tc>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#0D3B1F</w:t>
            </w:r>
          </w:p>
        </w:tc>
        <w:tc>
          <w:tcPr>
            <w:tcW w:type="pct" w:w="6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Texte foncé, headers, backgrounds sombres</w:t>
            </w:r>
          </w:p>
        </w:tc>
      </w:tr>
      <w:tr>
        <w:trPr>
          <w:cantSplit/>
        </w:trPr>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lips-gold</w:t>
            </w:r>
          </w:p>
        </w:tc>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#C9962A</w:t>
            </w:r>
          </w:p>
        </w:tc>
        <w:tc>
          <w:tcPr>
            <w:tcW w:type="pct" w:w="6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Accents dorés, séparateurs, badge admin</w:t>
            </w:r>
          </w:p>
        </w:tc>
      </w:tr>
      <w:tr>
        <w:trPr>
          <w:cantSplit/>
        </w:trPr>
        <w:tc>
          <w:tcPr>
            <w:tcW w:type="pct" w:w="2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lips-gold-light</w:t>
            </w:r>
          </w:p>
        </w:tc>
        <w:tc>
          <w:tcPr>
            <w:tcW w:type="pct" w:w="18%"/>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#E5BE5A</w:t>
            </w:r>
          </w:p>
        </w:tc>
        <w:tc>
          <w:tcPr>
            <w:tcW w:type="pct" w:w="6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Hover doré, highlights</w:t>
            </w:r>
          </w:p>
        </w:tc>
      </w:tr>
      <w:tr>
        <w:trPr>
          <w:cantSplit/>
        </w:trPr>
        <w:tc>
          <w:tcPr>
            <w:tcW w:type="pct" w:w="2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lips-cream</w:t>
            </w:r>
          </w:p>
        </w:tc>
        <w:tc>
          <w:tcPr>
            <w:tcW w:type="pct" w:w="18%"/>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#FBF8F0</w:t>
            </w:r>
          </w:p>
        </w:tc>
        <w:tc>
          <w:tcPr>
            <w:tcW w:type="pct" w:w="6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Backgrounds clairs (mode jour)</w:t>
            </w:r>
          </w:p>
        </w:tc>
      </w:tr>
      <w:tr>
        <w:trPr>
          <w:cantSplit/>
        </w:trPr>
        <w:tc>
          <w:tcPr>
            <w:tcW w:type="pct" w:w="22%"/>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lips-emerald</w:t>
            </w:r>
          </w:p>
        </w:tc>
        <w:tc>
          <w:tcPr>
            <w:tcW w:type="pct" w:w="18%"/>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#0D7D5E</w:t>
            </w:r>
          </w:p>
        </w:tc>
        <w:tc>
          <w:tcPr>
            <w:tcW w:type="pct" w:w="60%"/>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Gradients, accents secondaires</w:t>
            </w:r>
          </w:p>
        </w:tc>
      </w:tr>
    </w:tbl>
    <w:p>
      <w:pPr>
        <w:spacing w:after="60" w:line="312"/>
        <w:ind w:firstLine="480"/>
        <w:jc w:val="both"/>
      </w:pPr>
      <w:r>
        <w:rPr>
          <w:rFonts w:ascii="Calibri" w:eastAsia="Microsoft YaHei"/>
          <w:color w:val="1A2E20"/>
          <w:sz w:val="24"/>
          <w:szCs w:val="24"/>
        </w:rPr>
        <w:t xml:space="preserve">En mode sombre, les couleurs sont automatiquement ajustées pour maintenir le contraste et la lisibilité. Le vert LIPS passe de #1B6B3A à #2E8B57, l'or de #C9962A à #E5BE5A, et le crème devient un vert très foncé (#1A2E20). Les variables CSS sont redéfinies dans le bloc .dark de globals.css en utilisant le mode oklch pour une transition fluide entre les modes. Toutes les transitions entre modes sont animées avec une durée de 0.15s ease-in-out.</w:t>
      </w:r>
    </w:p>
    <w:p>
      <w:pPr>
        <w:pStyle w:val="Heading2"/>
        <w:spacing w:after="120" w:before="280" w:line="312"/>
      </w:pPr>
      <w:bookmarkStart w:id="100028" w:name="_Toc100028"/>
      <w:r>
        <w:rPr>
          <w:rFonts w:ascii="Calibri" w:eastAsia="SimHei"/>
          <w:b/>
          <w:bCs/>
          <w:color w:val="0C1F1A"/>
          <w:sz w:val="28"/>
          <w:szCs w:val="28"/>
        </w:rPr>
        <w:t xml:space="preserve">8.2 Typographie et Motifs</w:t>
      </w:r>
      <w:bookmarkEnd w:id="100028"/>
    </w:p>
    <w:p>
      <w:pPr>
        <w:spacing w:after="60" w:line="312"/>
        <w:ind w:firstLine="480"/>
        <w:jc w:val="both"/>
      </w:pPr>
      <w:r>
        <w:rPr>
          <w:rFonts w:ascii="Calibri" w:eastAsia="Microsoft YaHei"/>
          <w:color w:val="1A2E20"/>
          <w:sz w:val="24"/>
          <w:szCs w:val="24"/>
        </w:rPr>
        <w:t xml:space="preserve">Le projet utilise les polices Geist Sans et Geist Mono comme polices par défaut via next/font/google. Pour les textes arabes, la classe .font-arabic applique Noto Naskh Arabic avec direction RTL et une hauteur de ligne de 1.8 pour une lisibilité optimale. Les motifs géométriques islamiques sont générés en CSS pur via la classe .islamic-pattern qui utilise un SVG en data URI pour créer un motif de losanges répété avec une opacité subtile (5% en mode clair, 8% en mode sombre). Le séparateur islamique (.separator-islamic) crée des lignes dorées dégradées de part et d'autre d'un élément central.</w:t>
      </w:r>
    </w:p>
    <w:p>
      <w:pPr>
        <w:pStyle w:val="Heading1"/>
        <w:spacing w:after="120" w:before="360" w:line="312"/>
      </w:pPr>
      <w:bookmarkStart w:id="100029" w:name="_Toc100029"/>
      <w:r>
        <w:rPr>
          <w:rFonts w:ascii="Calibri" w:eastAsia="SimHei"/>
          <w:b/>
          <w:bCs/>
          <w:color w:val="0C1F1A"/>
          <w:sz w:val="32"/>
          <w:szCs w:val="32"/>
        </w:rPr>
        <w:t xml:space="preserve">9. Déploiement et Infrastructure</w:t>
      </w:r>
      <w:bookmarkEnd w:id="100029"/>
    </w:p>
    <w:p>
      <w:pPr>
        <w:pStyle w:val="Heading2"/>
        <w:spacing w:after="120" w:before="280" w:line="312"/>
      </w:pPr>
      <w:bookmarkStart w:id="100030" w:name="_Toc100030"/>
      <w:r>
        <w:rPr>
          <w:rFonts w:ascii="Calibri" w:eastAsia="SimHei"/>
          <w:b/>
          <w:bCs/>
          <w:color w:val="0C1F1A"/>
          <w:sz w:val="28"/>
          <w:szCs w:val="28"/>
        </w:rPr>
        <w:t xml:space="preserve">9.1 Configuration de Build</w:t>
      </w:r>
      <w:bookmarkEnd w:id="100030"/>
    </w:p>
    <w:p>
      <w:pPr>
        <w:spacing w:after="60" w:line="312"/>
        <w:ind w:firstLine="480"/>
        <w:jc w:val="both"/>
      </w:pPr>
      <w:r>
        <w:rPr>
          <w:rFonts w:ascii="Calibri" w:eastAsia="Microsoft YaHei"/>
          <w:color w:val="1A2E20"/>
          <w:sz w:val="24"/>
          <w:szCs w:val="24"/>
        </w:rPr>
        <w:t xml:space="preserve">Le projet utilise le mode standalone de Next.js (output: 'standalone') pour un déploiement Docker-compatible optimisé. Le script de build copie les fichiers statiques et le répertoire public dans le dossier standalone généré. Le serveur de production est lancé via Node.js ou Bun en exécutant le fichier server.js généré par Next.js. Le Caddyfile à la racine du projet configure le reverse proxy HTTPS avec certificats automatiques (Let's Encrypt).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Commande</w:t>
            </w:r>
          </w:p>
        </w:tc>
        <w:tc>
          <w:tcPr>
            <w:tcW w:type="pct" w:w="7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Description</w:t>
            </w:r>
          </w:p>
        </w:tc>
      </w:tr>
      <w:tr>
        <w:trPr>
          <w:cantSplit/>
        </w:trPr>
        <w:tc>
          <w:tcPr>
            <w:tcW w:type="pct" w:w="3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pnpm dev</w:t>
            </w:r>
          </w:p>
        </w:tc>
        <w:tc>
          <w:tcPr>
            <w:tcW w:type="pct" w:w="7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Serveur de développement sur port 3000 avec Turbopack</w:t>
            </w:r>
          </w:p>
        </w:tc>
      </w:tr>
      <w:tr>
        <w:trPr>
          <w:cantSplit/>
        </w:trPr>
        <w:tc>
          <w:tcPr>
            <w:tcW w:type="pct" w:w="3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pnpm build</w:t>
            </w:r>
          </w:p>
        </w:tc>
        <w:tc>
          <w:tcPr>
            <w:tcW w:type="pct" w:w="7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Build de production standalone + copie assets</w:t>
            </w:r>
          </w:p>
        </w:tc>
      </w:tr>
      <w:tr>
        <w:trPr>
          <w:cantSplit/>
        </w:trPr>
        <w:tc>
          <w:tcPr>
            <w:tcW w:type="pct" w:w="3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pnpm start</w:t>
            </w:r>
          </w:p>
        </w:tc>
        <w:tc>
          <w:tcPr>
            <w:tcW w:type="pct" w:w="7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Lancement du serveur de production</w:t>
            </w:r>
          </w:p>
        </w:tc>
      </w:tr>
      <w:tr>
        <w:trPr>
          <w:cantSplit/>
        </w:trPr>
        <w:tc>
          <w:tcPr>
            <w:tcW w:type="pct" w:w="3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pnpm db:push</w:t>
            </w:r>
          </w:p>
        </w:tc>
        <w:tc>
          <w:tcPr>
            <w:tcW w:type="pct" w:w="7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Synchronisation du schéma Prisma avec la base</w:t>
            </w:r>
          </w:p>
        </w:tc>
      </w:tr>
      <w:tr>
        <w:trPr>
          <w:cantSplit/>
        </w:trPr>
        <w:tc>
          <w:tcPr>
            <w:tcW w:type="pct" w:w="3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pnpm db:generate</w:t>
            </w:r>
          </w:p>
        </w:tc>
        <w:tc>
          <w:tcPr>
            <w:tcW w:type="pct" w:w="7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Génération du client Prisma</w:t>
            </w:r>
          </w:p>
        </w:tc>
      </w:tr>
      <w:tr>
        <w:trPr>
          <w:cantSplit/>
        </w:trPr>
        <w:tc>
          <w:tcPr>
            <w:tcW w:type="pct" w:w="3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pnpm db:migrate</w:t>
            </w:r>
          </w:p>
        </w:tc>
        <w:tc>
          <w:tcPr>
            <w:tcW w:type="pct" w:w="70%"/>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Création d'une migration</w:t>
            </w:r>
          </w:p>
        </w:tc>
      </w:tr>
      <w:tr>
        <w:trPr>
          <w:cantSplit/>
        </w:trPr>
        <w:tc>
          <w:tcPr>
            <w:tcW w:type="pct" w:w="30%"/>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pnpm db:reset</w:t>
            </w:r>
          </w:p>
        </w:tc>
        <w:tc>
          <w:tcPr>
            <w:tcW w:type="pct" w:w="70%"/>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Réinitialisation complète de la base</w:t>
            </w:r>
          </w:p>
        </w:tc>
      </w:tr>
    </w:tbl>
    <w:p>
      <w:pPr>
        <w:pStyle w:val="Heading2"/>
        <w:spacing w:after="120" w:before="280" w:line="312"/>
      </w:pPr>
      <w:bookmarkStart w:id="100031" w:name="_Toc100031"/>
      <w:r>
        <w:rPr>
          <w:rFonts w:ascii="Calibri" w:eastAsia="SimHei"/>
          <w:b/>
          <w:bCs/>
          <w:color w:val="0C1F1A"/>
          <w:sz w:val="28"/>
          <w:szCs w:val="28"/>
        </w:rPr>
        <w:t xml:space="preserve">9.2 Variables d'Environnement</w:t>
      </w:r>
      <w:bookmarkEnd w:id="100031"/>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Variable</w:t>
            </w:r>
          </w:p>
        </w:tc>
        <w:tc>
          <w:tcPr>
            <w:tcW w:type="pct" w:w="4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Description</w:t>
            </w:r>
          </w:p>
        </w:tc>
        <w:tc>
          <w:tcPr>
            <w:tcW w:type="pct" w:w="30%"/>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Exemple</w:t>
            </w:r>
          </w:p>
        </w:tc>
      </w:tr>
      <w:tr>
        <w:trPr>
          <w:cantSplit/>
        </w:trPr>
        <w:tc>
          <w:tcPr>
            <w:tcW w:type="pct" w:w="2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DATABASE_URL</w:t>
            </w:r>
          </w:p>
        </w:tc>
        <w:tc>
          <w:tcPr>
            <w:tcW w:type="pct" w:w="4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URL de connexion Prisma</w:t>
            </w:r>
          </w:p>
        </w:tc>
        <w:tc>
          <w:tcPr>
            <w:tcW w:type="pct" w:w="30%"/>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file:./db/custom.db</w:t>
            </w:r>
          </w:p>
        </w:tc>
      </w:tr>
      <w:tr>
        <w:trPr>
          <w:cantSplit/>
        </w:trPr>
        <w:tc>
          <w:tcPr>
            <w:tcW w:type="pct" w:w="25%"/>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JWT_SECRET</w:t>
            </w:r>
          </w:p>
        </w:tc>
        <w:tc>
          <w:tcPr>
            <w:tcW w:type="pct" w:w="45%"/>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Clé secrète pour la signature JWT</w:t>
            </w:r>
          </w:p>
        </w:tc>
        <w:tc>
          <w:tcPr>
            <w:tcW w:type="pct" w:w="30%"/>
            <w:tcBorders>
              <w:top w:val="single" w:color="C5D8D0" w:sz="1"/>
              <w:left w:val="none" w:color="FFFFFF" w:sz="0"/>
              <w:bottom w:val="single" w:color="1B6B3A" w:sz="2"/>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lips-secret-key-2025</w:t>
            </w:r>
          </w:p>
        </w:tc>
      </w:tr>
    </w:tbl>
    <w:p>
      <w:pPr>
        <w:pStyle w:val="Heading1"/>
        <w:spacing w:after="120" w:before="360" w:line="312"/>
      </w:pPr>
      <w:bookmarkStart w:id="100032" w:name="_Toc100032"/>
      <w:r>
        <w:rPr>
          <w:rFonts w:ascii="Calibri" w:eastAsia="SimHei"/>
          <w:b/>
          <w:bCs/>
          <w:color w:val="0C1F1A"/>
          <w:sz w:val="32"/>
          <w:szCs w:val="32"/>
        </w:rPr>
        <w:t xml:space="preserve">10. Historique des Modifications</w:t>
      </w:r>
      <w:bookmarkEnd w:id="100032"/>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Version</w:t>
            </w:r>
          </w:p>
        </w:tc>
        <w:tc>
          <w:tcPr>
            <w:tcW w:type="pct" w:w="15%"/>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Date</w:t>
            </w:r>
          </w:p>
        </w:tc>
        <w:tc>
          <w:tcPr>
            <w:tcW w:type="pct" w:w="73%"/>
            <w:tcBorders>
              <w:top w:val="single" w:color="1B6B3A" w:sz="2"/>
              <w:left w:val="none" w:color="FFFFFF" w:sz="0"/>
              <w:bottom w:val="single" w:color="1B6B3A" w:sz="1"/>
              <w:right w:val="none" w:color="FFFFFF" w:sz="0"/>
            </w:tcBorders>
            <w:shd w:fill="1B6B3A" w:val="clear"/>
            <w:tcMar>
              <w:top w:type="dxa" w:w="60"/>
              <w:left w:type="dxa" w:w="120"/>
              <w:bottom w:type="dxa" w:w="60"/>
              <w:right w:type="dxa" w:w="120"/>
            </w:tcMar>
          </w:tcPr>
          <w:p>
            <w:r>
              <w:rPr>
                <w:rFonts w:ascii="Calibri" w:eastAsia="SimHei"/>
                <w:b/>
                <w:bCs/>
                <w:color w:val="FFFFFF"/>
                <w:sz w:val="21"/>
                <w:szCs w:val="21"/>
              </w:rPr>
              <w:t xml:space="preserve">Modifications</w:t>
            </w:r>
          </w:p>
        </w:tc>
      </w:tr>
      <w:tr>
        <w:trPr>
          <w:cantSplit/>
        </w:trPr>
        <w:tc>
          <w:tcPr>
            <w:tcW w:type="pct" w:w="1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1.0</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Mai 2026</w:t>
            </w:r>
          </w:p>
        </w:tc>
        <w:tc>
          <w:tcPr>
            <w:tcW w:type="pct" w:w="73%"/>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MVP initial : site public, espace admin basique, i18n FR</w:t>
            </w:r>
          </w:p>
        </w:tc>
      </w:tr>
      <w:tr>
        <w:trPr>
          <w:cantSplit/>
        </w:trPr>
        <w:tc>
          <w:tcPr>
            <w:tcW w:type="pct" w:w="1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2.0</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Mai 2026</w:t>
            </w:r>
          </w:p>
        </w:tc>
        <w:tc>
          <w:tcPr>
            <w:tcW w:type="pct" w:w="73%"/>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Trilinguisme FR/AR/EN complet, RTL, Coran, prières, régions</w:t>
            </w:r>
          </w:p>
        </w:tc>
      </w:tr>
      <w:tr>
        <w:trPr>
          <w:cantSplit/>
        </w:trPr>
        <w:tc>
          <w:tcPr>
            <w:tcW w:type="pct" w:w="12%"/>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2.1</w:t>
            </w:r>
          </w:p>
        </w:tc>
        <w:tc>
          <w:tcPr>
            <w:tcW w:type="pct" w:w="15%"/>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Mai 2026</w:t>
            </w:r>
          </w:p>
        </w:tc>
        <w:tc>
          <w:tcPr>
            <w:tcW w:type="pct" w:w="73%"/>
            <w:tcBorders>
              <w:top w:val="single" w:color="C5D8D0" w:sz="1"/>
              <w:left w:val="none" w:color="FFFFFF" w:sz="0"/>
              <w:bottom w:val="single" w:color="C5D8D0" w:sz="1"/>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Logo officiel extrait du PDF, appliqué sur 8 emplacements</w:t>
            </w:r>
          </w:p>
        </w:tc>
      </w:tr>
      <w:tr>
        <w:trPr>
          <w:cantSplit/>
        </w:trPr>
        <w:tc>
          <w:tcPr>
            <w:tcW w:type="pct" w:w="12%"/>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2.2</w:t>
            </w:r>
          </w:p>
        </w:tc>
        <w:tc>
          <w:tcPr>
            <w:tcW w:type="pct" w:w="15%"/>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Juin 2026</w:t>
            </w:r>
          </w:p>
        </w:tc>
        <w:tc>
          <w:tcPr>
            <w:tcW w:type="pct" w:w="73%"/>
            <w:tcBorders>
              <w:top w:val="single" w:color="C5D8D0" w:sz="1"/>
              <w:left w:val="none" w:color="FFFFFF" w:sz="0"/>
              <w:bottom w:val="single" w:color="C5D8D0" w:sz="1"/>
              <w:right w:val="none" w:color="FFFFFF" w:sz="0"/>
            </w:tcBorders>
            <w:shd w:fill="FFFFFF" w:val="clear"/>
            <w:tcMar>
              <w:top w:type="dxa" w:w="50"/>
              <w:left w:type="dxa" w:w="120"/>
              <w:bottom w:type="dxa" w:w="50"/>
              <w:right w:type="dxa" w:w="120"/>
            </w:tcMar>
          </w:tcPr>
          <w:p>
            <w:r>
              <w:rPr>
                <w:rFonts w:ascii="Calibri" w:eastAsia="Microsoft YaHei"/>
                <w:color w:val="1A2E20"/>
                <w:sz w:val="21"/>
                <w:szCs w:val="21"/>
              </w:rPr>
              <w:t xml:space="preserve">Pages de connexion professionalisées avec sécurité renforcée</w:t>
            </w:r>
          </w:p>
        </w:tc>
      </w:tr>
      <w:tr>
        <w:trPr>
          <w:cantSplit/>
        </w:trPr>
        <w:tc>
          <w:tcPr>
            <w:tcW w:type="pct" w:w="12%"/>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3.0</w:t>
            </w:r>
          </w:p>
        </w:tc>
        <w:tc>
          <w:tcPr>
            <w:tcW w:type="pct" w:w="15%"/>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Juin 2026</w:t>
            </w:r>
          </w:p>
        </w:tc>
        <w:tc>
          <w:tcPr>
            <w:tcW w:type="pct" w:w="73%"/>
            <w:tcBorders>
              <w:top w:val="single" w:color="C5D8D0" w:sz="1"/>
              <w:left w:val="none" w:color="FFFFFF" w:sz="0"/>
              <w:bottom w:val="single" w:color="1B6B3A" w:sz="2"/>
              <w:right w:val="none" w:color="FFFFFF" w:sz="0"/>
            </w:tcBorders>
            <w:shd w:fill="EDF5F2" w:val="clear"/>
            <w:tcMar>
              <w:top w:type="dxa" w:w="50"/>
              <w:left w:type="dxa" w:w="120"/>
              <w:bottom w:type="dxa" w:w="50"/>
              <w:right w:type="dxa" w:w="120"/>
            </w:tcMar>
          </w:tcPr>
          <w:p>
            <w:r>
              <w:rPr>
                <w:rFonts w:ascii="Calibri" w:eastAsia="Microsoft YaHei"/>
                <w:color w:val="1A2E20"/>
                <w:sz w:val="21"/>
                <w:szCs w:val="21"/>
              </w:rPr>
              <w:t xml:space="preserve">Thème jour/nuit global avec auto-détection, header responsive XL, panneau mobile slide-in</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70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507070"/>
        <w:sz w:val="16"/>
        <w:szCs w:val="16"/>
      </w:rPr>
      <w:t xml:space="preserve">LIPS — Documentation Technique SIIN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E2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C1F1A"/>
      <w:sz w:val="32"/>
      <w:szCs w:val="32"/>
    </w:rPr>
  </w:style>
  <w:style w:type="paragraph" w:styleId="Heading2">
    <w:name w:val="Heading 2"/>
    <w:basedOn w:val="Normal"/>
    <w:next w:val="Normal"/>
    <w:qFormat/>
    <w:pPr>
      <w:spacing w:after="120" w:before="280" w:line="312"/>
      <w:outlineLvl w:val="1"/>
    </w:pPr>
    <w:rPr>
      <w:rFonts w:ascii="Calibri" w:eastAsia="SimHei"/>
      <w:b/>
      <w:bCs/>
      <w:color w:val="0C1F1A"/>
      <w:sz w:val="28"/>
      <w:szCs w:val="28"/>
    </w:rPr>
  </w:style>
  <w:style w:type="paragraph" w:styleId="Heading3">
    <w:name w:val="Heading 3"/>
    <w:basedOn w:val="Normal"/>
    <w:next w:val="Normal"/>
    <w:qFormat/>
    <w:pPr>
      <w:spacing w:after="100" w:before="200" w:line="312"/>
      <w:outlineLvl w:val="2"/>
    </w:pPr>
    <w:rPr>
      <w:rFonts w:ascii="Calibri" w:eastAsia="SimHei"/>
      <w:b/>
      <w:bCs/>
      <w:color w:val="0C1F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2026-06-06T22:24:00.121Z</dcterms:created>
  <dcterms:modified xsi:type="dcterms:W3CDTF">2026-06-06T22:24:00.121Z</dcterms:modified>
</cp:coreProperties>
</file>

<file path=docProps/custom.xml><?xml version="1.0" encoding="utf-8"?>
<Properties xmlns="http://schemas.openxmlformats.org/officeDocument/2006/custom-properties" xmlns:vt="http://schemas.openxmlformats.org/officeDocument/2006/docPropsVTypes"/>
</file>