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21A73" w14:textId="44437728" w:rsidR="0069757C" w:rsidRPr="00131336" w:rsidRDefault="00000000">
      <w:pPr>
        <w:pStyle w:val="Titolo"/>
        <w:jc w:val="center"/>
        <w:rPr>
          <w:rFonts w:ascii="Times New Roman" w:hAnsi="Times New Roman" w:cs="Times New Roman"/>
          <w:color w:val="000000" w:themeColor="text1"/>
          <w:sz w:val="28"/>
          <w:szCs w:val="28"/>
        </w:rPr>
      </w:pPr>
      <w:r w:rsidRPr="00131336">
        <w:rPr>
          <w:rFonts w:ascii="Times New Roman" w:hAnsi="Times New Roman" w:cs="Times New Roman"/>
          <w:color w:val="000000" w:themeColor="text1"/>
          <w:sz w:val="28"/>
          <w:szCs w:val="28"/>
        </w:rPr>
        <w:t>Physical Description of the Battery Reflex-Balance Module</w:t>
      </w:r>
    </w:p>
    <w:p w14:paraId="3FA6D1B0" w14:textId="77777777" w:rsidR="00131336" w:rsidRDefault="00131336" w:rsidP="00C13BFA">
      <w:pPr>
        <w:pStyle w:val="CoreDefinition"/>
        <w:jc w:val="both"/>
        <w:rPr>
          <w:rFonts w:ascii="Times New Roman" w:hAnsi="Times New Roman" w:cs="Times New Roman"/>
          <w:color w:val="000000" w:themeColor="text1"/>
          <w:sz w:val="24"/>
          <w:szCs w:val="24"/>
        </w:rPr>
      </w:pPr>
    </w:p>
    <w:p w14:paraId="0CBD361A" w14:textId="4D4087CE" w:rsidR="0069757C" w:rsidRPr="00131336" w:rsidRDefault="00000000" w:rsidP="00C13BFA">
      <w:pPr>
        <w:pStyle w:val="CoreDefinition"/>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 xml:space="preserve">Core definition. The Battery Reflex-Balance Module is a module-local electronic system that identifies an eligible low cell, selects it under Battery Management System authority, injects a bounded current into that cell, verifies the electrical response and reports the action. It can be developed entirely with conventional automotive electronics. </w:t>
      </w:r>
    </w:p>
    <w:p w14:paraId="11F77D73" w14:textId="77777777" w:rsidR="00131336" w:rsidRDefault="00131336">
      <w:pPr>
        <w:pStyle w:val="Titolo1"/>
        <w:rPr>
          <w:rFonts w:ascii="Times New Roman" w:hAnsi="Times New Roman" w:cs="Times New Roman"/>
          <w:color w:val="000000" w:themeColor="text1"/>
          <w:sz w:val="24"/>
          <w:szCs w:val="24"/>
        </w:rPr>
      </w:pPr>
    </w:p>
    <w:p w14:paraId="51D1362C" w14:textId="54C7D9B3" w:rsidR="0069757C" w:rsidRPr="00131336" w:rsidRDefault="00000000">
      <w:pPr>
        <w:pStyle w:val="Titolo1"/>
        <w:rPr>
          <w:rFonts w:ascii="Times New Roman" w:hAnsi="Times New Roman" w:cs="Times New Roman"/>
          <w:color w:val="000000" w:themeColor="text1"/>
          <w:sz w:val="28"/>
        </w:rPr>
      </w:pPr>
      <w:r w:rsidRPr="00131336">
        <w:rPr>
          <w:rFonts w:ascii="Times New Roman" w:hAnsi="Times New Roman" w:cs="Times New Roman"/>
          <w:color w:val="000000" w:themeColor="text1"/>
          <w:sz w:val="28"/>
        </w:rPr>
        <w:t>1. Physical identity and placement</w:t>
      </w:r>
    </w:p>
    <w:p w14:paraId="62180EB3"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 xml:space="preserve">The Reflex module is physically a compact mixed-signal and power-electronic assembly integrated </w:t>
      </w:r>
      <w:proofErr w:type="gramStart"/>
      <w:r w:rsidRPr="00131336">
        <w:rPr>
          <w:rFonts w:ascii="Times New Roman" w:hAnsi="Times New Roman" w:cs="Times New Roman"/>
          <w:color w:val="000000" w:themeColor="text1"/>
          <w:sz w:val="24"/>
          <w:szCs w:val="24"/>
        </w:rPr>
        <w:t>into, or</w:t>
      </w:r>
      <w:proofErr w:type="gramEnd"/>
      <w:r w:rsidRPr="00131336">
        <w:rPr>
          <w:rFonts w:ascii="Times New Roman" w:hAnsi="Times New Roman" w:cs="Times New Roman"/>
          <w:color w:val="000000" w:themeColor="text1"/>
          <w:sz w:val="24"/>
          <w:szCs w:val="24"/>
        </w:rPr>
        <w:t xml:space="preserve"> mounted immediately </w:t>
      </w:r>
      <w:proofErr w:type="gramStart"/>
      <w:r w:rsidRPr="00131336">
        <w:rPr>
          <w:rFonts w:ascii="Times New Roman" w:hAnsi="Times New Roman" w:cs="Times New Roman"/>
          <w:color w:val="000000" w:themeColor="text1"/>
          <w:sz w:val="24"/>
          <w:szCs w:val="24"/>
        </w:rPr>
        <w:t>beside,</w:t>
      </w:r>
      <w:proofErr w:type="gramEnd"/>
      <w:r w:rsidRPr="00131336">
        <w:rPr>
          <w:rFonts w:ascii="Times New Roman" w:hAnsi="Times New Roman" w:cs="Times New Roman"/>
          <w:color w:val="000000" w:themeColor="text1"/>
          <w:sz w:val="24"/>
          <w:szCs w:val="24"/>
        </w:rPr>
        <w:t xml:space="preserve"> the Battery Module Board (BMB). It is located where cell-node voltages, temperature signals, the local interconnect and the BMS communication chain are already available. Depending on the production architecture, it may be realized as a daughterboard, a new section of the BMB, a small power island adjacent to the BMB, or a function partly integrated into the flexible or laminated cell-sensing interconnect.</w:t>
      </w:r>
    </w:p>
    <w:p w14:paraId="4FF8C543"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module acts locally. It does not require a second pack-wide harness carrying balancing current from a central box to every cell. The selected cell is reached through short conductors within the module or row. A shared auxiliary energy feed is brought to each local module, and the local electronics convert, limit and route that energy only to the authorized cell.</w:t>
      </w:r>
    </w:p>
    <w:p w14:paraId="15B48C2F" w14:textId="77777777" w:rsidR="0069757C"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In the Tesla Model 3 CATL LFP reference architecture used in the reports, the 106 cells are treated as four local regions of 25, 28, 28 and 25 cells. A practical implementation therefore uses four local Reflex functions, one associated with each BMB or collection-board zone. The architecture is nevertheless chemistry- and format-independent and can be adapted to other cell counts and module structures.</w:t>
      </w:r>
    </w:p>
    <w:p w14:paraId="4C394CB5" w14:textId="77777777" w:rsidR="00131336" w:rsidRPr="00131336" w:rsidRDefault="00131336" w:rsidP="00C13BFA">
      <w:pPr>
        <w:jc w:val="both"/>
        <w:rPr>
          <w:rFonts w:ascii="Times New Roman" w:hAnsi="Times New Roman" w:cs="Times New Roman"/>
          <w:color w:val="000000" w:themeColor="text1"/>
          <w:sz w:val="24"/>
          <w:szCs w:val="24"/>
        </w:rPr>
      </w:pPr>
    </w:p>
    <w:p w14:paraId="4A72AFAE" w14:textId="77777777" w:rsidR="0069757C" w:rsidRPr="00131336" w:rsidRDefault="00000000" w:rsidP="00C13BFA">
      <w:pPr>
        <w:pStyle w:val="Titolo2"/>
        <w:jc w:val="both"/>
        <w:rPr>
          <w:rFonts w:ascii="Times New Roman" w:hAnsi="Times New Roman" w:cs="Times New Roman"/>
          <w:color w:val="000000" w:themeColor="text1"/>
          <w:sz w:val="28"/>
          <w:szCs w:val="28"/>
        </w:rPr>
      </w:pPr>
      <w:r w:rsidRPr="00131336">
        <w:rPr>
          <w:rFonts w:ascii="Times New Roman" w:hAnsi="Times New Roman" w:cs="Times New Roman"/>
          <w:color w:val="000000" w:themeColor="text1"/>
          <w:sz w:val="28"/>
          <w:szCs w:val="28"/>
        </w:rPr>
        <w:t>2. Physical subdivision of the module</w:t>
      </w:r>
    </w:p>
    <w:p w14:paraId="2CCA806D"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Measurement and event-conditioning block: cell voltages, temperatures, source status, converter status and BMS permission are converted into reliable low-bit conditions.</w:t>
      </w:r>
    </w:p>
    <w:p w14:paraId="6FADA3BF"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Decision and selection block: a local rule map evaluates eligibility, a priority function resolves multiple candidates, and one-hot interlocks allow only the intended channel.</w:t>
      </w:r>
    </w:p>
    <w:p w14:paraId="736FC188"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Energy-conversion and injection block: a shared module energy input feeds a current-limited isolated or floating converter and a local semiconductor switch network.</w:t>
      </w:r>
    </w:p>
    <w:p w14:paraId="216074DF"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Verification and protection block: current, voltage response, temperature, timeout, source condition and communication permission are supervised independently of the selection command.</w:t>
      </w:r>
    </w:p>
    <w:p w14:paraId="0C70493C"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Mechanical and electrical integration block: BMB, FPC or laminated interconnect, connectors, insulation, creepage, thermal paths, shielding, diagnostics and service access.</w:t>
      </w:r>
    </w:p>
    <w:p w14:paraId="4AB63B71"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These blocks define the Reflex module independently of the technology used for the rule map. The balancing current is always carried by the power converter, the conductors and the semiconductor injection switches. The decision block only authorizes and selects the path.</w:t>
      </w:r>
    </w:p>
    <w:p w14:paraId="18CB9F23" w14:textId="77777777" w:rsidR="00C13BFA" w:rsidRPr="00131336" w:rsidRDefault="00C13BFA" w:rsidP="00C13BFA">
      <w:pPr>
        <w:jc w:val="both"/>
        <w:rPr>
          <w:rFonts w:ascii="Times New Roman" w:hAnsi="Times New Roman" w:cs="Times New Roman"/>
          <w:color w:val="000000" w:themeColor="text1"/>
          <w:sz w:val="24"/>
          <w:szCs w:val="24"/>
        </w:rPr>
      </w:pPr>
    </w:p>
    <w:p w14:paraId="1A2B624B" w14:textId="42858EFF" w:rsidR="0069757C" w:rsidRPr="00131336" w:rsidRDefault="00000000" w:rsidP="00C13BFA">
      <w:pPr>
        <w:jc w:val="both"/>
        <w:rPr>
          <w:rFonts w:ascii="Times New Roman" w:hAnsi="Times New Roman" w:cs="Times New Roman"/>
          <w:b/>
          <w:bCs/>
          <w:color w:val="000000" w:themeColor="text1"/>
          <w:sz w:val="28"/>
          <w:szCs w:val="28"/>
        </w:rPr>
      </w:pPr>
      <w:r w:rsidRPr="00131336">
        <w:rPr>
          <w:rFonts w:ascii="Times New Roman" w:hAnsi="Times New Roman" w:cs="Times New Roman"/>
          <w:b/>
          <w:bCs/>
          <w:color w:val="000000" w:themeColor="text1"/>
          <w:sz w:val="28"/>
          <w:szCs w:val="28"/>
        </w:rPr>
        <w:t>3. Development using conventional electronic technology</w:t>
      </w:r>
    </w:p>
    <w:p w14:paraId="0D6698F6"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 xml:space="preserve">The complete Reflex function can be implemented today with established automotive components. The conventional implementation begins with the cell-monitor AFE already present on the BMB. The AFE supplies digitized cell voltages or threshold flags, while NTC interfaces supply temperature information. Additional comparators can create fast hardware states such as CELL_LOW, VOLTAGE_SAFE, </w:t>
      </w:r>
      <w:r w:rsidRPr="00131336">
        <w:rPr>
          <w:rFonts w:ascii="Times New Roman" w:hAnsi="Times New Roman" w:cs="Times New Roman"/>
          <w:color w:val="000000" w:themeColor="text1"/>
          <w:sz w:val="24"/>
          <w:szCs w:val="24"/>
        </w:rPr>
        <w:lastRenderedPageBreak/>
        <w:t>TEMPERATURE_SAFE, SOURCE_READY, CURRENT_OK and FAULT without waiting for a long software calculation.</w:t>
      </w:r>
    </w:p>
    <w:p w14:paraId="3406D44F"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local decision logic can be implemented in several mature ways. A microcontroller can read the AFE and comparator flags, evaluate a small deterministic rule table and command the selector. A CPLD or FPGA can implement the same rules in parallel with explicit one-hot logic and hardware timing. For a production design, the comparator bank, rule logic, timer, priority encoder, interlocks and communication interface can be integrated into a mixed-signal ASIC or into the next generation of the BMB controller. Non-volatile configuration may be stored in automotive flash, EEPROM, embedded MRAM or another qualified memory.</w:t>
      </w:r>
    </w:p>
    <w:p w14:paraId="050BA45C"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A typical conventional rule is intentionally simple and verifiable: a cell may be selected only when it is below the local reference by a defined amount, remains inside its allowed voltage and temperature window, the auxiliary source is available, the converter is healthy, the BMS has granted permission and no conflicting channel is active. The logic then produces a one-hot channel code. Independent gating should force all outputs off after reset, communication loss, invalid measurement, timeout or detected fault.</w:t>
      </w:r>
    </w:p>
    <w:p w14:paraId="2AACFFBE"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energy path is also conventional. A low-voltage auxiliary source, charger-derived rail, recovered-energy source or other authorized feed enters a module-local DC/DC converter. Because each cell occupies a different common-mode potential in the series stack, the converter output must be isolated or otherwise safely floating with respect to the selected cell. Practical topologies include an isolated flyback, a transformer-isolated multi-output stage, or another current-regulated floating converter selected according to required power, isolation and cost.</w:t>
      </w:r>
    </w:p>
    <w:p w14:paraId="49DBD6D8" w14:textId="77777777" w:rsidR="0069757C"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converter output is routed by MOSFETs, back-to-back MOSFET pairs, PhotoMOS devices, solid-state relays or an integrated high-voltage analog switch structure. Gate drivers and interlocks prevent simultaneous connection to incompatible cell nodes. A shunt resistor, Hall or magnetic current sensor, current-sense amplifier, converter feedback signal or AFE measurement confirms the injected current. Fuses, current limiting, reverse-current blocking, transient suppression and thermal monitoring provide protection independent of firmware.</w:t>
      </w:r>
    </w:p>
    <w:p w14:paraId="21D20148" w14:textId="77777777" w:rsidR="00131336" w:rsidRPr="00131336" w:rsidRDefault="00131336" w:rsidP="00C13BFA">
      <w:pPr>
        <w:jc w:val="both"/>
        <w:rPr>
          <w:rFonts w:ascii="Times New Roman" w:hAnsi="Times New Roman" w:cs="Times New Roman"/>
          <w:color w:val="000000" w:themeColor="text1"/>
          <w:sz w:val="24"/>
          <w:szCs w:val="24"/>
        </w:rPr>
      </w:pPr>
    </w:p>
    <w:p w14:paraId="11CDE680" w14:textId="77777777" w:rsidR="0069757C" w:rsidRPr="00131336" w:rsidRDefault="00000000" w:rsidP="00C13BFA">
      <w:pPr>
        <w:pStyle w:val="Titolo2"/>
        <w:jc w:val="both"/>
        <w:rPr>
          <w:rFonts w:ascii="Times New Roman" w:hAnsi="Times New Roman" w:cs="Times New Roman"/>
          <w:color w:val="000000" w:themeColor="text1"/>
          <w:sz w:val="28"/>
          <w:szCs w:val="28"/>
        </w:rPr>
      </w:pPr>
      <w:r w:rsidRPr="00131336">
        <w:rPr>
          <w:rFonts w:ascii="Times New Roman" w:hAnsi="Times New Roman" w:cs="Times New Roman"/>
          <w:color w:val="000000" w:themeColor="text1"/>
          <w:sz w:val="28"/>
          <w:szCs w:val="28"/>
        </w:rPr>
        <w:t>4. Practical development sequence</w:t>
      </w:r>
    </w:p>
    <w:p w14:paraId="231081A9"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Bench demonstrator: reuse a commercial cell-monitor board; generate low-bit states with software and discrete comparators; use a small MCU, CPLD or FPGA for rule evaluation; connect an isolated current-limited converter and a small MOSFET or PhotoMOS selector.</w:t>
      </w:r>
    </w:p>
    <w:p w14:paraId="4B4AFCF9"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Vehicle-representative prototype: place the decision, gate-drive, current-sense and communication circuits on a BMB daughterboard; use automotive-qualified components; add independent shutdown, insulation monitoring and fault logging; retain passive bleed channels only as a fallback where required.</w:t>
      </w:r>
    </w:p>
    <w:p w14:paraId="16D7A85D"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Native BMB-R: redesign the BMB and local interconnect so that the useful-injection paths, short cell connections, converter, protection and diagnostics are part of the production module, while the repeated passive heat subsystem is removed, reduced or retained only for emergency trimming.</w:t>
      </w:r>
    </w:p>
    <w:p w14:paraId="6A62AB55"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Integrated production version: combine comparators, timers, rule logic, one-hot arbitration, configuration memory and interface functions in a mixed-signal ASIC or BMB controller, while retaining discrete or module-level power magnetics and switches where voltage, heat or isolation require them.</w:t>
      </w:r>
    </w:p>
    <w:p w14:paraId="66759D35" w14:textId="77777777" w:rsidR="00C13BFA" w:rsidRPr="00131336" w:rsidRDefault="00C13BFA" w:rsidP="00C13BFA">
      <w:pPr>
        <w:jc w:val="both"/>
        <w:rPr>
          <w:rFonts w:ascii="Times New Roman" w:hAnsi="Times New Roman" w:cs="Times New Roman"/>
          <w:color w:val="000000" w:themeColor="text1"/>
          <w:sz w:val="24"/>
          <w:szCs w:val="24"/>
        </w:rPr>
      </w:pPr>
    </w:p>
    <w:p w14:paraId="3A00E55F" w14:textId="563265BB" w:rsidR="0069757C" w:rsidRPr="00131336" w:rsidRDefault="00000000" w:rsidP="00C13BFA">
      <w:pPr>
        <w:jc w:val="both"/>
        <w:rPr>
          <w:rFonts w:ascii="Times New Roman" w:hAnsi="Times New Roman" w:cs="Times New Roman"/>
          <w:b/>
          <w:bCs/>
          <w:color w:val="000000" w:themeColor="text1"/>
          <w:sz w:val="28"/>
          <w:szCs w:val="28"/>
        </w:rPr>
      </w:pPr>
      <w:r w:rsidRPr="00131336">
        <w:rPr>
          <w:rFonts w:ascii="Times New Roman" w:hAnsi="Times New Roman" w:cs="Times New Roman"/>
          <w:b/>
          <w:bCs/>
          <w:color w:val="000000" w:themeColor="text1"/>
          <w:sz w:val="28"/>
          <w:szCs w:val="28"/>
        </w:rPr>
        <w:t>5. Binary spintronic crossbar as an optional rule-map technology</w:t>
      </w:r>
    </w:p>
    <w:p w14:paraId="4F6C3C1C"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A binary spintronic crossbar may be used as an alternative implementation of the decision and rule-map block. It is not required for the Reflex architecture, and its adoption can be decided separately from the development of the converter, injection switches, sensing circuits and safety system.</w:t>
      </w:r>
    </w:p>
    <w:p w14:paraId="064AECC5"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lastRenderedPageBreak/>
        <w:t>In this implementation, the rule fabric contains magnetic tunnel junctions (MTJs) or an MRAM-derived array. An MTJ includes a reference magnetic layer, a tunnel barrier and a switchable free magnetic layer. Parallel and anti-parallel magnetic configurations produce two stable resistance states. These states can encode a binary rule connection, permission or inhibition and can remain stored without continuous power.</w:t>
      </w:r>
    </w:p>
    <w:p w14:paraId="0369F8F1"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Conditioned low-bit events are applied to rows or input lines, while columns represent candidate actions or channel enables. The resistance state at each crossing determines whether an input contributes to a particular output. Column currents or differential signals are then evaluated by sense amplifiers, comparators or threshold circuits. CMOS peripheral circuitry is still required for input drivers, write pulses, sensing, verification, priority encoding, one-hot interlocking and safe output gating.</w:t>
      </w:r>
    </w:p>
    <w:p w14:paraId="137FF1F2"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binary spintronic array does not regulate or carry the balancing current. It cannot replace the isolated or floating converter, the MOSFET selector, gate drivers, current sensing, fusing, reverse-current protection or the BMS safety authority. It provides only the stored low-bit mapping between local conditions and candidate actions.</w:t>
      </w:r>
    </w:p>
    <w:p w14:paraId="2E7193D4" w14:textId="77777777" w:rsidR="0069757C"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Its practical use should therefore be assessed as a technology option, based on foundry availability, automotive temperature range, endurance, retention, resistance spread, sense margins, write energy, test coverage, radiation and magnetic-field sensitivity where relevant, package cost and long-term supply. Until those elements are demonstrated for the intended application, the conventional electronic implementation remains the direct engineering baseline.</w:t>
      </w:r>
    </w:p>
    <w:p w14:paraId="43B9C20A" w14:textId="77777777" w:rsidR="00131336" w:rsidRPr="00131336" w:rsidRDefault="00131336" w:rsidP="00C13BFA">
      <w:pPr>
        <w:jc w:val="both"/>
        <w:rPr>
          <w:rFonts w:ascii="Times New Roman" w:hAnsi="Times New Roman" w:cs="Times New Roman"/>
          <w:color w:val="000000" w:themeColor="text1"/>
          <w:sz w:val="24"/>
          <w:szCs w:val="24"/>
        </w:rPr>
      </w:pPr>
    </w:p>
    <w:p w14:paraId="5640E75C" w14:textId="77777777" w:rsidR="0069757C" w:rsidRPr="00131336" w:rsidRDefault="00000000" w:rsidP="00C13BFA">
      <w:pPr>
        <w:pStyle w:val="Titolo2"/>
        <w:jc w:val="both"/>
        <w:rPr>
          <w:rFonts w:ascii="Times New Roman" w:hAnsi="Times New Roman" w:cs="Times New Roman"/>
          <w:color w:val="000000" w:themeColor="text1"/>
          <w:sz w:val="28"/>
          <w:szCs w:val="28"/>
        </w:rPr>
      </w:pPr>
      <w:r w:rsidRPr="00131336">
        <w:rPr>
          <w:rFonts w:ascii="Times New Roman" w:hAnsi="Times New Roman" w:cs="Times New Roman"/>
          <w:color w:val="000000" w:themeColor="text1"/>
          <w:sz w:val="28"/>
          <w:szCs w:val="28"/>
        </w:rPr>
        <w:t>6. Technology-neutral rule-map alternatives</w:t>
      </w:r>
    </w:p>
    <w:p w14:paraId="12F888DE"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MCU with a verified rule table and hardware output interlocks.</w:t>
      </w:r>
    </w:p>
    <w:p w14:paraId="63A77B52"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CPLD or FPGA with parallel logic, deterministic timing and one-hot arbitration.</w:t>
      </w:r>
    </w:p>
    <w:p w14:paraId="2B32EE5A"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Mixed-signal ASIC or configurable CMOS logic with embedded flash, EEPROM or another qualified non-volatile memory.</w:t>
      </w:r>
    </w:p>
    <w:p w14:paraId="5BEECC4F" w14:textId="77777777" w:rsidR="0069757C" w:rsidRPr="00131336"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Embedded MRAM, binary MTJ crossbar, RRAM, FeFET, phase-change memory or another non-volatile low-resolution array.</w:t>
      </w:r>
    </w:p>
    <w:p w14:paraId="7320D5D4" w14:textId="77777777" w:rsidR="0069757C" w:rsidRDefault="00000000" w:rsidP="00C13BFA">
      <w:pPr>
        <w:pStyle w:val="Puntoelenco"/>
        <w:spacing w:after="46"/>
        <w:ind w:left="317" w:hanging="202"/>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Hardwired comparator and state-machine logic for a fixed-function, minimum-complexity implementation.</w:t>
      </w:r>
    </w:p>
    <w:p w14:paraId="6B5F97AD" w14:textId="77777777" w:rsidR="00131336" w:rsidRPr="00131336" w:rsidRDefault="00131336" w:rsidP="00131336">
      <w:pPr>
        <w:pStyle w:val="Puntoelenco"/>
        <w:numPr>
          <w:ilvl w:val="0"/>
          <w:numId w:val="0"/>
        </w:numPr>
        <w:spacing w:after="46"/>
        <w:ind w:left="317"/>
        <w:jc w:val="both"/>
        <w:rPr>
          <w:rFonts w:ascii="Times New Roman" w:hAnsi="Times New Roman" w:cs="Times New Roman"/>
          <w:color w:val="000000" w:themeColor="text1"/>
          <w:sz w:val="24"/>
          <w:szCs w:val="24"/>
        </w:rPr>
      </w:pPr>
    </w:p>
    <w:p w14:paraId="4DB80BC5" w14:textId="77777777" w:rsidR="0069757C" w:rsidRPr="00131336" w:rsidRDefault="00000000" w:rsidP="00C13BFA">
      <w:pPr>
        <w:pStyle w:val="Titolo2"/>
        <w:jc w:val="both"/>
        <w:rPr>
          <w:rFonts w:ascii="Times New Roman" w:hAnsi="Times New Roman" w:cs="Times New Roman"/>
          <w:color w:val="000000" w:themeColor="text1"/>
          <w:sz w:val="28"/>
          <w:szCs w:val="28"/>
        </w:rPr>
      </w:pPr>
      <w:r w:rsidRPr="00131336">
        <w:rPr>
          <w:rFonts w:ascii="Times New Roman" w:hAnsi="Times New Roman" w:cs="Times New Roman"/>
          <w:color w:val="000000" w:themeColor="text1"/>
          <w:sz w:val="28"/>
          <w:szCs w:val="28"/>
        </w:rPr>
        <w:t>7. Final technical definition</w:t>
      </w:r>
    </w:p>
    <w:p w14:paraId="28A851AB" w14:textId="77777777" w:rsidR="0069757C" w:rsidRPr="00131336" w:rsidRDefault="00000000" w:rsidP="00C13BFA">
      <w:pPr>
        <w:pStyle w:val="CoreDefinition"/>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Battery Reflex-Balance Module is a module-local, BMS-authorized system combining measurement, low-bit event conditioning, deterministic rule evaluation, one-hot selection, a shared auxiliary energy input, a current-limited isolated or floating converter, short cell-local injection paths, semiconductor switching, response verification, protection and event reporting. Its architecture is technology-neutral at the decision layer.</w:t>
      </w:r>
    </w:p>
    <w:p w14:paraId="5C51E370" w14:textId="77777777" w:rsidR="0069757C" w:rsidRPr="00131336" w:rsidRDefault="00000000" w:rsidP="00C13BFA">
      <w:pPr>
        <w:jc w:val="both"/>
        <w:rPr>
          <w:rFonts w:ascii="Times New Roman" w:hAnsi="Times New Roman" w:cs="Times New Roman"/>
          <w:color w:val="000000" w:themeColor="text1"/>
          <w:sz w:val="24"/>
          <w:szCs w:val="24"/>
        </w:rPr>
      </w:pPr>
      <w:r w:rsidRPr="00131336">
        <w:rPr>
          <w:rFonts w:ascii="Times New Roman" w:hAnsi="Times New Roman" w:cs="Times New Roman"/>
          <w:color w:val="000000" w:themeColor="text1"/>
          <w:sz w:val="24"/>
          <w:szCs w:val="24"/>
        </w:rPr>
        <w:t>The most immediate development route uses conventional automotive analog, digital, mixed-signal and power-electronic components. A binary spintronic crossbar may later implement the rule map when its system-level advantages and qualification justify adoption. In either case, the physical energy-transfer chain remains a conventional protected power-electronic path under BMS authority.</w:t>
      </w:r>
    </w:p>
    <w:p w14:paraId="4C8F231E" w14:textId="6B3F177D" w:rsidR="0069757C" w:rsidRPr="00131336" w:rsidRDefault="0069757C" w:rsidP="00C13BFA">
      <w:pPr>
        <w:spacing w:before="140"/>
        <w:jc w:val="both"/>
        <w:rPr>
          <w:rFonts w:ascii="Times New Roman" w:hAnsi="Times New Roman" w:cs="Times New Roman"/>
          <w:color w:val="000000" w:themeColor="text1"/>
          <w:sz w:val="24"/>
          <w:szCs w:val="24"/>
        </w:rPr>
      </w:pPr>
    </w:p>
    <w:sectPr w:rsidR="0069757C" w:rsidRPr="00131336" w:rsidSect="00034616">
      <w:headerReference w:type="default" r:id="rId8"/>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218D1" w14:textId="77777777" w:rsidR="000762E0" w:rsidRDefault="000762E0">
      <w:pPr>
        <w:spacing w:after="0" w:line="240" w:lineRule="auto"/>
      </w:pPr>
      <w:r>
        <w:separator/>
      </w:r>
    </w:p>
  </w:endnote>
  <w:endnote w:type="continuationSeparator" w:id="0">
    <w:p w14:paraId="73CECD2D" w14:textId="77777777" w:rsidR="000762E0" w:rsidRDefault="00076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719B3" w14:textId="77777777" w:rsidR="0069757C" w:rsidRDefault="00000000">
    <w:pPr>
      <w:pStyle w:val="Pidipagina"/>
      <w:jc w:val="center"/>
    </w:pPr>
    <w:r>
      <w:rPr>
        <w:color w:val="646464"/>
        <w:sz w:val="16"/>
      </w:rPr>
      <w:t xml:space="preserve">Confidential technical draft — July </w:t>
    </w:r>
    <w:proofErr w:type="gramStart"/>
    <w:r>
      <w:rPr>
        <w:color w:val="646464"/>
        <w:sz w:val="16"/>
      </w:rPr>
      <w:t>2026  |</w:t>
    </w:r>
    <w:proofErr w:type="gramEnd"/>
    <w:r>
      <w:rPr>
        <w:color w:val="646464"/>
        <w:sz w:val="16"/>
      </w:rPr>
      <w:t xml:space="preserve">  Page </w:t>
    </w:r>
    <w:r>
      <w:rPr>
        <w:color w:val="646464"/>
        <w:sz w:val="16"/>
      </w:rPr>
      <w:fldChar w:fldCharType="begin"/>
    </w:r>
    <w:r>
      <w:rPr>
        <w:color w:val="646464"/>
        <w:sz w:val="16"/>
      </w:rPr>
      <w:instrText>PAGE</w:instrText>
    </w:r>
    <w:r>
      <w:rPr>
        <w:color w:val="646464"/>
        <w:sz w:val="16"/>
      </w:rPr>
      <w:fldChar w:fldCharType="separate"/>
    </w:r>
    <w:r w:rsidR="00C13BFA">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A1C95" w14:textId="77777777" w:rsidR="000762E0" w:rsidRDefault="000762E0">
      <w:pPr>
        <w:spacing w:after="0" w:line="240" w:lineRule="auto"/>
      </w:pPr>
      <w:r>
        <w:separator/>
      </w:r>
    </w:p>
  </w:footnote>
  <w:footnote w:type="continuationSeparator" w:id="0">
    <w:p w14:paraId="4BA84F90" w14:textId="77777777" w:rsidR="000762E0" w:rsidRDefault="00076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6468FE" w14:textId="77777777" w:rsidR="0069757C" w:rsidRDefault="00000000">
    <w:pPr>
      <w:pStyle w:val="Intestazione"/>
      <w:jc w:val="center"/>
    </w:pPr>
    <w:r>
      <w:rPr>
        <w:color w:val="646464"/>
        <w:sz w:val="16"/>
      </w:rPr>
      <w:t>IFEVS — Battery Reflex-Balance Module — Physical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68503551">
    <w:abstractNumId w:val="8"/>
  </w:num>
  <w:num w:numId="2" w16cid:durableId="32313932">
    <w:abstractNumId w:val="6"/>
  </w:num>
  <w:num w:numId="3" w16cid:durableId="2142074616">
    <w:abstractNumId w:val="5"/>
  </w:num>
  <w:num w:numId="4" w16cid:durableId="1637031524">
    <w:abstractNumId w:val="4"/>
  </w:num>
  <w:num w:numId="5" w16cid:durableId="407271994">
    <w:abstractNumId w:val="7"/>
  </w:num>
  <w:num w:numId="6" w16cid:durableId="1972247966">
    <w:abstractNumId w:val="3"/>
  </w:num>
  <w:num w:numId="7" w16cid:durableId="1676036212">
    <w:abstractNumId w:val="2"/>
  </w:num>
  <w:num w:numId="8" w16cid:durableId="874927805">
    <w:abstractNumId w:val="1"/>
  </w:num>
  <w:num w:numId="9" w16cid:durableId="19748243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2E0"/>
    <w:rsid w:val="00131336"/>
    <w:rsid w:val="0015074B"/>
    <w:rsid w:val="0029639D"/>
    <w:rsid w:val="00326F90"/>
    <w:rsid w:val="00523ABE"/>
    <w:rsid w:val="0069757C"/>
    <w:rsid w:val="006B3877"/>
    <w:rsid w:val="008E4E32"/>
    <w:rsid w:val="0091125A"/>
    <w:rsid w:val="00AA1D8D"/>
    <w:rsid w:val="00B47730"/>
    <w:rsid w:val="00C13BFA"/>
    <w:rsid w:val="00C15F0B"/>
    <w:rsid w:val="00CB0664"/>
    <w:rsid w:val="00D65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3B9AC"/>
  <w14:defaultImageDpi w14:val="300"/>
  <w15:docId w15:val="{7961623F-9CDE-5A4B-8E8E-8A702ABD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84" w:line="245" w:lineRule="auto"/>
    </w:pPr>
    <w:rPr>
      <w:rFonts w:ascii="Aptos" w:hAnsi="Aptos"/>
      <w:sz w:val="20"/>
    </w:rPr>
  </w:style>
  <w:style w:type="paragraph" w:styleId="Titolo1">
    <w:name w:val="heading 1"/>
    <w:basedOn w:val="Normale"/>
    <w:next w:val="Normale"/>
    <w:link w:val="Titolo1Carattere"/>
    <w:uiPriority w:val="9"/>
    <w:qFormat/>
    <w:rsid w:val="00FC693F"/>
    <w:pPr>
      <w:keepNext/>
      <w:keepLines/>
      <w:spacing w:before="100" w:after="70"/>
      <w:outlineLvl w:val="0"/>
    </w:pPr>
    <w:rPr>
      <w:rFonts w:asciiTheme="majorHAnsi" w:eastAsiaTheme="majorEastAsia" w:hAnsiTheme="majorHAnsi" w:cstheme="majorBidi"/>
      <w:b/>
      <w:bCs/>
      <w:color w:val="1F374E"/>
      <w:sz w:val="25"/>
      <w:szCs w:val="28"/>
    </w:rPr>
  </w:style>
  <w:style w:type="paragraph" w:styleId="Titolo2">
    <w:name w:val="heading 2"/>
    <w:basedOn w:val="Normale"/>
    <w:next w:val="Normale"/>
    <w:link w:val="Titolo2Carattere"/>
    <w:uiPriority w:val="9"/>
    <w:unhideWhenUsed/>
    <w:qFormat/>
    <w:rsid w:val="00FC693F"/>
    <w:pPr>
      <w:keepNext/>
      <w:keepLines/>
      <w:spacing w:before="100" w:after="70"/>
      <w:outlineLvl w:val="1"/>
    </w:pPr>
    <w:rPr>
      <w:rFonts w:asciiTheme="majorHAnsi" w:eastAsiaTheme="majorEastAsia" w:hAnsiTheme="majorHAnsi" w:cstheme="majorBidi"/>
      <w:b/>
      <w:bCs/>
      <w:color w:val="1F374E"/>
      <w:sz w:val="22"/>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before="100" w:after="70" w:line="240" w:lineRule="auto"/>
      <w:contextualSpacing/>
    </w:pPr>
    <w:rPr>
      <w:rFonts w:asciiTheme="majorHAnsi" w:eastAsiaTheme="majorEastAsia" w:hAnsiTheme="majorHAnsi" w:cstheme="majorBidi"/>
      <w:b/>
      <w:color w:val="1F374E"/>
      <w:spacing w:val="5"/>
      <w:kern w:val="28"/>
      <w:sz w:val="35"/>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eDefinition">
    <w:name w:val="Core Definition"/>
    <w:pPr>
      <w:spacing w:before="80" w:after="120" w:line="247" w:lineRule="auto"/>
      <w:ind w:left="288" w:right="288"/>
    </w:pPr>
    <w:rPr>
      <w:rFonts w:ascii="Aptos" w:hAnsi="Aptos"/>
      <w:b/>
      <w:color w:val="1F374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PERLO Pietro (I-FEVS)</cp:lastModifiedBy>
  <cp:revision>5</cp:revision>
  <dcterms:created xsi:type="dcterms:W3CDTF">2026-07-11T13:56:00Z</dcterms:created>
  <dcterms:modified xsi:type="dcterms:W3CDTF">2026-07-15T10:28:00Z</dcterms:modified>
  <cp:category/>
</cp:coreProperties>
</file>