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bottom w:val="single" w:color="2E75B6" w:sz="6" w:space="8"/>
        </w:pBdr>
        <w:spacing w:after="200"/>
        <w:jc w:val="center"/>
      </w:pPr>
      <w:r>
        <w:rPr>
          <w:rFonts w:ascii="Arial" w:cs="Arial" w:eastAsia="Arial" w:hAnsi="Arial"/>
          <w:b/>
          <w:bCs/>
          <w:color w:val="1B3A5C"/>
          <w:sz w:val="52"/>
          <w:szCs w:val="52"/>
        </w:rPr>
        <w:t xml:space="preserve">PROTOCOLE DE FALSIFIABILITÉ</w:t>
      </w:r>
    </w:p>
    <w:p>
      <w:pPr>
        <w:spacing w:before="200" w:after="100"/>
        <w:jc w:val="center"/>
      </w:pPr>
      <w:r>
        <w:rPr>
          <w:rFonts w:ascii="Arial" w:cs="Arial" w:eastAsia="Arial" w:hAnsi="Arial"/>
          <w:b/>
          <w:bCs/>
          <w:color w:val="2E75B6"/>
          <w:sz w:val="36"/>
          <w:szCs w:val="36"/>
        </w:rPr>
        <w:t xml:space="preserve">Cadre ORI-C</w:t>
      </w:r>
    </w:p>
    <w:p>
      <w:pPr>
        <w:spacing w:after="100"/>
        <w:jc w:val="center"/>
      </w:pPr>
      <w:r>
        <w:rPr>
          <w:rFonts w:ascii="Arial" w:cs="Arial" w:eastAsia="Arial" w:hAnsi="Arial"/>
          <w:i/>
          <w:iCs/>
          <w:color w:val="333333"/>
          <w:sz w:val="26"/>
          <w:szCs w:val="26"/>
        </w:rPr>
        <w:t xml:space="preserve">Mécanisme cumulatif à seuil symbolique</w:t>
      </w:r>
    </w:p>
    <w:p>
      <w:pPr>
        <w:spacing w:before="400" w:after="100"/>
        <w:jc w:val="center"/>
      </w:pPr>
      <w:r>
        <w:rPr>
          <w:rFonts w:ascii="Arial" w:cs="Arial" w:eastAsia="Arial" w:hAnsi="Arial"/>
          <w:color w:val="333333"/>
          <w:sz w:val="22"/>
          <w:szCs w:val="22"/>
        </w:rPr>
        <w:t xml:space="preserve">Version 1.0 · Février 2026</w:t>
      </w:r>
    </w:p>
    <w:p>
      <w:pPr>
        <w:spacing w:after="100"/>
        <w:jc w:val="center"/>
      </w:pPr>
      <w:r>
        <w:rPr>
          <w:rFonts w:ascii="Arial" w:cs="Arial" w:eastAsia="Arial" w:hAnsi="Arial"/>
          <w:i/>
          <w:iCs/>
          <w:color w:val="C0392B"/>
          <w:sz w:val="20"/>
          <w:szCs w:val="20"/>
        </w:rPr>
        <w:t xml:space="preserve">Document de travail — Données simulées — Validation empirique en cours</w:t>
      </w:r>
    </w:p>
    <w:p>
      <w:pPr>
        <w:spacing w:before="600"/>
      </w:pPr>
    </w:p>
    <w:p>
      <w:pPr>
        <w:pBdr>
          <w:top w:val="single" w:color="C0392B" w:sz="2"/>
          <w:bottom w:val="single" w:color="C0392B" w:sz="2"/>
          <w:left w:val="single" w:color="C0392B" w:sz="6"/>
          <w:right w:val="single" w:color="C0392B" w:sz="2"/>
        </w:pBdr>
        <w:spacing w:before="160" w:after="160"/>
        <w:ind w:left="200" w:right="200"/>
      </w:pPr>
      <w:r>
        <w:rPr>
          <w:rFonts w:ascii="Arial" w:cs="Arial" w:eastAsia="Arial" w:hAnsi="Arial"/>
          <w:b/>
          <w:bCs/>
          <w:color w:val="C0392B"/>
          <w:sz w:val="22"/>
          <w:szCs w:val="22"/>
        </w:rPr>
        <w:t xml:space="preserve">⚠ </w:t>
      </w:r>
      <w:r>
        <w:rPr>
          <w:rFonts w:ascii="Arial" w:cs="Arial" w:eastAsia="Arial" w:hAnsi="Arial"/>
          <w:color w:val="C0392B"/>
          <w:sz w:val="22"/>
          <w:szCs w:val="22"/>
        </w:rPr>
        <w:t xml:space="preserve">Statut épistémique : Ce protocole est conçu pour être appliqué à des données réelles. Les résultats actuels (T1–T8) reposent sur des données entièrement simulées et démontrent uniquement la cohérence interne du modèle, non sa validité empirique.</w:t>
      </w:r>
    </w:p>
    <w:p>
      <w:pPr>
        <w:spacing w:before="400"/>
      </w:pPr>
    </w:p>
    <w:p>
      <w:pPr>
        <w:jc w:val="center"/>
      </w:pPr>
      <w:r>
        <w:rPr>
          <w:rFonts w:ascii="Arial" w:cs="Arial" w:eastAsia="Arial" w:hAnsi="Arial"/>
          <w:b/>
          <w:bCs/>
          <w:color w:val="333333"/>
          <w:sz w:val="20"/>
          <w:szCs w:val="20"/>
        </w:rPr>
        <w:t xml:space="preserve">Références : </w:t>
      </w:r>
      <w:r>
        <w:rPr>
          <w:rFonts w:ascii="Arial" w:cs="Arial" w:eastAsia="Arial" w:hAnsi="Arial"/>
          <w:color w:val="2E75B6"/>
          <w:sz w:val="20"/>
          <w:szCs w:val="20"/>
        </w:rPr>
        <w:t xml:space="preserve">GitHub: dalozedidier-dot/CumulativeSymbolicThreshold · OSF: osf.io/g62pz</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Objet du protocole</w:t>
      </w:r>
    </w:p>
    <w:p>
      <w:pPr>
        <w:spacing w:before="80" w:after="80" w:line="300"/>
        <w:jc w:val="both"/>
      </w:pPr>
      <w:r>
        <w:rPr>
          <w:rFonts w:ascii="Arial" w:cs="Arial" w:eastAsia="Arial" w:hAnsi="Arial"/>
          <w:color w:val="333333"/>
          <w:sz w:val="22"/>
          <w:szCs w:val="22"/>
        </w:rPr>
        <w:t xml:space="preserve">Ce document constitue le protocole de falsifiabilité du cadre ORI-C (Organisation–Résilience–Intégration–Cumul). Il définit les conditions nécessaires et suffisantes pour que le mécanisme cumulatif à seuil symbolique soit considéré comme validé, partiellement validé, ou infirmé. Le protocole est conçu pour être appliqué de manière identique sur données simulées et réelles, sans aucun degré de liberté post-observation.</w:t>
      </w:r>
    </w:p>
    <w:p>
      <w:pPr>
        <w:spacing w:before="80" w:after="80" w:line="300"/>
        <w:jc w:val="both"/>
      </w:pPr>
      <w:r>
        <w:rPr>
          <w:rFonts w:ascii="Arial" w:cs="Arial" w:eastAsia="Arial" w:hAnsi="Arial"/>
          <w:color w:val="333333"/>
          <w:sz w:val="22"/>
          <w:szCs w:val="22"/>
        </w:rPr>
        <w:t xml:space="preserve">Le cadre ORI-C modélise la transition d’un système vivant autonome entre un régime pré-symbolique (C(t) ≈ 0) et un régime cumulatif (C(t) &gt; 0 stable), sous l’effet d’un canal symbolique S(t). La viabilité V(t) dépend du noyau interne O–R–I et, au-delà d’un seuil critique, du stock symbolique transmis.</w:t>
      </w:r>
    </w:p>
    <w:p>
      <w:pPr>
        <w:pStyle w:val="Heading1"/>
        <w:spacing w:before="360" w:after="200"/>
      </w:pPr>
      <w:r>
        <w:rPr>
          <w:rFonts w:ascii="Arial" w:cs="Arial" w:eastAsia="Arial" w:hAnsi="Arial"/>
          <w:b/>
          <w:bCs/>
          <w:color w:val="1B3A5C"/>
          <w:sz w:val="32"/>
          <w:szCs w:val="32"/>
        </w:rPr>
        <w:t xml:space="preserve">2. Principes directeurs de falsifiabilité</w:t>
      </w:r>
    </w:p>
    <w:p>
      <w:pPr>
        <w:pStyle w:val="Heading2"/>
        <w:spacing w:before="280" w:after="160"/>
      </w:pPr>
      <w:r>
        <w:rPr>
          <w:rFonts w:ascii="Arial" w:cs="Arial" w:eastAsia="Arial" w:hAnsi="Arial"/>
          <w:b/>
          <w:bCs/>
          <w:color w:val="2E75B6"/>
          <w:sz w:val="26"/>
          <w:szCs w:val="26"/>
        </w:rPr>
        <w:t xml:space="preserve">2.1 Engagement poppérien</w:t>
      </w:r>
    </w:p>
    <w:p>
      <w:pPr>
        <w:spacing w:before="80" w:after="80" w:line="300"/>
        <w:jc w:val="both"/>
      </w:pPr>
      <w:r>
        <w:rPr>
          <w:rFonts w:ascii="Arial" w:cs="Arial" w:eastAsia="Arial" w:hAnsi="Arial"/>
          <w:color w:val="333333"/>
          <w:sz w:val="22"/>
          <w:szCs w:val="22"/>
        </w:rPr>
        <w:t xml:space="preserve">Chaque hypothèse du cadre ORI-C est formulée de manière à pouvoir être réfutée par une observation empirique spécifiable ex ante. Un résultat conforme aux prédictions ne « prouve » pas le modèle ; il échoue simplement à le réfuter. Seule l’accumulation d’échecs de réfutation sur des tests indépendants renforce la crédibilité du cadre.</w:t>
      </w:r>
    </w:p>
    <w:p>
      <w:pPr>
        <w:pStyle w:val="Heading2"/>
        <w:spacing w:before="280" w:after="160"/>
      </w:pPr>
      <w:r>
        <w:rPr>
          <w:rFonts w:ascii="Arial" w:cs="Arial" w:eastAsia="Arial" w:hAnsi="Arial"/>
          <w:b/>
          <w:bCs/>
          <w:color w:val="2E75B6"/>
          <w:sz w:val="26"/>
          <w:szCs w:val="26"/>
        </w:rPr>
        <w:t xml:space="preserve">2.2 Verrouillage ex ante</w:t>
      </w:r>
    </w:p>
    <w:p>
      <w:pPr>
        <w:spacing w:before="80" w:after="80" w:line="300"/>
        <w:jc w:val="both"/>
      </w:pPr>
      <w:r>
        <w:rPr>
          <w:rFonts w:ascii="Arial" w:cs="Arial" w:eastAsia="Arial" w:hAnsi="Arial"/>
          <w:color w:val="333333"/>
          <w:sz w:val="22"/>
          <w:szCs w:val="22"/>
        </w:rPr>
        <w:t xml:space="preserve">Tous les paramètres du modèle sont fixés avant toute observation. Ceci inclut : les proxies de O, R, I, S ; les formes fonctionnelles (Cap, Σ, V, C) ; les poids (ω₁–ω₄, α₁–α₄) ; les fenêtres temporelles (Δ, T) ; les seuils de détection (k, m, Σ*). Aucun recalibrage post-observation n’est admis. Tout ajustement invalide l’essai concerné.</w:t>
      </w:r>
    </w:p>
    <w:p>
      <w:pPr>
        <w:pStyle w:val="Heading2"/>
        <w:spacing w:before="280" w:after="160"/>
      </w:pPr>
      <w:r>
        <w:rPr>
          <w:rFonts w:ascii="Arial" w:cs="Arial" w:eastAsia="Arial" w:hAnsi="Arial"/>
          <w:b/>
          <w:bCs/>
          <w:color w:val="2E75B6"/>
          <w:sz w:val="26"/>
          <w:szCs w:val="26"/>
        </w:rPr>
        <w:t xml:space="preserve">2.3 Résultats nuls</w:t>
      </w:r>
    </w:p>
    <w:p>
      <w:pPr>
        <w:spacing w:before="80" w:after="80" w:line="300"/>
        <w:jc w:val="both"/>
      </w:pPr>
      <w:r>
        <w:rPr>
          <w:rFonts w:ascii="Arial" w:cs="Arial" w:eastAsia="Arial" w:hAnsi="Arial"/>
          <w:color w:val="333333"/>
          <w:sz w:val="22"/>
          <w:szCs w:val="22"/>
        </w:rPr>
        <w:t xml:space="preserve">Les résultats nuls (absence d’effet, absence de seuil, absence de transition) sont explicitement acceptés et rapportés. Un résultat nul n’est pas un échec méthodologique : c’est une information causale. Le protocole interdit la suppression ou la minoration de résultats négatifs.</w:t>
      </w:r>
    </w:p>
    <w:p>
      <w:pPr>
        <w:pStyle w:val="Heading2"/>
        <w:spacing w:before="280" w:after="160"/>
      </w:pPr>
      <w:r>
        <w:rPr>
          <w:rFonts w:ascii="Arial" w:cs="Arial" w:eastAsia="Arial" w:hAnsi="Arial"/>
          <w:b/>
          <w:bCs/>
          <w:color w:val="2E75B6"/>
          <w:sz w:val="26"/>
          <w:szCs w:val="26"/>
        </w:rPr>
        <w:t xml:space="preserve">2.4 Reproductibilité</w:t>
      </w:r>
    </w:p>
    <w:p>
      <w:pPr>
        <w:spacing w:before="80" w:after="80" w:line="300"/>
        <w:jc w:val="both"/>
      </w:pPr>
      <w:r>
        <w:rPr>
          <w:rFonts w:ascii="Arial" w:cs="Arial" w:eastAsia="Arial" w:hAnsi="Arial"/>
          <w:color w:val="333333"/>
          <w:sz w:val="22"/>
          <w:szCs w:val="22"/>
        </w:rPr>
        <w:t xml:space="preserve">Chaque test est reproductible via seed fixé et pipeline documenté. Le code source, les données d’entrée et les paramètres ex ante sont déposés dans le répertoire public avant exécution (PREREG_TEMPLATE.md).</w:t>
      </w:r>
    </w:p>
    <w:p>
      <w:pPr>
        <w:pStyle w:val="Heading1"/>
        <w:spacing w:before="360" w:after="200"/>
      </w:pPr>
      <w:r>
        <w:rPr>
          <w:rFonts w:ascii="Arial" w:cs="Arial" w:eastAsia="Arial" w:hAnsi="Arial"/>
          <w:b/>
          <w:bCs/>
          <w:color w:val="1B3A5C"/>
          <w:sz w:val="32"/>
          <w:szCs w:val="32"/>
        </w:rPr>
        <w:t xml:space="preserve">3. Hypothèses falsifiables</w:t>
      </w:r>
    </w:p>
    <w:p>
      <w:pPr>
        <w:spacing w:before="80" w:after="80" w:line="300"/>
        <w:jc w:val="both"/>
      </w:pPr>
      <w:r>
        <w:rPr>
          <w:rFonts w:ascii="Arial" w:cs="Arial" w:eastAsia="Arial" w:hAnsi="Arial"/>
          <w:color w:val="333333"/>
          <w:sz w:val="22"/>
          <w:szCs w:val="22"/>
        </w:rPr>
        <w:t xml:space="preserve">Le cadre ORI-C repose sur cinq hypothèses fondamentales, chacune associée à une condition de réfutation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Hypothèse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Prédiction testable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de réfutation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H1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Cap(t) est une fonction synergique de O, R, 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Relation monotone conforme à Cap = O × R × 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Décorrélation ou inversion entre O-R-I et Cap(t)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Σ(t) capture le mismatch environnemental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Σ(t) &gt; 0 dès que D(E) &gt; Cap(t)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Σ(t) = 0 malgré surcharge avérée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H3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V(t) se dégrade sous tension structurelle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Dégradation proportionnelle à Σ(t)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V(t) stable malgré Σ(t) élevé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S(t) est un opérateur causal sur 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Variation de C(t) attribuable à ΔS(t)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C(t) invariant malgré ΔS(t) significatif</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H5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Le régime cumulatif exhibe un seuil critique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Point de bascule stable dans la relation S→C</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C(t) strictement linéaire ou continu sans bifurcation</w:t>
            </w:r>
          </w:p>
        </w:tc>
      </w:tr>
    </w:tbl>
    <w:p>
      <w:pPr>
        <w:pStyle w:val="Heading1"/>
        <w:spacing w:before="360" w:after="200"/>
      </w:pPr>
      <w:r>
        <w:rPr>
          <w:rFonts w:ascii="Arial" w:cs="Arial" w:eastAsia="Arial" w:hAnsi="Arial"/>
          <w:b/>
          <w:bCs/>
          <w:color w:val="1B3A5C"/>
          <w:sz w:val="32"/>
          <w:szCs w:val="32"/>
        </w:rPr>
        <w:t xml:space="preserve">4. Matrice de tests causaux T1–T8</w:t>
      </w:r>
    </w:p>
    <w:p>
      <w:pPr>
        <w:spacing w:before="80" w:after="80" w:line="300"/>
        <w:jc w:val="both"/>
      </w:pPr>
      <w:r>
        <w:rPr>
          <w:rFonts w:ascii="Arial" w:cs="Arial" w:eastAsia="Arial" w:hAnsi="Arial"/>
          <w:color w:val="333333"/>
          <w:sz w:val="22"/>
          <w:szCs w:val="22"/>
        </w:rPr>
        <w:t xml:space="preserve">Chaque test associe une manipulation contrôlée, une variable testée, un critère de succès minimal et une condition de falsification immédiate. L’ensemble forme un protocole fermé : aucun test supplémentaire n’est ajouté post-observation.</w:t>
      </w:r>
    </w:p>
    <w:p>
      <w:pPr>
        <w:pStyle w:val="Heading2"/>
        <w:spacing w:before="280" w:after="160"/>
      </w:pPr>
      <w:r>
        <w:rPr>
          <w:rFonts w:ascii="Arial" w:cs="Arial" w:eastAsia="Arial" w:hAnsi="Arial"/>
          <w:b/>
          <w:bCs/>
          <w:color w:val="2E75B6"/>
          <w:sz w:val="26"/>
          <w:szCs w:val="26"/>
        </w:rPr>
        <w:t xml:space="preserve">4.1 Bloc noyau : validité ORI–Cap–Σ–V (T1–T3)</w:t>
      </w:r>
    </w:p>
    <w:p>
      <w:pPr>
        <w:pStyle w:val="Heading3"/>
        <w:spacing w:before="200" w:after="120"/>
      </w:pPr>
      <w:r>
        <w:rPr>
          <w:rFonts w:ascii="Arial" w:cs="Arial" w:eastAsia="Arial" w:hAnsi="Arial"/>
          <w:b/>
          <w:bCs/>
          <w:color w:val="1B3A5C"/>
          <w:sz w:val="22"/>
          <w:szCs w:val="22"/>
        </w:rPr>
        <w:t xml:space="preserve">T1 — Variation contrôlée de O, R, I</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Variation indépendante et contrôlée de chaque variable interne O(t), R(t), I(t).</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Cap(t) = O(t) × R(t) × I(t).</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Relation monotone conforme à la forme multiplicative déclarée ex ante.</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Décorrélation, inversion ou non-monotonicité entre O-R-I et Cap(t).</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Relation monotone conforme sur données simulées.</w:t>
      </w:r>
    </w:p>
    <w:p>
      <w:pPr>
        <w:pStyle w:val="Heading3"/>
        <w:spacing w:before="200" w:after="120"/>
      </w:pPr>
      <w:r>
        <w:rPr>
          <w:rFonts w:ascii="Arial" w:cs="Arial" w:eastAsia="Arial" w:hAnsi="Arial"/>
          <w:b/>
          <w:bCs/>
          <w:color w:val="1B3A5C"/>
          <w:sz w:val="22"/>
          <w:szCs w:val="22"/>
        </w:rPr>
        <w:t xml:space="preserve">T2 — Augmentation contrôlée de la demande D(E(t))</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Augmentation progressive de D(E(t)) au-delà de Cap(t).</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Σ(t) = max(0, D(E(t)) − Cap(t)).</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Σ(t) &gt; 0 dès que D(E) dépasse Cap(t).</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Σ(t) reste à zéro malgré une surcharge documentée.</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Mécanisme de tension opérationnel.</w:t>
      </w:r>
    </w:p>
    <w:p>
      <w:pPr>
        <w:pStyle w:val="Heading3"/>
        <w:spacing w:before="200" w:after="120"/>
      </w:pPr>
      <w:r>
        <w:rPr>
          <w:rFonts w:ascii="Arial" w:cs="Arial" w:eastAsia="Arial" w:hAnsi="Arial"/>
          <w:b/>
          <w:bCs/>
          <w:color w:val="1B3A5C"/>
          <w:sz w:val="22"/>
          <w:szCs w:val="22"/>
        </w:rPr>
        <w:t xml:space="preserve">T3 — Induction de tension structurelle</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Induction d’un Σ(t) élevé et soutenu.</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V(t).</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Dégradation de V(t) proportionnelle à Σ(t).</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V(t) stable malgré un Σ(t) élevé.</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Noyau ORI–V cohérent.</w:t>
      </w:r>
    </w:p>
    <w:p>
      <w:pPr>
        <w:pStyle w:val="Heading2"/>
        <w:spacing w:before="280" w:after="160"/>
      </w:pPr>
      <w:r>
        <w:rPr>
          <w:rFonts w:ascii="Arial" w:cs="Arial" w:eastAsia="Arial" w:hAnsi="Arial"/>
          <w:b/>
          <w:bCs/>
          <w:color w:val="2E75B6"/>
          <w:sz w:val="26"/>
          <w:szCs w:val="26"/>
        </w:rPr>
        <w:t xml:space="preserve">4.2 Bloc symbolique : régime cumulatif (T4–T7)</w:t>
      </w:r>
    </w:p>
    <w:p>
      <w:pPr>
        <w:pStyle w:val="Heading3"/>
        <w:spacing w:before="200" w:after="120"/>
      </w:pPr>
      <w:r>
        <w:rPr>
          <w:rFonts w:ascii="Arial" w:cs="Arial" w:eastAsia="Arial" w:hAnsi="Arial"/>
          <w:b/>
          <w:bCs/>
          <w:color w:val="1B3A5C"/>
          <w:sz w:val="22"/>
          <w:szCs w:val="22"/>
        </w:rPr>
        <w:t xml:space="preserve">T4 — Manipulation du canal symbolique (S riche vs S pauvre)</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Comparaison de deux conditions — S(t) riche (haute densité, haute fidélité) vs S(t) pauvre (basse densité, basse fidélité).</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C(t).</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Différence significative de C(t) entre conditions, attribuable à ΔS(t).</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C(t) invariant malgré un ΔS(t) massif.</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mean_diff = 48.60, p ≈ 0.</w:t>
      </w:r>
    </w:p>
    <w:p>
      <w:pPr>
        <w:pStyle w:val="Heading3"/>
        <w:spacing w:before="200" w:after="120"/>
      </w:pPr>
      <w:r>
        <w:rPr>
          <w:rFonts w:ascii="Arial" w:cs="Arial" w:eastAsia="Arial" w:hAnsi="Arial"/>
          <w:b/>
          <w:bCs/>
          <w:color w:val="1B3A5C"/>
          <w:sz w:val="22"/>
          <w:szCs w:val="22"/>
        </w:rPr>
        <w:t xml:space="preserve">T5 — Injection symbolique ponctuelle</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Injection unique d’un bolus symbolique à t₀.</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C(t+T) à horizon T déclaré ex ante.</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Effet différé mesurable et directionnel.</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Absence d’effet différé à horizon T.</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mean_diff = 12.42, p ≈ 0.</w:t>
      </w:r>
    </w:p>
    <w:p>
      <w:pPr>
        <w:pStyle w:val="Heading3"/>
        <w:spacing w:before="200" w:after="120"/>
      </w:pPr>
      <w:r>
        <w:rPr>
          <w:rFonts w:ascii="Arial" w:cs="Arial" w:eastAsia="Arial" w:hAnsi="Arial"/>
          <w:b/>
          <w:bCs/>
          <w:color w:val="1B3A5C"/>
          <w:sz w:val="22"/>
          <w:szCs w:val="22"/>
        </w:rPr>
        <w:t xml:space="preserve">T6 — Coupure symbolique</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Suppression ou forte réduction du canal S(t), sans modification de O, R, I.</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C(t).</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Chute de C(t) sans altération du noyau O-R-I.</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C(t) stable malgré coupure symbolique complète.</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C_mean_post = −16.06, frac_pos = 0.0.</w:t>
      </w:r>
    </w:p>
    <w:p>
      <w:pPr>
        <w:pBdr>
          <w:top w:val="single" w:color="C0392B" w:sz="2"/>
          <w:bottom w:val="single" w:color="C0392B" w:sz="2"/>
          <w:left w:val="single" w:color="C0392B" w:sz="6"/>
          <w:right w:val="single" w:color="C0392B" w:sz="2"/>
        </w:pBdr>
        <w:spacing w:before="160" w:after="160"/>
        <w:ind w:left="200" w:right="200"/>
      </w:pPr>
      <w:r>
        <w:rPr>
          <w:rFonts w:ascii="Arial" w:cs="Arial" w:eastAsia="Arial" w:hAnsi="Arial"/>
          <w:b/>
          <w:bCs/>
          <w:color w:val="C0392B"/>
          <w:sz w:val="22"/>
          <w:szCs w:val="22"/>
        </w:rPr>
        <w:t xml:space="preserve">⚠ </w:t>
      </w:r>
      <w:r>
        <w:rPr>
          <w:rFonts w:ascii="Arial" w:cs="Arial" w:eastAsia="Arial" w:hAnsi="Arial"/>
          <w:color w:val="C0392B"/>
          <w:sz w:val="22"/>
          <w:szCs w:val="22"/>
        </w:rPr>
        <w:t xml:space="preserve">T6 est le test de non-trivialité du canal symbolique. Si C(t) ne chute pas après coupure de S(t), le canal symbolique est réductible à O-R-I et le régime cumulatif n’existe pas en tant que dimension autonome.</w:t>
      </w:r>
    </w:p>
    <w:p>
      <w:pPr>
        <w:pStyle w:val="Heading3"/>
        <w:spacing w:before="200" w:after="120"/>
      </w:pPr>
      <w:r>
        <w:rPr>
          <w:rFonts w:ascii="Arial" w:cs="Arial" w:eastAsia="Arial" w:hAnsi="Arial"/>
          <w:b/>
          <w:bCs/>
          <w:color w:val="1B3A5C"/>
          <w:sz w:val="22"/>
          <w:szCs w:val="22"/>
        </w:rPr>
        <w:t xml:space="preserve">T7 — Estimation du seuil critique S₀*</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Variation progressive et monotone de S(t).</w:t>
      </w:r>
    </w:p>
    <w:p>
      <w:pPr>
        <w:spacing w:before="80" w:after="80" w:line="300"/>
        <w:jc w:val="both"/>
      </w:pPr>
      <w:r>
        <w:rPr>
          <w:rFonts w:ascii="Arial" w:cs="Arial" w:eastAsia="Arial" w:hAnsi="Arial"/>
          <w:b/>
          <w:bCs/>
          <w:color w:val="1B3A5C"/>
          <w:sz w:val="22"/>
          <w:szCs w:val="22"/>
        </w:rPr>
        <w:t xml:space="preserve">Variable testée : </w:t>
      </w:r>
      <w:r>
        <w:rPr>
          <w:rFonts w:ascii="Arial" w:cs="Arial" w:eastAsia="Arial" w:hAnsi="Arial"/>
          <w:color w:val="333333"/>
          <w:sz w:val="22"/>
          <w:szCs w:val="22"/>
        </w:rPr>
        <w:t xml:space="preserve">C(t) — recherche d’un point de bascule.</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Apparition d’un point de bascule stable (bifurcation).</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C(t) strictement linéaire ou continu, sans rupture de pente.</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S₀* = 0.4103.</w:t>
      </w:r>
    </w:p>
    <w:p>
      <w:pPr>
        <w:pStyle w:val="Heading2"/>
        <w:spacing w:before="280" w:after="160"/>
      </w:pPr>
      <w:r>
        <w:rPr>
          <w:rFonts w:ascii="Arial" w:cs="Arial" w:eastAsia="Arial" w:hAnsi="Arial"/>
          <w:b/>
          <w:bCs/>
          <w:color w:val="2E75B6"/>
          <w:sz w:val="26"/>
          <w:szCs w:val="26"/>
        </w:rPr>
        <w:t xml:space="preserve">4.3 Bloc intégration : robustesse et réversibilité (T8)</w:t>
      </w:r>
    </w:p>
    <w:p>
      <w:pPr>
        <w:pStyle w:val="Heading3"/>
        <w:spacing w:before="200" w:after="120"/>
      </w:pPr>
      <w:r>
        <w:rPr>
          <w:rFonts w:ascii="Arial" w:cs="Arial" w:eastAsia="Arial" w:hAnsi="Arial"/>
          <w:b/>
          <w:bCs/>
          <w:color w:val="1B3A5C"/>
          <w:sz w:val="22"/>
          <w:szCs w:val="22"/>
        </w:rPr>
        <w:t xml:space="preserve">T8 — Multi-stress et réinjection</w:t>
      </w:r>
    </w:p>
    <w:p>
      <w:pPr>
        <w:spacing w:before="80" w:after="80" w:line="300"/>
        <w:jc w:val="both"/>
      </w:pPr>
      <w:r>
        <w:rPr>
          <w:rFonts w:ascii="Arial" w:cs="Arial" w:eastAsia="Arial" w:hAnsi="Arial"/>
          <w:b/>
          <w:bCs/>
          <w:color w:val="1B3A5C"/>
          <w:sz w:val="22"/>
          <w:szCs w:val="22"/>
        </w:rPr>
        <w:t xml:space="preserve">Manipulation : </w:t>
      </w:r>
      <w:r>
        <w:rPr>
          <w:rFonts w:ascii="Arial" w:cs="Arial" w:eastAsia="Arial" w:hAnsi="Arial"/>
          <w:color w:val="333333"/>
          <w:sz w:val="22"/>
          <w:szCs w:val="22"/>
        </w:rPr>
        <w:t xml:space="preserve">Perturbation combinée U(t) affectant simultanément O-R-I et S, suivie d’une réinjection symbolique.</w:t>
      </w:r>
    </w:p>
    <w:p>
      <w:pPr>
        <w:spacing w:before="80" w:after="80" w:line="300"/>
        <w:jc w:val="both"/>
      </w:pPr>
      <w:r>
        <w:rPr>
          <w:rFonts w:ascii="Arial" w:cs="Arial" w:eastAsia="Arial" w:hAnsi="Arial"/>
          <w:b/>
          <w:bCs/>
          <w:color w:val="1B3A5C"/>
          <w:sz w:val="22"/>
          <w:szCs w:val="22"/>
        </w:rPr>
        <w:t xml:space="preserve">Variables testées : </w:t>
      </w:r>
      <w:r>
        <w:rPr>
          <w:rFonts w:ascii="Arial" w:cs="Arial" w:eastAsia="Arial" w:hAnsi="Arial"/>
          <w:color w:val="333333"/>
          <w:sz w:val="22"/>
          <w:szCs w:val="22"/>
        </w:rPr>
        <w:t xml:space="preserve">O, R, I, S, C.</w:t>
      </w:r>
    </w:p>
    <w:p>
      <w:pPr>
        <w:spacing w:before="80" w:after="80" w:line="300"/>
        <w:jc w:val="both"/>
      </w:pPr>
      <w:r>
        <w:rPr>
          <w:rFonts w:ascii="Arial" w:cs="Arial" w:eastAsia="Arial" w:hAnsi="Arial"/>
          <w:b/>
          <w:bCs/>
          <w:color w:val="1B3A5C"/>
          <w:sz w:val="22"/>
          <w:szCs w:val="22"/>
        </w:rPr>
        <w:t xml:space="preserve">Succès : </w:t>
      </w:r>
      <w:r>
        <w:rPr>
          <w:rFonts w:ascii="Arial" w:cs="Arial" w:eastAsia="Arial" w:hAnsi="Arial"/>
          <w:color w:val="333333"/>
          <w:sz w:val="22"/>
          <w:szCs w:val="22"/>
        </w:rPr>
        <w:t xml:space="preserve">Cohérence des relations causales sous stress combiné ; récupération directionnelle après réinjection.</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Relations instables, inversées ou disparues sous stress ; absence de récupération après réinjection.</w:t>
      </w:r>
    </w:p>
    <w:p>
      <w:pPr>
        <w:spacing w:before="80" w:after="80" w:line="300"/>
        <w:jc w:val="both"/>
      </w:pPr>
      <w:r>
        <w:rPr>
          <w:rFonts w:ascii="Arial" w:cs="Arial" w:eastAsia="Arial" w:hAnsi="Arial"/>
          <w:b/>
          <w:bCs/>
          <w:color w:val="1B3A5C"/>
          <w:sz w:val="22"/>
          <w:szCs w:val="22"/>
        </w:rPr>
        <w:t xml:space="preserve">Résultat simulation : </w:t>
      </w:r>
      <w:r>
        <w:rPr>
          <w:rFonts w:ascii="Arial" w:cs="Arial" w:eastAsia="Arial" w:hAnsi="Arial"/>
          <w:color w:val="333333"/>
          <w:sz w:val="22"/>
          <w:szCs w:val="22"/>
        </w:rPr>
        <w:t xml:space="preserve">ACCEPT*. p_slope = 6.14e-46. Réversibilité directionnelle confirmée.</w:t>
      </w:r>
    </w:p>
    <w:p>
      <w:pPr>
        <w:spacing w:before="80" w:after="80" w:line="300"/>
        <w:jc w:val="both"/>
      </w:pPr>
      <w:r>
        <w:rPr>
          <w:rFonts w:ascii="Arial" w:cs="Arial" w:eastAsia="Arial" w:hAnsi="Arial"/>
          <w:i/>
          <w:iCs/>
          <w:color w:val="C0392B"/>
          <w:sz w:val="20"/>
          <w:szCs w:val="20"/>
        </w:rPr>
        <w:t xml:space="preserve">* Tous les verdicts ACCEPT* sont issus de données simulées. Ils établissent la cohérence interne, non la validité empirique.</w:t>
      </w:r>
    </w:p>
    <w:p>
      <w:pPr>
        <w:pStyle w:val="Heading1"/>
        <w:spacing w:before="360" w:after="200"/>
      </w:pPr>
      <w:r>
        <w:rPr>
          <w:rFonts w:ascii="Arial" w:cs="Arial" w:eastAsia="Arial" w:hAnsi="Arial"/>
          <w:b/>
          <w:bCs/>
          <w:color w:val="1B3A5C"/>
          <w:sz w:val="32"/>
          <w:szCs w:val="32"/>
        </w:rPr>
        <w:t xml:space="preserve">5. Preuves cumulatives requises et arbre de décision</w:t>
      </w:r>
    </w:p>
    <w:p>
      <w:pPr>
        <w:spacing w:before="80" w:after="80" w:line="300"/>
        <w:jc w:val="both"/>
      </w:pPr>
      <w:r>
        <w:rPr>
          <w:rFonts w:ascii="Arial" w:cs="Arial" w:eastAsia="Arial" w:hAnsi="Arial"/>
          <w:color w:val="333333"/>
          <w:sz w:val="22"/>
          <w:szCs w:val="22"/>
        </w:rPr>
        <w:t xml:space="preserve">La validation du cadre ORI-C exige la satisfaction simultanée de trois blocs de preuves, formant une structure logique conjonctive.</w:t>
      </w:r>
    </w:p>
    <w:p>
      <w:pPr>
        <w:pStyle w:val="Heading2"/>
        <w:spacing w:before="280" w:after="160"/>
      </w:pPr>
      <w:r>
        <w:rPr>
          <w:rFonts w:ascii="Arial" w:cs="Arial" w:eastAsia="Arial" w:hAnsi="Arial"/>
          <w:b/>
          <w:bCs/>
          <w:color w:val="2E75B6"/>
          <w:sz w:val="26"/>
          <w:szCs w:val="26"/>
        </w:rPr>
        <w:t xml:space="preserve">5.1 Trois blocs de preuves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requis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Ce qui est établi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Noyau ORI</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T1 + T2 + T3</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Validité du cycle ORI → Cap → Σ → 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Régime symbolique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T4 + T5 + T7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Existence d’un régime cumulatif avec seuil critique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Non-trivialité</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T6</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Dimension symbolique autonome, non réductible à O-R-I</w:t>
            </w:r>
          </w:p>
        </w:tc>
      </w:tr>
    </w:tbl>
    <w:p>
      <w:pPr>
        <w:pStyle w:val="Heading2"/>
        <w:spacing w:before="280" w:after="160"/>
      </w:pPr>
      <w:r>
        <w:rPr>
          <w:rFonts w:ascii="Arial" w:cs="Arial" w:eastAsia="Arial" w:hAnsi="Arial"/>
          <w:b/>
          <w:bCs/>
          <w:color w:val="2E75B6"/>
          <w:sz w:val="26"/>
          <w:szCs w:val="26"/>
        </w:rPr>
        <w:t xml:space="preserve">5.2 Arbre de décision</w:t>
      </w:r>
    </w:p>
    <w:p>
      <w:pPr>
        <w:spacing w:before="80" w:after="80" w:line="300"/>
        <w:jc w:val="both"/>
      </w:pPr>
      <w:r>
        <w:rPr>
          <w:rFonts w:ascii="Arial" w:cs="Arial" w:eastAsia="Arial" w:hAnsi="Arial"/>
          <w:color w:val="333333"/>
          <w:sz w:val="22"/>
          <w:szCs w:val="22"/>
        </w:rPr>
        <w:t xml:space="preserve">L’arbre de décision suit une logique séquentielle stricte :</w:t>
      </w:r>
    </w:p>
    <w:p>
      <w:pPr>
        <w:spacing w:before="80" w:after="80" w:line="300"/>
        <w:jc w:val="both"/>
      </w:pPr>
      <w:r>
        <w:rPr>
          <w:rFonts w:ascii="Arial" w:cs="Arial" w:eastAsia="Arial" w:hAnsi="Arial"/>
          <w:b/>
          <w:bCs/>
          <w:color w:val="1B3A5C"/>
          <w:sz w:val="22"/>
          <w:szCs w:val="22"/>
        </w:rPr>
        <w:t xml:space="preserve">Étape 1 — </w:t>
      </w:r>
      <w:r>
        <w:rPr>
          <w:rFonts w:ascii="Arial" w:cs="Arial" w:eastAsia="Arial" w:hAnsi="Arial"/>
          <w:color w:val="333333"/>
          <w:sz w:val="22"/>
          <w:szCs w:val="22"/>
        </w:rPr>
        <w:t xml:space="preserve">Vérifier le noyau. Si T1 ou T2 ou T3 échoue → le noyau ORI est infirmé. Le cadre est rejeté dans sa forme actuelle. Aucun test ultérieur n’est interprétable.</w:t>
      </w:r>
    </w:p>
    <w:p>
      <w:pPr>
        <w:spacing w:before="80" w:after="80" w:line="300"/>
        <w:jc w:val="both"/>
      </w:pPr>
      <w:r>
        <w:rPr>
          <w:rFonts w:ascii="Arial" w:cs="Arial" w:eastAsia="Arial" w:hAnsi="Arial"/>
          <w:b/>
          <w:bCs/>
          <w:color w:val="1B3A5C"/>
          <w:sz w:val="22"/>
          <w:szCs w:val="22"/>
        </w:rPr>
        <w:t xml:space="preserve">Étape 2 — </w:t>
      </w:r>
      <w:r>
        <w:rPr>
          <w:rFonts w:ascii="Arial" w:cs="Arial" w:eastAsia="Arial" w:hAnsi="Arial"/>
          <w:color w:val="333333"/>
          <w:sz w:val="22"/>
          <w:szCs w:val="22"/>
        </w:rPr>
        <w:t xml:space="preserve">Vérifier la dimension symbolique. Si T6 échoue → le canal symbolique est non causal ou réductible à O-R-I. Le régime cumulatif est infirmé.</w:t>
      </w:r>
    </w:p>
    <w:p>
      <w:pPr>
        <w:spacing w:before="80" w:after="80" w:line="300"/>
        <w:jc w:val="both"/>
      </w:pPr>
      <w:r>
        <w:rPr>
          <w:rFonts w:ascii="Arial" w:cs="Arial" w:eastAsia="Arial" w:hAnsi="Arial"/>
          <w:b/>
          <w:bCs/>
          <w:color w:val="1B3A5C"/>
          <w:sz w:val="22"/>
          <w:szCs w:val="22"/>
        </w:rPr>
        <w:t xml:space="preserve">Étape 3 — </w:t>
      </w:r>
      <w:r>
        <w:rPr>
          <w:rFonts w:ascii="Arial" w:cs="Arial" w:eastAsia="Arial" w:hAnsi="Arial"/>
          <w:color w:val="333333"/>
          <w:sz w:val="22"/>
          <w:szCs w:val="22"/>
        </w:rPr>
        <w:t xml:space="preserve">Vérifier le régime cumulatif. Si T4 ou T5 ou T7 échoue → le régime symbolique cumulatif n’est pas établi dans sa forme actuelle.</w:t>
      </w:r>
    </w:p>
    <w:p>
      <w:pPr>
        <w:spacing w:before="80" w:after="80" w:line="300"/>
        <w:jc w:val="both"/>
      </w:pPr>
      <w:r>
        <w:rPr>
          <w:rFonts w:ascii="Arial" w:cs="Arial" w:eastAsia="Arial" w:hAnsi="Arial"/>
          <w:b/>
          <w:bCs/>
          <w:color w:val="1B3A5C"/>
          <w:sz w:val="22"/>
          <w:szCs w:val="22"/>
        </w:rPr>
        <w:t xml:space="preserve">Étape 4 — </w:t>
      </w:r>
      <w:r>
        <w:rPr>
          <w:rFonts w:ascii="Arial" w:cs="Arial" w:eastAsia="Arial" w:hAnsi="Arial"/>
          <w:color w:val="333333"/>
          <w:sz w:val="22"/>
          <w:szCs w:val="22"/>
        </w:rPr>
        <w:t xml:space="preserve">Vérifier la robustesse. Si T8 échoue → le mécanisme n’est pas robuste sous stress combiné et sa généralisabilité est compromise.</w:t>
      </w:r>
    </w:p>
    <w:p>
      <w:pPr>
        <w:spacing w:before="80" w:after="80" w:line="300"/>
        <w:jc w:val="both"/>
      </w:pPr>
      <w:r>
        <w:rPr>
          <w:rFonts w:ascii="Arial" w:cs="Arial" w:eastAsia="Arial" w:hAnsi="Arial"/>
          <w:b/>
          <w:bCs/>
          <w:color w:val="1B3A5C"/>
          <w:sz w:val="22"/>
          <w:szCs w:val="22"/>
        </w:rPr>
        <w:t xml:space="preserve">Validation complète — </w:t>
      </w:r>
      <w:r>
        <w:rPr>
          <w:rFonts w:ascii="Arial" w:cs="Arial" w:eastAsia="Arial" w:hAnsi="Arial"/>
          <w:color w:val="333333"/>
          <w:sz w:val="22"/>
          <w:szCs w:val="22"/>
        </w:rPr>
        <w:t xml:space="preserve">T1–T8 tous ACCEPT sur données réelles → le mécanisme cumulatif à seuil symbolique est établi pour le domaine testé.</w:t>
      </w:r>
    </w:p>
    <w:p>
      <w:pPr>
        <w:pStyle w:val="Heading1"/>
        <w:spacing w:before="360" w:after="200"/>
      </w:pPr>
      <w:r>
        <w:rPr>
          <w:rFonts w:ascii="Arial" w:cs="Arial" w:eastAsia="Arial" w:hAnsi="Arial"/>
          <w:b/>
          <w:bCs/>
          <w:color w:val="1B3A5C"/>
          <w:sz w:val="32"/>
          <w:szCs w:val="32"/>
        </w:rPr>
        <w:t xml:space="preserve">6. Invariants structurels</w:t>
      </w:r>
    </w:p>
    <w:p>
      <w:pPr>
        <w:spacing w:before="80" w:after="80" w:line="300"/>
        <w:jc w:val="both"/>
      </w:pPr>
      <w:r>
        <w:rPr>
          <w:rFonts w:ascii="Arial" w:cs="Arial" w:eastAsia="Arial" w:hAnsi="Arial"/>
          <w:color w:val="333333"/>
          <w:sz w:val="22"/>
          <w:szCs w:val="22"/>
        </w:rPr>
        <w:t xml:space="preserve">Le protocole vise à établir ou infirmer trois invariants.</w:t>
      </w:r>
    </w:p>
    <w:p>
      <w:pPr>
        <w:pStyle w:val="Heading2"/>
        <w:spacing w:before="280" w:after="160"/>
      </w:pPr>
      <w:r>
        <w:rPr>
          <w:rFonts w:ascii="Arial" w:cs="Arial" w:eastAsia="Arial" w:hAnsi="Arial"/>
          <w:b/>
          <w:bCs/>
          <w:color w:val="2E75B6"/>
          <w:sz w:val="26"/>
          <w:szCs w:val="26"/>
        </w:rPr>
        <w:t xml:space="preserve">6.1 Invariant 1 — Existence d’un seuil cumulatif</w:t>
      </w:r>
    </w:p>
    <w:p>
      <w:pPr>
        <w:spacing w:before="80" w:after="80" w:line="300"/>
        <w:jc w:val="both"/>
      </w:pPr>
      <w:r>
        <w:rPr>
          <w:rFonts w:ascii="Arial" w:cs="Arial" w:eastAsia="Arial" w:hAnsi="Arial"/>
          <w:b/>
          <w:bCs/>
          <w:color w:val="1B3A5C"/>
          <w:sz w:val="22"/>
          <w:szCs w:val="22"/>
        </w:rPr>
        <w:t xml:space="preserve">Détection : </w:t>
      </w:r>
      <w:r>
        <w:rPr>
          <w:rFonts w:ascii="Arial" w:cs="Arial" w:eastAsia="Arial" w:hAnsi="Arial"/>
          <w:color w:val="333333"/>
          <w:sz w:val="22"/>
          <w:szCs w:val="22"/>
        </w:rPr>
        <w:t xml:space="preserve">Tests T1, T2, T3 (établissent le noyau), T7 (quantifie le seuil S₀*).</w:t>
      </w:r>
    </w:p>
    <w:p>
      <w:pPr>
        <w:spacing w:before="80" w:after="80" w:line="300"/>
        <w:jc w:val="both"/>
      </w:pPr>
      <w:r>
        <w:rPr>
          <w:rFonts w:ascii="Arial" w:cs="Arial" w:eastAsia="Arial" w:hAnsi="Arial"/>
          <w:b/>
          <w:bCs/>
          <w:color w:val="1B3A5C"/>
          <w:sz w:val="22"/>
          <w:szCs w:val="22"/>
        </w:rPr>
        <w:t xml:space="preserve">Signature attendue : </w:t>
      </w:r>
      <w:r>
        <w:rPr>
          <w:rFonts w:ascii="Arial" w:cs="Arial" w:eastAsia="Arial" w:hAnsi="Arial"/>
          <w:color w:val="333333"/>
          <w:sz w:val="22"/>
          <w:szCs w:val="22"/>
        </w:rPr>
        <w:t xml:space="preserve">Bifurcation nette dans C(t) ; ralentissement critique près du seuil ; hystérésis sous variations.</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Absence de bifurcation ; C(t) linéaire ; pas de signature de transition de phase.</w:t>
      </w:r>
    </w:p>
    <w:p>
      <w:pPr>
        <w:pStyle w:val="Heading2"/>
        <w:spacing w:before="280" w:after="160"/>
      </w:pPr>
      <w:r>
        <w:rPr>
          <w:rFonts w:ascii="Arial" w:cs="Arial" w:eastAsia="Arial" w:hAnsi="Arial"/>
          <w:b/>
          <w:bCs/>
          <w:color w:val="2E75B6"/>
          <w:sz w:val="26"/>
          <w:szCs w:val="26"/>
        </w:rPr>
        <w:t xml:space="preserve">6.2 Invariant 2 — Dépendance au canal symbolique</w:t>
      </w:r>
    </w:p>
    <w:p>
      <w:pPr>
        <w:spacing w:before="80" w:after="80" w:line="300"/>
        <w:jc w:val="both"/>
      </w:pPr>
      <w:r>
        <w:rPr>
          <w:rFonts w:ascii="Arial" w:cs="Arial" w:eastAsia="Arial" w:hAnsi="Arial"/>
          <w:b/>
          <w:bCs/>
          <w:color w:val="1B3A5C"/>
          <w:sz w:val="22"/>
          <w:szCs w:val="22"/>
        </w:rPr>
        <w:t xml:space="preserve">Détection : </w:t>
      </w:r>
      <w:r>
        <w:rPr>
          <w:rFonts w:ascii="Arial" w:cs="Arial" w:eastAsia="Arial" w:hAnsi="Arial"/>
          <w:color w:val="333333"/>
          <w:sz w:val="22"/>
          <w:szCs w:val="22"/>
        </w:rPr>
        <w:t xml:space="preserve">Tests T4, T5 (effets directionnels de S sur C), T6 (effondrement sous coupure).</w:t>
      </w:r>
    </w:p>
    <w:p>
      <w:pPr>
        <w:spacing w:before="80" w:after="80" w:line="300"/>
        <w:jc w:val="both"/>
      </w:pPr>
      <w:r>
        <w:rPr>
          <w:rFonts w:ascii="Arial" w:cs="Arial" w:eastAsia="Arial" w:hAnsi="Arial"/>
          <w:b/>
          <w:bCs/>
          <w:color w:val="1B3A5C"/>
          <w:sz w:val="22"/>
          <w:szCs w:val="22"/>
        </w:rPr>
        <w:t xml:space="preserve">Signature attendue : </w:t>
      </w:r>
      <w:r>
        <w:rPr>
          <w:rFonts w:ascii="Arial" w:cs="Arial" w:eastAsia="Arial" w:hAnsi="Arial"/>
          <w:color w:val="333333"/>
          <w:sz w:val="22"/>
          <w:szCs w:val="22"/>
        </w:rPr>
        <w:t xml:space="preserve">Le canal symbolique est un opérateur causal indépendant : modifier S modifie C sans passer par O-R-I.</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C(t) ne répond pas à ΔS(t), ou les effets disparaissent après contrôle de O-R-I.</w:t>
      </w:r>
    </w:p>
    <w:p>
      <w:pPr>
        <w:pStyle w:val="Heading2"/>
        <w:spacing w:before="280" w:after="160"/>
      </w:pPr>
      <w:r>
        <w:rPr>
          <w:rFonts w:ascii="Arial" w:cs="Arial" w:eastAsia="Arial" w:hAnsi="Arial"/>
          <w:b/>
          <w:bCs/>
          <w:color w:val="2E75B6"/>
          <w:sz w:val="26"/>
          <w:szCs w:val="26"/>
        </w:rPr>
        <w:t xml:space="preserve">6.3 Invariant 3 — Réversibilité contrôlée</w:t>
      </w:r>
    </w:p>
    <w:p>
      <w:pPr>
        <w:spacing w:before="80" w:after="80" w:line="300"/>
        <w:jc w:val="both"/>
      </w:pPr>
      <w:r>
        <w:rPr>
          <w:rFonts w:ascii="Arial" w:cs="Arial" w:eastAsia="Arial" w:hAnsi="Arial"/>
          <w:b/>
          <w:bCs/>
          <w:color w:val="1B3A5C"/>
          <w:sz w:val="22"/>
          <w:szCs w:val="22"/>
        </w:rPr>
        <w:t xml:space="preserve">Détection : </w:t>
      </w:r>
      <w:r>
        <w:rPr>
          <w:rFonts w:ascii="Arial" w:cs="Arial" w:eastAsia="Arial" w:hAnsi="Arial"/>
          <w:color w:val="333333"/>
          <w:sz w:val="22"/>
          <w:szCs w:val="22"/>
        </w:rPr>
        <w:t xml:space="preserve">Test T8 (réinjection après stress).</w:t>
      </w:r>
    </w:p>
    <w:p>
      <w:pPr>
        <w:spacing w:before="80" w:after="80" w:line="300"/>
        <w:jc w:val="both"/>
      </w:pPr>
      <w:r>
        <w:rPr>
          <w:rFonts w:ascii="Arial" w:cs="Arial" w:eastAsia="Arial" w:hAnsi="Arial"/>
          <w:b/>
          <w:bCs/>
          <w:color w:val="1B3A5C"/>
          <w:sz w:val="22"/>
          <w:szCs w:val="22"/>
        </w:rPr>
        <w:t xml:space="preserve">Signature attendue : </w:t>
      </w:r>
      <w:r>
        <w:rPr>
          <w:rFonts w:ascii="Arial" w:cs="Arial" w:eastAsia="Arial" w:hAnsi="Arial"/>
          <w:color w:val="333333"/>
          <w:sz w:val="22"/>
          <w:szCs w:val="22"/>
        </w:rPr>
        <w:t xml:space="preserve">Récupération directionnelle de C(t) après réinjection symbolique ; mécanisme non dégénératif.</w:t>
      </w:r>
    </w:p>
    <w:p>
      <w:pPr>
        <w:spacing w:before="80" w:after="80" w:line="300"/>
        <w:jc w:val="both"/>
      </w:pPr>
      <w:r>
        <w:rPr>
          <w:rFonts w:ascii="Arial" w:cs="Arial" w:eastAsia="Arial" w:hAnsi="Arial"/>
          <w:b/>
          <w:bCs/>
          <w:color w:val="1B3A5C"/>
          <w:sz w:val="22"/>
          <w:szCs w:val="22"/>
        </w:rPr>
        <w:t xml:space="preserve">Falsification : </w:t>
      </w:r>
      <w:r>
        <w:rPr>
          <w:rFonts w:ascii="Arial" w:cs="Arial" w:eastAsia="Arial" w:hAnsi="Arial"/>
          <w:color w:val="333333"/>
          <w:sz w:val="22"/>
          <w:szCs w:val="22"/>
        </w:rPr>
        <w:t xml:space="preserve">Absence de récupération ; irréversibilité ; dégénérescence du système après perturbation.</w:t>
      </w:r>
    </w:p>
    <w:p>
      <w:pPr>
        <w:pStyle w:val="Heading1"/>
        <w:spacing w:before="360" w:after="200"/>
      </w:pPr>
      <w:r>
        <w:rPr>
          <w:rFonts w:ascii="Arial" w:cs="Arial" w:eastAsia="Arial" w:hAnsi="Arial"/>
          <w:b/>
          <w:bCs/>
          <w:color w:val="1B3A5C"/>
          <w:sz w:val="32"/>
          <w:szCs w:val="32"/>
        </w:rPr>
        <w:t xml:space="preserve">7. Plan de validation empirique</w:t>
      </w:r>
    </w:p>
    <w:p>
      <w:pPr>
        <w:spacing w:before="80" w:after="80" w:line="300"/>
        <w:jc w:val="both"/>
      </w:pPr>
      <w:r>
        <w:rPr>
          <w:rFonts w:ascii="Arial" w:cs="Arial" w:eastAsia="Arial" w:hAnsi="Arial"/>
          <w:color w:val="333333"/>
          <w:sz w:val="22"/>
          <w:szCs w:val="22"/>
        </w:rPr>
        <w:t xml:space="preserve">La validation empirique est l’étape obligatoire suivante. Chaque test T1–T8 doit être reproduit sur des données réelles, indépendantes du modèle, selon le protocole préenregistré.</w:t>
      </w:r>
    </w:p>
    <w:p>
      <w:pPr>
        <w:pStyle w:val="Heading2"/>
        <w:spacing w:before="280" w:after="160"/>
      </w:pPr>
      <w:r>
        <w:rPr>
          <w:rFonts w:ascii="Arial" w:cs="Arial" w:eastAsia="Arial" w:hAnsi="Arial"/>
          <w:b/>
          <w:bCs/>
          <w:color w:val="2E75B6"/>
          <w:sz w:val="26"/>
          <w:szCs w:val="26"/>
        </w:rPr>
        <w:t xml:space="preserve">7.1 Domaines d’application candidats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Proxies O-R-I</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Proxies S et 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Cellulaire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Taux de croissance, intégrité membranaire, charge ATP, taux d’erreurs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Transfert horizontal de gènes, signalisation intercellulaire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Organisme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Survie, coûts énergétiques, performance de tâche, reproduction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Apprentissage social, imitation, innovation comportementale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Groupe humain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Stabilité démographique, production nette, robustesse aux chocs, coopération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Transmission culturelle, codification, répertoire symbolique, fidélité</w:t>
            </w:r>
          </w:p>
        </w:tc>
      </w:tr>
    </w:tbl>
    <w:p>
      <w:pPr>
        <w:pStyle w:val="Heading2"/>
        <w:spacing w:before="280" w:after="160"/>
      </w:pPr>
      <w:r>
        <w:rPr>
          <w:rFonts w:ascii="Arial" w:cs="Arial" w:eastAsia="Arial" w:hAnsi="Arial"/>
          <w:b/>
          <w:bCs/>
          <w:color w:val="2E75B6"/>
          <w:sz w:val="26"/>
          <w:szCs w:val="26"/>
        </w:rPr>
        <w:t xml:space="preserve">7.2 Critères de validation externe</w:t>
      </w:r>
    </w:p>
    <w:p>
      <w:pPr>
        <w:spacing w:before="80" w:after="80" w:line="300"/>
        <w:jc w:val="both"/>
      </w:pPr>
      <w:r>
        <w:rPr>
          <w:rFonts w:ascii="Arial" w:cs="Arial" w:eastAsia="Arial" w:hAnsi="Arial"/>
          <w:color w:val="333333"/>
          <w:sz w:val="22"/>
          <w:szCs w:val="22"/>
        </w:rPr>
        <w:t xml:space="preserve">La validation externe exige trois types de signatures indépendantes :</w:t>
      </w:r>
    </w:p>
    <w:p>
      <w:pPr>
        <w:spacing w:before="80" w:after="80" w:line="300"/>
        <w:jc w:val="both"/>
      </w:pPr>
      <w:r>
        <w:rPr>
          <w:rFonts w:ascii="Arial" w:cs="Arial" w:eastAsia="Arial" w:hAnsi="Arial"/>
          <w:b/>
          <w:bCs/>
          <w:color w:val="1B3A5C"/>
          <w:sz w:val="22"/>
          <w:szCs w:val="22"/>
        </w:rPr>
        <w:t xml:space="preserve">Signatures de transition de phase : </w:t>
      </w:r>
      <w:r>
        <w:rPr>
          <w:rFonts w:ascii="Arial" w:cs="Arial" w:eastAsia="Arial" w:hAnsi="Arial"/>
          <w:color w:val="333333"/>
          <w:sz w:val="22"/>
          <w:szCs w:val="22"/>
        </w:rPr>
        <w:t xml:space="preserve">Ralentissement critique, hystérésis, sensibilité accrue près du seuil, divergence de la variance.</w:t>
      </w:r>
    </w:p>
    <w:p>
      <w:pPr>
        <w:spacing w:before="80" w:after="80" w:line="300"/>
        <w:jc w:val="both"/>
      </w:pPr>
      <w:r>
        <w:rPr>
          <w:rFonts w:ascii="Arial" w:cs="Arial" w:eastAsia="Arial" w:hAnsi="Arial"/>
          <w:b/>
          <w:bCs/>
          <w:color w:val="1B3A5C"/>
          <w:sz w:val="22"/>
          <w:szCs w:val="22"/>
        </w:rPr>
        <w:t xml:space="preserve">Séparabilité empirique C(t) / V(t) : </w:t>
      </w:r>
      <w:r>
        <w:rPr>
          <w:rFonts w:ascii="Arial" w:cs="Arial" w:eastAsia="Arial" w:hAnsi="Arial"/>
          <w:color w:val="333333"/>
          <w:sz w:val="22"/>
          <w:szCs w:val="22"/>
        </w:rPr>
        <w:t xml:space="preserve">La relation entre C(t) et V(t) ne doit pas être circulaire. C(t) doit être mesurable indépendamment de V(t).</w:t>
      </w:r>
    </w:p>
    <w:p>
      <w:pPr>
        <w:spacing w:before="80" w:after="80" w:line="300"/>
        <w:jc w:val="both"/>
      </w:pPr>
      <w:r>
        <w:rPr>
          <w:rFonts w:ascii="Arial" w:cs="Arial" w:eastAsia="Arial" w:hAnsi="Arial"/>
          <w:b/>
          <w:bCs/>
          <w:color w:val="1B3A5C"/>
          <w:sz w:val="22"/>
          <w:szCs w:val="22"/>
        </w:rPr>
        <w:t xml:space="preserve">Réplication indépendante : </w:t>
      </w:r>
      <w:r>
        <w:rPr>
          <w:rFonts w:ascii="Arial" w:cs="Arial" w:eastAsia="Arial" w:hAnsi="Arial"/>
          <w:color w:val="333333"/>
          <w:sz w:val="22"/>
          <w:szCs w:val="22"/>
        </w:rPr>
        <w:t xml:space="preserve">Au moins un domaine distinct doit reproduire les résultats avec des proxies différents.</w:t>
      </w:r>
    </w:p>
    <w:p>
      <w:pPr>
        <w:pStyle w:val="Heading2"/>
        <w:spacing w:before="280" w:after="160"/>
      </w:pPr>
      <w:r>
        <w:rPr>
          <w:rFonts w:ascii="Arial" w:cs="Arial" w:eastAsia="Arial" w:hAnsi="Arial"/>
          <w:b/>
          <w:bCs/>
          <w:color w:val="2E75B6"/>
          <w:sz w:val="26"/>
          <w:szCs w:val="26"/>
        </w:rPr>
        <w:t xml:space="preserve">7.3 Condition de falsification globale</w:t>
      </w:r>
    </w:p>
    <w:p>
      <w:pPr>
        <w:pBdr>
          <w:top w:val="single" w:color="C0392B" w:sz="2"/>
          <w:bottom w:val="single" w:color="C0392B" w:sz="2"/>
          <w:left w:val="single" w:color="C0392B" w:sz="6"/>
          <w:right w:val="single" w:color="C0392B" w:sz="2"/>
        </w:pBdr>
        <w:spacing w:before="160" w:after="160"/>
        <w:ind w:left="200" w:right="200"/>
      </w:pPr>
      <w:r>
        <w:rPr>
          <w:rFonts w:ascii="Arial" w:cs="Arial" w:eastAsia="Arial" w:hAnsi="Arial"/>
          <w:b/>
          <w:bCs/>
          <w:color w:val="C0392B"/>
          <w:sz w:val="22"/>
          <w:szCs w:val="22"/>
        </w:rPr>
        <w:t xml:space="preserve">⚠ </w:t>
      </w:r>
      <w:r>
        <w:rPr>
          <w:rFonts w:ascii="Arial" w:cs="Arial" w:eastAsia="Arial" w:hAnsi="Arial"/>
          <w:color w:val="C0392B"/>
          <w:sz w:val="22"/>
          <w:szCs w:val="22"/>
        </w:rPr>
        <w:t xml:space="preserve">Si T4 + T5 + T7 ne sont pas répliqués sur données réelles avec les paramètres ex ante, le régime symbolique cumulatif est infirmé dans sa forme actuelle. Ce critère est non négociable.</w:t>
      </w:r>
    </w:p>
    <w:p>
      <w:pPr>
        <w:pStyle w:val="Heading1"/>
        <w:spacing w:before="360" w:after="200"/>
      </w:pPr>
      <w:r>
        <w:rPr>
          <w:rFonts w:ascii="Arial" w:cs="Arial" w:eastAsia="Arial" w:hAnsi="Arial"/>
          <w:b/>
          <w:bCs/>
          <w:color w:val="1B3A5C"/>
          <w:sz w:val="32"/>
          <w:szCs w:val="32"/>
        </w:rPr>
        <w:t xml:space="preserve">8. Conditions d’audit</w:t>
      </w:r>
    </w:p>
    <w:p>
      <w:pPr>
        <w:spacing w:before="80" w:after="80" w:line="300"/>
        <w:jc w:val="both"/>
      </w:pPr>
      <w:r>
        <w:rPr>
          <w:rFonts w:ascii="Arial" w:cs="Arial" w:eastAsia="Arial" w:hAnsi="Arial"/>
          <w:color w:val="333333"/>
          <w:sz w:val="22"/>
          <w:szCs w:val="22"/>
        </w:rPr>
        <w:t xml:space="preserve">Les conditions suivantes sont non négociables pour toute utilisation, citation ou extension du cadre ORI-C.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Vérification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A1</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Tout fixé ex ante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Proxies, formes, poids, fenêtres, seuils déclarés dans PREREG_TEMPLATE.md avant exécution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Aucun ajustement post-observation</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Journal d’audit horodaté ; toute modification invalide l’essai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A3</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Proxies documentés et accessibles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Code source et données dans le répertoire public (GitHub, OSF)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Tests causaux reproductibles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Seed fixé, pipeline documenté, résultat identique à la réexécution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A5</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Critères de seuil explicites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Valeurs de k, m, Σ*, S₀* déclarées ex ante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A6</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Statut des données toujours déclaré</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color w:val="333333"/>
                <w:sz w:val="20"/>
                <w:szCs w:val="20"/>
              </w:rPr>
              <w:t xml:space="preserve">Simulation vs réel explicitement indiqué dans chaque rapport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A7</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Résultats nuls rapportés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40" w:after="40"/>
            </w:pPr>
            <w:r>
              <w:rPr>
                <w:rFonts w:ascii="Arial" w:cs="Arial" w:eastAsia="Arial" w:hAnsi="Arial"/>
                <w:color w:val="333333"/>
                <w:sz w:val="20"/>
                <w:szCs w:val="20"/>
              </w:rPr>
              <w:t xml:space="preserve">Aucune suppression de résultats négatifs</w:t>
            </w:r>
          </w:p>
        </w:tc>
      </w:tr>
    </w:tbl>
    <w:p>
      <w:pPr>
        <w:pStyle w:val="Heading1"/>
        <w:spacing w:before="360" w:after="200"/>
      </w:pPr>
      <w:r>
        <w:rPr>
          <w:rFonts w:ascii="Arial" w:cs="Arial" w:eastAsia="Arial" w:hAnsi="Arial"/>
          <w:b/>
          <w:bCs/>
          <w:color w:val="1B3A5C"/>
          <w:sz w:val="32"/>
          <w:szCs w:val="32"/>
        </w:rPr>
        <w:t xml:space="preserve">9. Synthèse et vérification croisée</w:t>
      </w:r>
    </w:p>
    <w:p>
      <w:pPr>
        <w:pStyle w:val="Heading2"/>
        <w:spacing w:before="280" w:after="160"/>
      </w:pPr>
      <w:r>
        <w:rPr>
          <w:rFonts w:ascii="Arial" w:cs="Arial" w:eastAsia="Arial" w:hAnsi="Arial"/>
          <w:b/>
          <w:bCs/>
          <w:color w:val="2E75B6"/>
          <w:sz w:val="26"/>
          <w:szCs w:val="26"/>
        </w:rPr>
        <w:t xml:space="preserve">9.1 Cohérence interne du protocole</w:t>
      </w:r>
    </w:p>
    <w:p>
      <w:pPr>
        <w:spacing w:before="80" w:after="80" w:line="300"/>
        <w:jc w:val="both"/>
      </w:pPr>
      <w:r>
        <w:rPr>
          <w:rFonts w:ascii="Arial" w:cs="Arial" w:eastAsia="Arial" w:hAnsi="Arial"/>
          <w:color w:val="333333"/>
          <w:sz w:val="22"/>
          <w:szCs w:val="22"/>
        </w:rPr>
        <w:t xml:space="preserve">L’examen croisé des trois documents sources (Pancarte normative 1.0, Pancarte consolidée T1–T8, Document restructuré v2) confirme la cohérence interne du cadre :</w:t>
      </w:r>
    </w:p>
    <w:p>
      <w:pPr>
        <w:spacing w:before="80" w:after="80" w:line="300"/>
        <w:jc w:val="both"/>
      </w:pPr>
      <w:r>
        <w:rPr>
          <w:rFonts w:ascii="Arial" w:cs="Arial" w:eastAsia="Arial" w:hAnsi="Arial"/>
          <w:b/>
          <w:bCs/>
          <w:color w:val="1B3A5C"/>
          <w:sz w:val="22"/>
          <w:szCs w:val="22"/>
        </w:rPr>
        <w:t xml:space="preserve">Variables et définitions : </w:t>
      </w:r>
      <w:r>
        <w:rPr>
          <w:rFonts w:ascii="Arial" w:cs="Arial" w:eastAsia="Arial" w:hAnsi="Arial"/>
          <w:color w:val="333333"/>
          <w:sz w:val="22"/>
          <w:szCs w:val="22"/>
        </w:rPr>
        <w:t xml:space="preserve">Les variables O, R, I, S, C, V, Cap, Σ sont définies de manière identique dans les trois documents. Les formes fonctionnelles (Cap = O × R × I, Σ = max(0, D(E) − Cap)) sont cohérentes.</w:t>
      </w:r>
    </w:p>
    <w:p>
      <w:pPr>
        <w:spacing w:before="80" w:after="80" w:line="300"/>
        <w:jc w:val="both"/>
      </w:pPr>
      <w:r>
        <w:rPr>
          <w:rFonts w:ascii="Arial" w:cs="Arial" w:eastAsia="Arial" w:hAnsi="Arial"/>
          <w:b/>
          <w:bCs/>
          <w:color w:val="1B3A5C"/>
          <w:sz w:val="22"/>
          <w:szCs w:val="22"/>
        </w:rPr>
        <w:t xml:space="preserve">Matrice T1–T8 : </w:t>
      </w:r>
      <w:r>
        <w:rPr>
          <w:rFonts w:ascii="Arial" w:cs="Arial" w:eastAsia="Arial" w:hAnsi="Arial"/>
          <w:color w:val="333333"/>
          <w:sz w:val="22"/>
          <w:szCs w:val="22"/>
        </w:rPr>
        <w:t xml:space="preserve">Les huit tests sont identiques dans les trois documents : mêmes manipulations, mêmes variables testées, mêmes critères de succès et de falsification.</w:t>
      </w:r>
    </w:p>
    <w:p>
      <w:pPr>
        <w:spacing w:before="80" w:after="80" w:line="300"/>
        <w:jc w:val="both"/>
      </w:pPr>
      <w:r>
        <w:rPr>
          <w:rFonts w:ascii="Arial" w:cs="Arial" w:eastAsia="Arial" w:hAnsi="Arial"/>
          <w:b/>
          <w:bCs/>
          <w:color w:val="1B3A5C"/>
          <w:sz w:val="22"/>
          <w:szCs w:val="22"/>
        </w:rPr>
        <w:t xml:space="preserve">Résultats simulés : </w:t>
      </w:r>
      <w:r>
        <w:rPr>
          <w:rFonts w:ascii="Arial" w:cs="Arial" w:eastAsia="Arial" w:hAnsi="Arial"/>
          <w:color w:val="333333"/>
          <w:sz w:val="22"/>
          <w:szCs w:val="22"/>
        </w:rPr>
        <w:t xml:space="preserve">Les valeurs numériques (mean_diff, p-values, S₀*, seuil t=93) sont concordantes entre la pancarte consolidée et le document restructuré.</w:t>
      </w:r>
    </w:p>
    <w:p>
      <w:pPr>
        <w:spacing w:before="80" w:after="80" w:line="300"/>
        <w:jc w:val="both"/>
      </w:pPr>
      <w:r>
        <w:rPr>
          <w:rFonts w:ascii="Arial" w:cs="Arial" w:eastAsia="Arial" w:hAnsi="Arial"/>
          <w:b/>
          <w:bCs/>
          <w:color w:val="1B3A5C"/>
          <w:sz w:val="22"/>
          <w:szCs w:val="22"/>
        </w:rPr>
        <w:t xml:space="preserve">Conditions d’audit : </w:t>
      </w:r>
      <w:r>
        <w:rPr>
          <w:rFonts w:ascii="Arial" w:cs="Arial" w:eastAsia="Arial" w:hAnsi="Arial"/>
          <w:color w:val="333333"/>
          <w:sz w:val="22"/>
          <w:szCs w:val="22"/>
        </w:rPr>
        <w:t xml:space="preserve">Le verrouillage ex ante, l’interdiction de recalibrage, la reproductibilité et le rapport des résultats nuls sont réaffirmés identiquement.</w:t>
      </w:r>
    </w:p>
    <w:p>
      <w:pPr>
        <w:pStyle w:val="Heading2"/>
        <w:spacing w:before="280" w:after="160"/>
      </w:pPr>
      <w:r>
        <w:rPr>
          <w:rFonts w:ascii="Arial" w:cs="Arial" w:eastAsia="Arial" w:hAnsi="Arial"/>
          <w:b/>
          <w:bCs/>
          <w:color w:val="2E75B6"/>
          <w:sz w:val="26"/>
          <w:szCs w:val="26"/>
        </w:rPr>
        <w:t xml:space="preserve">9.2 Points de vigilance identifiés</w:t>
      </w:r>
    </w:p>
    <w:p>
      <w:pPr>
        <w:spacing w:before="80" w:after="80" w:line="300"/>
        <w:jc w:val="both"/>
      </w:pPr>
      <w:r>
        <w:rPr>
          <w:rFonts w:ascii="Arial" w:cs="Arial" w:eastAsia="Arial" w:hAnsi="Arial"/>
          <w:color w:val="333333"/>
          <w:sz w:val="22"/>
          <w:szCs w:val="22"/>
        </w:rPr>
        <w:t xml:space="preserve">Malgré la cohérence globale, plusieurs points méritent attention pour la transition vers la validation empirique :</w:t>
      </w:r>
    </w:p>
    <w:p>
      <w:pPr>
        <w:spacing w:before="80" w:after="80" w:line="300"/>
        <w:jc w:val="both"/>
      </w:pPr>
      <w:r>
        <w:rPr>
          <w:rFonts w:ascii="Arial" w:cs="Arial" w:eastAsia="Arial" w:hAnsi="Arial"/>
          <w:b/>
          <w:bCs/>
          <w:color w:val="1B3A5C"/>
          <w:sz w:val="22"/>
          <w:szCs w:val="22"/>
        </w:rPr>
        <w:t xml:space="preserve">Circularité potentielle C/V : </w:t>
      </w:r>
      <w:r>
        <w:rPr>
          <w:rFonts w:ascii="Arial" w:cs="Arial" w:eastAsia="Arial" w:hAnsi="Arial"/>
          <w:color w:val="333333"/>
          <w:sz w:val="22"/>
          <w:szCs w:val="22"/>
        </w:rPr>
        <w:t xml:space="preserve">La séparabilité empirique de C(t) et V(t) est cruciale. Sur données simulées, cette séparation est assurée par construction. Sur données réelles, elle doit être démontrée indépendamment.</w:t>
      </w:r>
    </w:p>
    <w:p>
      <w:pPr>
        <w:spacing w:before="80" w:after="80" w:line="300"/>
        <w:jc w:val="both"/>
      </w:pPr>
      <w:r>
        <w:rPr>
          <w:rFonts w:ascii="Arial" w:cs="Arial" w:eastAsia="Arial" w:hAnsi="Arial"/>
          <w:b/>
          <w:bCs/>
          <w:color w:val="1B3A5C"/>
          <w:sz w:val="22"/>
          <w:szCs w:val="22"/>
        </w:rPr>
        <w:t xml:space="preserve">Robustesse des seuils : </w:t>
      </w:r>
      <w:r>
        <w:rPr>
          <w:rFonts w:ascii="Arial" w:cs="Arial" w:eastAsia="Arial" w:hAnsi="Arial"/>
          <w:color w:val="333333"/>
          <w:sz w:val="22"/>
          <w:szCs w:val="22"/>
        </w:rPr>
        <w:t xml:space="preserve">Le seuil S₀* = 0.4103 est estimé sur simulation. Sa transférabilité à des domaines réels n’est pas garantie. Le protocole doit ré-estimer S₀* dans chaque domaine.</w:t>
      </w:r>
    </w:p>
    <w:p>
      <w:pPr>
        <w:spacing w:before="80" w:after="80" w:line="300"/>
        <w:jc w:val="both"/>
      </w:pPr>
      <w:r>
        <w:rPr>
          <w:rFonts w:ascii="Arial" w:cs="Arial" w:eastAsia="Arial" w:hAnsi="Arial"/>
          <w:b/>
          <w:bCs/>
          <w:color w:val="1B3A5C"/>
          <w:sz w:val="22"/>
          <w:szCs w:val="22"/>
        </w:rPr>
        <w:t xml:space="preserve">Signification des p-values extrêmes : </w:t>
      </w:r>
      <w:r>
        <w:rPr>
          <w:rFonts w:ascii="Arial" w:cs="Arial" w:eastAsia="Arial" w:hAnsi="Arial"/>
          <w:color w:val="333333"/>
          <w:sz w:val="22"/>
          <w:szCs w:val="22"/>
        </w:rPr>
        <w:t xml:space="preserve">Les p-values proches de zéro reflètent la conformité du code à la théorie, pas la réalité d’un phénomène. Ce point est correctement signalé dans le document restructuré mais doit rester visible dans toute communication ultérieure.</w:t>
      </w:r>
    </w:p>
    <w:p>
      <w:pPr>
        <w:spacing w:before="80" w:after="80" w:line="300"/>
        <w:jc w:val="both"/>
      </w:pPr>
      <w:r>
        <w:rPr>
          <w:rFonts w:ascii="Arial" w:cs="Arial" w:eastAsia="Arial" w:hAnsi="Arial"/>
          <w:b/>
          <w:bCs/>
          <w:color w:val="1B3A5C"/>
          <w:sz w:val="22"/>
          <w:szCs w:val="22"/>
        </w:rPr>
        <w:t xml:space="preserve">Accès aux répertoires : </w:t>
      </w:r>
      <w:r>
        <w:rPr>
          <w:rFonts w:ascii="Arial" w:cs="Arial" w:eastAsia="Arial" w:hAnsi="Arial"/>
          <w:color w:val="333333"/>
          <w:sz w:val="22"/>
          <w:szCs w:val="22"/>
        </w:rPr>
        <w:t xml:space="preserve">Au moment de la vérification, le répertoire GitHub (dalozedidier-dot/CumulativeSymbolicThreshold) et le projet OSF (osf.io/g62pz) ne sont pas encore indexés par les moteurs de recherche. Il est recommandé de s’assurer que ces dépôts sont publics et contiennent le PREREG_TEMPLATE.md, le code source T1–T8 et les données de simulation.</w:t>
      </w:r>
    </w:p>
    <w:p>
      <w:pPr>
        <w:pStyle w:val="Heading2"/>
        <w:spacing w:before="280" w:after="160"/>
      </w:pPr>
      <w:r>
        <w:rPr>
          <w:rFonts w:ascii="Arial" w:cs="Arial" w:eastAsia="Arial" w:hAnsi="Arial"/>
          <w:b/>
          <w:bCs/>
          <w:color w:val="2E75B6"/>
          <w:sz w:val="26"/>
          <w:szCs w:val="26"/>
        </w:rPr>
        <w:t xml:space="preserve">9.3 Conclusion</w:t>
      </w:r>
    </w:p>
    <w:p>
      <w:pPr>
        <w:spacing w:before="80" w:after="80" w:line="300"/>
        <w:jc w:val="both"/>
      </w:pPr>
      <w:r>
        <w:rPr>
          <w:rFonts w:ascii="Arial" w:cs="Arial" w:eastAsia="Arial" w:hAnsi="Arial"/>
          <w:color w:val="333333"/>
          <w:sz w:val="22"/>
          <w:szCs w:val="22"/>
        </w:rPr>
        <w:t xml:space="preserve">Le cadre ORI-C satisfait les critères formels de falsifiabilité : chaque hypothèse est associée à une prédiction testable et une condition de réfutation explicite. Les tests T1–T8 forment un ensemble fermé, reproductible et verrouillé ex ante. La cohérence interne est vérifiée sur données simulées. La prochaine étape — et la seule qui puisse établir la validité du mécanisme — est l’application du protocole à des données réelles, sans modification des paramètres.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ORI-C · Version normative 1.0 · Février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2E75B6"/>
        <w:sz w:val="18"/>
        <w:szCs w:val="18"/>
      </w:rPr>
      <w:t xml:space="preserve">Protocole de falsifiabilité ORI-C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2026-02-20T10:21:17.551Z</dcterms:created>
  <dcterms:modified xsi:type="dcterms:W3CDTF">2026-02-20T10:21:17.552Z</dcterms:modified>
</cp:coreProperties>
</file>

<file path=docProps/custom.xml><?xml version="1.0" encoding="utf-8"?>
<Properties xmlns="http://schemas.openxmlformats.org/officeDocument/2006/custom-properties" xmlns:vt="http://schemas.openxmlformats.org/officeDocument/2006/docPropsVTypes"/>
</file>