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8"/>
          <w:szCs w:val="48"/>
        </w:rPr>
        <w:t xml:space="preserve">Zone de compensation et dette de viabilité</w:t>
      </w:r>
    </w:p>
    <w:p>
      <w:pPr>
        <w:spacing w:after="100"/>
        <w:jc w:val="center"/>
      </w:pPr>
      <w:r>
        <w:rPr>
          <w:i/>
          <w:iCs/>
          <w:color w:val="666666"/>
          <w:sz w:val="24"/>
          <w:szCs w:val="24"/>
        </w:rPr>
        <w:t xml:space="preserve">Une formalisation de la thermodynamique de la viabilité systémique</w:t>
      </w:r>
    </w:p>
    <w:p>
      <w:pPr>
        <w:spacing w:after="400"/>
        <w:jc w:val="center"/>
      </w:pPr>
      <w:r>
        <w:rPr>
          <w:color w:val="888888"/>
          <w:sz w:val="22"/>
          <w:szCs w:val="22"/>
        </w:rPr>
        <w:t xml:space="preserve">Didier Daloze — ORI-C Framework — 2026</w:t>
      </w:r>
    </w:p>
    <w:p>
      <w:pPr>
        <w:pStyle w:val="Heading1"/>
      </w:pPr>
      <w:r>
        <w:t xml:space="preserve">Introduction</w:t>
      </w:r>
    </w:p>
    <w:p>
      <w:pPr>
        <w:spacing w:after="200"/>
      </w:pPr>
      <w:r>
        <w:t xml:space="preserve">Un système vivant, qu'il s'agisse d'un organisme, d'une population, d'un écosystème, d'une société ou d'une civilisation, ne persiste que tant qu'il opère dans une </w:t>
      </w:r>
      <w:r>
        <w:rPr>
          <w:b/>
          <w:bCs/>
        </w:rPr>
        <w:t xml:space="preserve">fenêtre de viabilité</w:t>
      </w:r>
      <w:r>
        <w:t xml:space="preserve">. Cette fenêtre correspond à une condition simple : le taux de dissipation d'énergie, donc la production d'entropie associée au maintien de l'organisation, doit rester compensable par deux capacités complémentaires.</w:t>
      </w:r>
    </w:p>
    <w:p>
      <w:pPr>
        <w:spacing w:after="100"/>
        <w:ind w:left="720"/>
      </w:pPr>
      <w:r>
        <w:t xml:space="preserve">• La capacité à </w:t>
      </w:r>
      <w:r>
        <w:rPr>
          <w:b/>
          <w:bCs/>
        </w:rPr>
        <w:t xml:space="preserve">importer et organiser des flux de haute qualité</w:t>
      </w:r>
      <w:r>
        <w:t xml:space="preserve"> venant de l'extérieur : énergie, matière, information — autrement dit une néguentropie effectivement disponible.</w:t>
      </w:r>
    </w:p>
    <w:p>
      <w:pPr>
        <w:spacing w:after="200"/>
        <w:ind w:left="720"/>
      </w:pPr>
      <w:r>
        <w:t xml:space="preserve">• La capacité à </w:t>
      </w:r>
      <w:r>
        <w:rPr>
          <w:b/>
          <w:bCs/>
        </w:rPr>
        <w:t xml:space="preserve">régénérer ses structures</w:t>
      </w:r>
      <w:r>
        <w:t xml:space="preserve"> : réparer, renouveler, maintenir les fonctions, préserver les gradients internes qui rendent possible l'organisation.</w:t>
      </w:r>
    </w:p>
    <w:p>
      <w:pPr>
        <w:spacing w:after="200"/>
      </w:pPr>
      <w:r>
        <w:t xml:space="preserve">La dissipation n'est pas un accident marginal mais une </w:t>
      </w:r>
      <w:r>
        <w:rPr>
          <w:b/>
          <w:bCs/>
        </w:rPr>
        <w:t xml:space="preserve">propriété constitutive</w:t>
      </w:r>
      <w:r>
        <w:t xml:space="preserve">. Toute structure dissipative existe parce qu'elle canalise un flux et le dégrade. Maintenir une organisation, qu'elle soit biologique, écologique ou institutionnelle, implique un travail permanent contre la dégradation interne : métabolisme, maintenance, coordination, reproduction, renouvellement. Plus la structure est complexe, plus son coût d'entretien tend à croître.</w:t>
      </w:r>
    </w:p>
    <w:p>
      <w:pPr>
        <w:spacing w:after="300"/>
      </w:pPr>
      <w:r>
        <w:t xml:space="preserve">La régénération est ce qui empêche la dérive irréversible. Elle recouvre l'ensemble des mécanismes par lesquels un système restaure ses éléments et ses capacités : réparation cellulaire et autopoïèse, reproduction, résilience écologique, recharge des sols, reconstitution des nappes, séquestration du carbone, maintien des cycles biogéochimiques. À l'échelle sociale : apprentissage collectif, maintenance d'infrastructures, institutions capables de corriger des erreurs, et capacités d'innovation réellement non extractives.</w:t>
      </w:r>
    </w:p>
    <w:p>
      <w:pPr>
        <w:pStyle w:val="Heading1"/>
      </w:pPr>
      <w:r>
        <w:t xml:space="preserve">1. Condition de viabilité d'un système dissipatif</w:t>
      </w:r>
    </w:p>
    <w:p>
      <w:pPr>
        <w:spacing w:after="200"/>
      </w:pPr>
      <w:r>
        <w:t xml:space="preserve">On décrit un système vivant ou socio-écologiquement organisé par trois opérateurs :</w:t>
      </w:r>
    </w:p>
    <w:p>
      <w:pPr>
        <w:spacing w:after="100"/>
        <w:ind w:left="720"/>
      </w:pPr>
      <w:r>
        <w:t xml:space="preserve">• </w:t>
      </w:r>
      <w:r>
        <w:rPr>
          <w:rFonts w:ascii="Cambria Math" w:cs="Cambria Math" w:eastAsia="Cambria Math" w:hAnsi="Cambria Math"/>
          <w:b/>
          <w:bCs/>
        </w:rPr>
        <w:t xml:space="preserve">Φ</w:t>
      </w:r>
      <w:r>
        <w:rPr>
          <w:b/>
          <w:bCs/>
          <w:vertAlign w:val="subscript"/>
        </w:rPr>
        <w:t xml:space="preserve">D</w:t>
      </w:r>
      <w:r>
        <w:rPr>
          <w:b/>
          <w:bCs/>
        </w:rPr>
        <w:t xml:space="preserve">(t)</w:t>
      </w:r>
      <w:r>
        <w:t xml:space="preserve"> : flux de dissipation — entropie produite par unité de temps (production entropique interne associée au maintien de l'organisation).</w:t>
      </w:r>
    </w:p>
    <w:p>
      <w:pPr>
        <w:spacing w:after="100"/>
        <w:ind w:left="720"/>
      </w:pPr>
      <w:r>
        <w:t xml:space="preserve">• </w:t>
      </w:r>
      <w:r>
        <w:rPr>
          <w:rFonts w:ascii="Cambria Math" w:cs="Cambria Math" w:eastAsia="Cambria Math" w:hAnsi="Cambria Math"/>
          <w:b/>
          <w:bCs/>
        </w:rPr>
        <w:t xml:space="preserve">Φ</w:t>
      </w:r>
      <w:r>
        <w:rPr>
          <w:b/>
          <w:bCs/>
          <w:vertAlign w:val="subscript"/>
        </w:rPr>
        <w:t xml:space="preserve">N</w:t>
      </w:r>
      <w:r>
        <w:rPr>
          <w:b/>
          <w:bCs/>
        </w:rPr>
        <w:t xml:space="preserve">(t)</w:t>
      </w:r>
      <w:r>
        <w:t xml:space="preserve"> : flux net de néguentropie importée — énergie, matière, information de haute qualité effectivement disponible pour soutenir l'organisation.</w:t>
      </w:r>
    </w:p>
    <w:p>
      <w:pPr>
        <w:spacing w:after="200"/>
        <w:ind w:left="720"/>
      </w:pPr>
      <w:r>
        <w:t xml:space="preserve">• </w:t>
      </w:r>
      <w:r>
        <w:rPr>
          <w:rFonts w:ascii="Cambria Math" w:cs="Cambria Math" w:eastAsia="Cambria Math" w:hAnsi="Cambria Math"/>
          <w:b/>
          <w:bCs/>
        </w:rPr>
        <w:t xml:space="preserve">ℛ(t)</w:t>
      </w:r>
      <w:r>
        <w:t xml:space="preserve"> : capacité interne de régénération — réparation, renouvellement, maintien structurel.</w:t>
      </w:r>
    </w:p>
    <w:p>
      <w:pPr>
        <w:spacing w:after="150"/>
      </w:pPr>
      <w:r>
        <w:t xml:space="preserve">On peut écrire un bilan minimal de l'entropie interne « pertinente » pour l'organisation (au sens structurel, pas seulement thermique) :</w:t>
      </w:r>
    </w:p>
    <w:p>
      <w:pPr>
        <w:pBdr>
          <w:top w:val="single" w:color="CCCCCC" w:sz="1" w:space="10"/>
          <w:bottom w:val="single" w:color="CCCCCC" w:sz="1" w:space="10"/>
        </w:pBdr>
        <w:spacing w:before="200" w:after="200"/>
        <w:jc w:val="center"/>
      </w:pPr>
      <w:r>
        <w:rPr>
          <w:rFonts w:ascii="Cambria Math" w:cs="Cambria Math" w:eastAsia="Cambria Math" w:hAnsi="Cambria Math"/>
          <w:sz w:val="26"/>
          <w:szCs w:val="26"/>
        </w:rPr>
        <w:t xml:space="preserve">dS</w:t>
      </w:r>
      <w:r>
        <w:rPr>
          <w:rFonts w:ascii="Cambria Math" w:cs="Cambria Math" w:eastAsia="Cambria Math" w:hAnsi="Cambria Math"/>
          <w:sz w:val="26"/>
          <w:szCs w:val="26"/>
          <w:vertAlign w:val="subscript"/>
        </w:rPr>
        <w:t xml:space="preserve">int</w:t>
      </w:r>
      <w:r>
        <w:rPr>
          <w:rFonts w:ascii="Cambria Math" w:cs="Cambria Math" w:eastAsia="Cambria Math" w:hAnsi="Cambria Math"/>
          <w:sz w:val="26"/>
          <w:szCs w:val="26"/>
        </w:rPr>
        <w:t xml:space="preserve">/dt = Φ</w:t>
      </w:r>
      <w:r>
        <w:rPr>
          <w:rFonts w:ascii="Cambria Math" w:cs="Cambria Math" w:eastAsia="Cambria Math" w:hAnsi="Cambria Math"/>
          <w:sz w:val="26"/>
          <w:szCs w:val="26"/>
          <w:vertAlign w:val="subscript"/>
        </w:rPr>
        <w:t xml:space="preserve">D</w:t>
      </w:r>
      <w:r>
        <w:rPr>
          <w:rFonts w:ascii="Cambria Math" w:cs="Cambria Math" w:eastAsia="Cambria Math" w:hAnsi="Cambria Math"/>
          <w:sz w:val="26"/>
          <w:szCs w:val="26"/>
        </w:rPr>
        <w:t xml:space="preserve">(t) − Φ</w:t>
      </w:r>
      <w:r>
        <w:rPr>
          <w:rFonts w:ascii="Cambria Math" w:cs="Cambria Math" w:eastAsia="Cambria Math" w:hAnsi="Cambria Math"/>
          <w:sz w:val="26"/>
          <w:szCs w:val="26"/>
          <w:vertAlign w:val="subscript"/>
        </w:rPr>
        <w:t xml:space="preserve">N</w:t>
      </w:r>
      <w:r>
        <w:rPr>
          <w:rFonts w:ascii="Cambria Math" w:cs="Cambria Math" w:eastAsia="Cambria Math" w:hAnsi="Cambria Math"/>
          <w:sz w:val="26"/>
          <w:szCs w:val="26"/>
        </w:rPr>
        <w:t xml:space="preserve">(t) − ℛ(t)</w:t>
      </w:r>
    </w:p>
    <w:p>
      <w:pPr>
        <w:spacing w:after="150"/>
      </w:pPr>
      <w:r>
        <w:rPr>
          <w:b/>
          <w:bCs/>
        </w:rPr>
        <w:t xml:space="preserve">Condition de viabilité stricte</w:t>
      </w:r>
      <w:r>
        <w:t xml:space="preserve"> (au moins en moyenne sur une fenêtre de temps significative) :</w:t>
      </w:r>
    </w:p>
    <w:p>
      <w:pPr>
        <w:shd w:fill="f0f5f0"/>
        <w:spacing w:before="200" w:after="200"/>
        <w:jc w:val="center"/>
      </w:pPr>
      <w:r>
        <w:rPr>
          <w:rFonts w:ascii="Cambria Math" w:cs="Cambria Math" w:eastAsia="Cambria Math" w:hAnsi="Cambria Math"/>
          <w:b/>
          <w:bCs/>
          <w:color w:val="2a5a7a"/>
          <w:sz w:val="28"/>
          <w:szCs w:val="28"/>
        </w:rPr>
        <w:t xml:space="preserve">Φ</w:t>
      </w:r>
      <w:r>
        <w:rPr>
          <w:rFonts w:ascii="Cambria Math" w:cs="Cambria Math" w:eastAsia="Cambria Math" w:hAnsi="Cambria Math"/>
          <w:b/>
          <w:bCs/>
          <w:color w:val="2a5a7a"/>
          <w:sz w:val="28"/>
          <w:szCs w:val="28"/>
          <w:vertAlign w:val="subscript"/>
        </w:rPr>
        <w:t xml:space="preserve">N</w:t>
      </w:r>
      <w:r>
        <w:rPr>
          <w:rFonts w:ascii="Cambria Math" w:cs="Cambria Math" w:eastAsia="Cambria Math" w:hAnsi="Cambria Math"/>
          <w:b/>
          <w:bCs/>
          <w:color w:val="2a5a7a"/>
          <w:sz w:val="28"/>
          <w:szCs w:val="28"/>
        </w:rPr>
        <w:t xml:space="preserve">(t) + ℛ(t) ≥ Φ</w:t>
      </w:r>
      <w:r>
        <w:rPr>
          <w:rFonts w:ascii="Cambria Math" w:cs="Cambria Math" w:eastAsia="Cambria Math" w:hAnsi="Cambria Math"/>
          <w:b/>
          <w:bCs/>
          <w:color w:val="2a5a7a"/>
          <w:sz w:val="28"/>
          <w:szCs w:val="28"/>
          <w:vertAlign w:val="subscript"/>
        </w:rPr>
        <w:t xml:space="preserve">D</w:t>
      </w:r>
      <w:r>
        <w:rPr>
          <w:rFonts w:ascii="Cambria Math" w:cs="Cambria Math" w:eastAsia="Cambria Math" w:hAnsi="Cambria Math"/>
          <w:b/>
          <w:bCs/>
          <w:color w:val="2a5a7a"/>
          <w:sz w:val="28"/>
          <w:szCs w:val="28"/>
        </w:rPr>
        <w:t xml:space="preserve">(t)</w:t>
      </w:r>
    </w:p>
    <w:p>
      <w:pPr>
        <w:spacing w:after="300"/>
      </w:pPr>
      <w:r>
        <w:t xml:space="preserve">Dès que l'inégalité est durablement violée, on obtient dS</w:t>
      </w:r>
      <w:r>
        <w:rPr>
          <w:vertAlign w:val="subscript"/>
        </w:rPr>
        <w:t xml:space="preserve">int</w:t>
      </w:r>
      <w:r>
        <w:t xml:space="preserve">/dt &gt; 0, ce qui entraîne, par accumulation, une perte progressive de structure, une chute de résilience, puis un basculement vers un état de moindre complexité.</w:t>
      </w:r>
    </w:p>
    <w:p>
      <w:pPr>
        <w:pStyle w:val="Heading1"/>
      </w:pPr>
      <w:r>
        <w:t xml:space="preserve">2. Décomposition opératoire</w:t>
      </w:r>
    </w:p>
    <w:p>
      <w:pPr>
        <w:pStyle w:val="Heading2"/>
      </w:pPr>
      <w:r>
        <w:t xml:space="preserve">Flux de dissipation Φ</w:t>
      </w:r>
      <w:r>
        <w:rPr>
          <w:vertAlign w:val="subscript"/>
        </w:rPr>
        <w:t xml:space="preserve">D</w:t>
      </w:r>
    </w:p>
    <w:p>
      <w:pPr>
        <w:spacing w:after="80"/>
        <w:ind w:left="720"/>
      </w:pPr>
      <w:r>
        <w:t xml:space="preserve">• Maintien des gradients internes : métaboliques, organisationnels, informationnels.</w:t>
      </w:r>
    </w:p>
    <w:p>
      <w:pPr>
        <w:spacing w:after="80"/>
        <w:ind w:left="720"/>
      </w:pPr>
      <w:r>
        <w:t xml:space="preserve">• Travail contre la dégradation interne : réparation, homéostasie, coordination.</w:t>
      </w:r>
    </w:p>
    <w:p>
      <w:pPr>
        <w:spacing w:after="200"/>
        <w:ind w:left="720"/>
      </w:pPr>
      <w:r>
        <w:t xml:space="preserve">• Coût d'entretien croissant avec la complexité — plus la structure est riche, plus le coût de maintien augmente.</w:t>
      </w:r>
    </w:p>
    <w:p>
      <w:pPr>
        <w:pStyle w:val="Heading2"/>
      </w:pPr>
      <w:r>
        <w:t xml:space="preserve">Flux de néguentropie importée Φ</w:t>
      </w:r>
      <w:r>
        <w:rPr>
          <w:vertAlign w:val="subscript"/>
        </w:rPr>
        <w:t xml:space="preserve">N</w:t>
      </w:r>
    </w:p>
    <w:p>
      <w:pPr>
        <w:spacing w:after="80"/>
        <w:ind w:left="720"/>
      </w:pPr>
      <w:r>
        <w:t xml:space="preserve">• Importation d'énergie exogène de haute qualité : solaire, biomasse, combustibles, gradients exploitables.</w:t>
      </w:r>
    </w:p>
    <w:p>
      <w:pPr>
        <w:spacing w:after="80"/>
        <w:ind w:left="720"/>
      </w:pPr>
      <w:r>
        <w:t xml:space="preserve">• Importation d'information structurante : gènes, apprentissage, normes, savoirs, instruments de mesure, modèles, institutions.</w:t>
      </w:r>
    </w:p>
    <w:p>
      <w:pPr>
        <w:spacing w:after="200"/>
        <w:ind w:left="720"/>
      </w:pPr>
      <w:r>
        <w:t xml:space="preserve">• Importation de matière organisée et fonctionnelle : nutriments, sols fertiles, biodiversité, composants techniques concentrés.</w:t>
      </w:r>
    </w:p>
    <w:p>
      <w:pPr>
        <w:pStyle w:val="Heading2"/>
      </w:pPr>
      <w:r>
        <w:t xml:space="preserve">Capacité de régénération ℛ</w:t>
      </w:r>
    </w:p>
    <w:p>
      <w:pPr>
        <w:spacing w:after="80"/>
        <w:ind w:left="720"/>
      </w:pPr>
      <w:r>
        <w:t xml:space="preserve">• Autopoïèse biologique : réparation, reproduction, renouvellement.</w:t>
      </w:r>
    </w:p>
    <w:p>
      <w:pPr>
        <w:spacing w:after="80"/>
        <w:ind w:left="720"/>
      </w:pPr>
      <w:r>
        <w:t xml:space="preserve">• Régénération écosystémique : sols, nappes, cycles biogéochimiques, diversité fonctionnelle.</w:t>
      </w:r>
    </w:p>
    <w:p>
      <w:pPr>
        <w:spacing w:after="300"/>
        <w:ind w:left="720"/>
      </w:pPr>
      <w:r>
        <w:t xml:space="preserve">• Régénération institutionnelle : apprentissage collectif, correction d'erreurs, innovation non extractive, maintenance des infrastructures et du capital cognitif.</w:t>
      </w:r>
    </w:p>
    <w:p>
      <w:pPr>
        <w:pStyle w:val="Heading1"/>
      </w:pPr>
      <w:r>
        <w:t xml:space="preserve">3. Dette entropique</w:t>
      </w:r>
    </w:p>
    <w:p>
      <w:pPr>
        <w:spacing w:after="150"/>
      </w:pPr>
      <w:r>
        <w:t xml:space="preserve">Quand Φ</w:t>
      </w:r>
      <w:r>
        <w:rPr>
          <w:vertAlign w:val="subscript"/>
        </w:rPr>
        <w:t xml:space="preserve">D</w:t>
      </w:r>
      <w:r>
        <w:t xml:space="preserve"> &gt; Φ</w:t>
      </w:r>
      <w:r>
        <w:rPr>
          <w:vertAlign w:val="subscript"/>
        </w:rPr>
        <w:t xml:space="preserve">N</w:t>
      </w:r>
      <w:r>
        <w:t xml:space="preserve"> + ℛ, le système compense typiquement par trois mécanismes :</w:t>
      </w:r>
    </w:p>
    <w:p>
      <w:pPr>
        <w:spacing w:after="80"/>
        <w:ind w:left="720"/>
      </w:pPr>
      <w:r>
        <w:t xml:space="preserve">• </w:t>
      </w:r>
      <w:r>
        <w:rPr>
          <w:b/>
          <w:bCs/>
        </w:rPr>
        <w:t xml:space="preserve">Ponction des stocks internes</w:t>
      </w:r>
      <w:r>
        <w:t xml:space="preserve"> : biomasse, sols, nappes, capital naturel, capital technique, capital social.</w:t>
      </w:r>
    </w:p>
    <w:p>
      <w:pPr>
        <w:spacing w:after="80"/>
        <w:ind w:left="720"/>
      </w:pPr>
      <w:r>
        <w:t xml:space="preserve">• </w:t>
      </w:r>
      <w:r>
        <w:rPr>
          <w:b/>
          <w:bCs/>
        </w:rPr>
        <w:t xml:space="preserve">Externalisation vers l'environnement</w:t>
      </w:r>
      <w:r>
        <w:t xml:space="preserve"> : pollution, chaleur perdue, dégradation des milieux, exportation du coût.</w:t>
      </w:r>
    </w:p>
    <w:p>
      <w:pPr>
        <w:spacing w:after="200"/>
        <w:ind w:left="720"/>
      </w:pPr>
      <w:r>
        <w:t xml:space="preserve">• </w:t>
      </w:r>
      <w:r>
        <w:rPr>
          <w:b/>
          <w:bCs/>
        </w:rPr>
        <w:t xml:space="preserve">Simplification structurelle</w:t>
      </w:r>
      <w:r>
        <w:t xml:space="preserve"> : réduction de diversité, perte de redondance, désorganisation fonctionnelle.</w:t>
      </w:r>
    </w:p>
    <w:p>
      <w:pPr>
        <w:spacing w:after="150"/>
      </w:pPr>
      <w:r>
        <w:t xml:space="preserve">On peut définir une </w:t>
      </w:r>
      <w:r>
        <w:rPr>
          <w:b/>
          <w:bCs/>
        </w:rPr>
        <w:t xml:space="preserve">dette entropique cumulée</w:t>
      </w:r>
      <w:r>
        <w:t xml:space="preserve"> :</w:t>
      </w:r>
    </w:p>
    <w:p>
      <w:pPr>
        <w:pBdr>
          <w:top w:val="single" w:color="CCCCCC" w:sz="1" w:space="10"/>
          <w:bottom w:val="single" w:color="CCCCCC" w:sz="1" w:space="10"/>
        </w:pBdr>
        <w:spacing w:before="200" w:after="200"/>
        <w:jc w:val="center"/>
      </w:pPr>
      <w:r>
        <w:rPr>
          <w:rFonts w:ascii="Cambria Math" w:cs="Cambria Math" w:eastAsia="Cambria Math" w:hAnsi="Cambria Math"/>
          <w:sz w:val="26"/>
          <w:szCs w:val="26"/>
        </w:rPr>
        <w:t xml:space="preserve">ℰ(t) = ∫ max(0, Φ</w:t>
      </w:r>
      <w:r>
        <w:rPr>
          <w:rFonts w:ascii="Cambria Math" w:cs="Cambria Math" w:eastAsia="Cambria Math" w:hAnsi="Cambria Math"/>
          <w:sz w:val="26"/>
          <w:szCs w:val="26"/>
          <w:vertAlign w:val="subscript"/>
        </w:rPr>
        <w:t xml:space="preserve">D</w:t>
      </w:r>
      <w:r>
        <w:rPr>
          <w:rFonts w:ascii="Cambria Math" w:cs="Cambria Math" w:eastAsia="Cambria Math" w:hAnsi="Cambria Math"/>
          <w:sz w:val="26"/>
          <w:szCs w:val="26"/>
        </w:rPr>
        <w:t xml:space="preserve">(τ) − Φ</w:t>
      </w:r>
      <w:r>
        <w:rPr>
          <w:rFonts w:ascii="Cambria Math" w:cs="Cambria Math" w:eastAsia="Cambria Math" w:hAnsi="Cambria Math"/>
          <w:sz w:val="26"/>
          <w:szCs w:val="26"/>
          <w:vertAlign w:val="subscript"/>
        </w:rPr>
        <w:t xml:space="preserve">N</w:t>
      </w:r>
      <w:r>
        <w:rPr>
          <w:rFonts w:ascii="Cambria Math" w:cs="Cambria Math" w:eastAsia="Cambria Math" w:hAnsi="Cambria Math"/>
          <w:sz w:val="26"/>
          <w:szCs w:val="26"/>
        </w:rPr>
        <w:t xml:space="preserve">(τ) − ℛ(τ)) dτ</w:t>
      </w:r>
    </w:p>
    <w:p>
      <w:pPr>
        <w:spacing w:after="150"/>
      </w:pPr>
      <w:r>
        <w:rPr>
          <w:b/>
          <w:bCs/>
        </w:rPr>
        <w:t xml:space="preserve">Interprétation</w:t>
      </w:r>
      <w:r>
        <w:t xml:space="preserve"> : ℰ(t) mesure l'écart cumulé entre dissipation et capacités de compensation, donc une forme de dégradation structurelle accumulée.</w:t>
      </w:r>
    </w:p>
    <w:p>
      <w:pPr>
        <w:spacing w:after="100"/>
      </w:pPr>
      <w:r>
        <w:rPr>
          <w:b/>
          <w:bCs/>
        </w:rPr>
        <w:t xml:space="preserve">Manifestations typiques :</w:t>
      </w:r>
    </w:p>
    <w:p>
      <w:pPr>
        <w:spacing w:after="80"/>
        <w:ind w:left="720"/>
      </w:pPr>
      <w:r>
        <w:t xml:space="preserve">• Dégradation irréversible de sols et perte de matière organique</w:t>
      </w:r>
    </w:p>
    <w:p>
      <w:pPr>
        <w:spacing w:after="80"/>
        <w:ind w:left="720"/>
      </w:pPr>
      <w:r>
        <w:t xml:space="preserve">• Baisse de biodiversité fonctionnelle</w:t>
      </w:r>
    </w:p>
    <w:p>
      <w:pPr>
        <w:spacing w:after="80"/>
        <w:ind w:left="720"/>
      </w:pPr>
      <w:r>
        <w:t xml:space="preserve">• Épuisement de ressources renouvelables au-delà de leur vitesse de régénération</w:t>
      </w:r>
    </w:p>
    <w:p>
      <w:pPr>
        <w:spacing w:after="80"/>
        <w:ind w:left="720"/>
      </w:pPr>
      <w:r>
        <w:t xml:space="preserve">• Accumulation de perturbateurs biogéochimiques et dérèglement de cycles</w:t>
      </w:r>
    </w:p>
    <w:p>
      <w:pPr>
        <w:spacing w:after="300"/>
        <w:ind w:left="720"/>
      </w:pPr>
      <w:r>
        <w:t xml:space="preserve">• Chute de résilience, augmentation de la variance et des temps de retour après choc</w:t>
      </w:r>
    </w:p>
    <w:p>
      <w:pPr>
        <w:pStyle w:val="Heading1"/>
      </w:pPr>
      <w:r>
        <w:t xml:space="preserve">4. Seuils de rupture et basculements</w:t>
      </w:r>
    </w:p>
    <w:p>
      <w:pPr>
        <w:spacing w:after="150"/>
      </w:pPr>
      <w:r>
        <w:t xml:space="preserve">Lorsque la dette ℰ(t) dépasse un seuil critique ℰ</w:t>
      </w:r>
      <w:r>
        <w:rPr>
          <w:vertAlign w:val="subscript"/>
        </w:rPr>
        <w:t xml:space="preserve">c</w:t>
      </w:r>
      <w:r>
        <w:t xml:space="preserve"> dépendant de l'architecture du système, on observe classiquement :</w:t>
      </w:r>
    </w:p>
    <w:p>
      <w:pPr>
        <w:spacing w:after="80"/>
        <w:ind w:left="720"/>
      </w:pPr>
      <w:r>
        <w:t xml:space="preserve">1. Perte de la capacité à maintenir les gradients internes</w:t>
      </w:r>
    </w:p>
    <w:p>
      <w:pPr>
        <w:spacing w:after="80"/>
        <w:ind w:left="720"/>
      </w:pPr>
      <w:r>
        <w:t xml:space="preserve">2. Transition vers un régime de moindre complexité</w:t>
      </w:r>
    </w:p>
    <w:p>
      <w:pPr>
        <w:spacing w:after="200"/>
        <w:ind w:left="720"/>
      </w:pPr>
      <w:r>
        <w:t xml:space="preserve">3. Stabilisation dans un attracteur plus simple</w:t>
      </w:r>
    </w:p>
    <w:p>
      <w:pPr>
        <w:spacing w:after="300"/>
      </w:pPr>
      <w:r>
        <w:t xml:space="preserve">C'est une </w:t>
      </w:r>
      <w:r>
        <w:rPr>
          <w:b/>
          <w:bCs/>
        </w:rPr>
        <w:t xml:space="preserve">dynamique de transition de phase</w:t>
      </w:r>
      <w:r>
        <w:t xml:space="preserve"> au sens des systèmes non linéaires, pas un jugement moral. Les attracteurs plus simples peuvent correspondre à des états comme : désertification, savanisation, effondrement fonctionnel d'institutions, ou rétraction durable des réseaux de coopération.</w:t>
      </w:r>
    </w:p>
    <w:p>
      <w:pPr>
        <w:pStyle w:val="Heading1"/>
      </w:pPr>
      <w:r>
        <w:t xml:space="preserve">5. Applications multi-échelles</w:t>
      </w:r>
    </w:p>
    <w:p>
      <w:pPr>
        <w:pStyle w:val="Heading2"/>
      </w:pPr>
      <w:r>
        <w:t xml:space="preserve">Individu</w:t>
      </w:r>
    </w:p>
    <w:p>
      <w:pPr>
        <w:spacing w:after="200"/>
      </w:pPr>
      <w:r>
        <w:t xml:space="preserve">Φ</w:t>
      </w:r>
      <w:r>
        <w:rPr>
          <w:vertAlign w:val="subscript"/>
        </w:rPr>
        <w:t xml:space="preserve">D</w:t>
      </w:r>
      <w:r>
        <w:t xml:space="preserve"> &gt; Φ</w:t>
      </w:r>
      <w:r>
        <w:rPr>
          <w:vertAlign w:val="subscript"/>
        </w:rPr>
        <w:t xml:space="preserve">N</w:t>
      </w:r>
      <w:r>
        <w:t xml:space="preserve"> + ℛ  ⟹  dette métabolique  ⟹  stress oxydatif, inflammation, sénescence accélérée</w:t>
      </w:r>
    </w:p>
    <w:p>
      <w:pPr>
        <w:pStyle w:val="Heading2"/>
      </w:pPr>
      <w:r>
        <w:t xml:space="preserve">Écosystèmes</w:t>
      </w:r>
    </w:p>
    <w:p>
      <w:pPr>
        <w:spacing w:after="200"/>
      </w:pPr>
      <w:r>
        <w:t xml:space="preserve">extraction &gt; production primaire nette soutenable  ⟹  dette de carbone organique  ⟹  perte de fertilité et bascule de régime</w:t>
      </w:r>
    </w:p>
    <w:p>
      <w:pPr>
        <w:pStyle w:val="Heading2"/>
      </w:pPr>
      <w:r>
        <w:t xml:space="preserve">Système industriel</w:t>
      </w:r>
    </w:p>
    <w:p>
      <w:pPr>
        <w:spacing w:after="300"/>
      </w:pPr>
      <w:r>
        <w:t xml:space="preserve">Lecture biophysique possible : si une économie augmente Φ</w:t>
      </w:r>
      <w:r>
        <w:rPr>
          <w:vertAlign w:val="subscript"/>
        </w:rPr>
        <w:t xml:space="preserve">D</w:t>
      </w:r>
      <w:r>
        <w:t xml:space="preserve"> plus vite qu'elle n'augmente Φ</w:t>
      </w:r>
      <w:r>
        <w:rPr>
          <w:vertAlign w:val="subscript"/>
        </w:rPr>
        <w:t xml:space="preserve">N</w:t>
      </w:r>
      <w:r>
        <w:t xml:space="preserve"> soutenable et ℛ réelle, elle augmente ℰ(t). Le diagnostic dépend alors d'indicateurs empiriques : empreinte matière, énergie nette, biodiversité, cycles biogéochimiques, stabilité climatique, et de la part non renouvelable des flux importés.</w:t>
      </w:r>
    </w:p>
    <w:p>
      <w:pPr>
        <w:pStyle w:val="Heading1"/>
      </w:pPr>
      <w:r>
        <w:t xml:space="preserve">6. Synthèse canonique</w:t>
      </w:r>
    </w:p>
    <w:p>
      <w:pPr>
        <w:spacing w:after="150"/>
      </w:pPr>
      <w:r>
        <w:t xml:space="preserve">Un système vivant ou civilisationnel reste viable tant que, sur la durée :</w:t>
      </w:r>
    </w:p>
    <w:p>
      <w:pPr>
        <w:shd w:fill="e8f4e8"/>
        <w:spacing w:before="250" w:after="250"/>
        <w:jc w:val="center"/>
      </w:pPr>
      <w:r>
        <w:rPr>
          <w:rFonts w:ascii="Cambria Math" w:cs="Cambria Math" w:eastAsia="Cambria Math" w:hAnsi="Cambria Math"/>
          <w:b/>
          <w:bCs/>
          <w:color w:val="2a5a7a"/>
          <w:sz w:val="32"/>
          <w:szCs w:val="32"/>
        </w:rPr>
        <w:t xml:space="preserve">Φ</w:t>
      </w:r>
      <w:r>
        <w:rPr>
          <w:rFonts w:ascii="Cambria Math" w:cs="Cambria Math" w:eastAsia="Cambria Math" w:hAnsi="Cambria Math"/>
          <w:b/>
          <w:bCs/>
          <w:color w:val="2a5a7a"/>
          <w:sz w:val="32"/>
          <w:szCs w:val="32"/>
          <w:vertAlign w:val="subscript"/>
        </w:rPr>
        <w:t xml:space="preserve">N</w:t>
      </w:r>
      <w:r>
        <w:rPr>
          <w:rFonts w:ascii="Cambria Math" w:cs="Cambria Math" w:eastAsia="Cambria Math" w:hAnsi="Cambria Math"/>
          <w:b/>
          <w:bCs/>
          <w:color w:val="2a5a7a"/>
          <w:sz w:val="32"/>
          <w:szCs w:val="32"/>
        </w:rPr>
        <w:t xml:space="preserve">(t) + ℛ(t) ≥ Φ</w:t>
      </w:r>
      <w:r>
        <w:rPr>
          <w:rFonts w:ascii="Cambria Math" w:cs="Cambria Math" w:eastAsia="Cambria Math" w:hAnsi="Cambria Math"/>
          <w:b/>
          <w:bCs/>
          <w:color w:val="2a5a7a"/>
          <w:sz w:val="32"/>
          <w:szCs w:val="32"/>
          <w:vertAlign w:val="subscript"/>
        </w:rPr>
        <w:t xml:space="preserve">D</w:t>
      </w:r>
      <w:r>
        <w:rPr>
          <w:rFonts w:ascii="Cambria Math" w:cs="Cambria Math" w:eastAsia="Cambria Math" w:hAnsi="Cambria Math"/>
          <w:b/>
          <w:bCs/>
          <w:color w:val="2a5a7a"/>
          <w:sz w:val="32"/>
          <w:szCs w:val="32"/>
        </w:rPr>
        <w:t xml:space="preserve">(t)</w:t>
      </w:r>
    </w:p>
    <w:p>
      <w:pPr>
        <w:spacing w:after="400"/>
      </w:pPr>
      <w:r>
        <w:t xml:space="preserve">Si cette contrainte est violée de manière prolongée, la dette entropique ℰ(t) croît, la structure se dégrade, la résilience chute, et le système bascule vers un état de moindre complexité. Une croissance indéfinie dans un système fini rencontre mécaniquement ce plafond, sauf à transformer radicalement la structure des flux importés, la qualité de la régénération, et l'organisation elle-même.</w:t>
      </w:r>
    </w:p>
    <w:p>
      <w:pPr>
        <w:pBdr>
          <w:top w:val="single" w:color="CCCCCC" w:sz="1" w:space="10"/>
        </w:pBdr>
        <w:spacing w:before="400"/>
      </w:pPr>
      <w:r>
        <w:rPr>
          <w:i/>
          <w:iCs/>
          <w:color w:val="666666"/>
          <w:sz w:val="20"/>
          <w:szCs w:val="20"/>
        </w:rPr>
        <w:t xml:space="preserve">Ce document fait partie du cadre ORI-C (Observation, Régulation, Intégration — Cohérence) développé par Didier Daloze. Il s'inscrit dans la continuité des travaux sur les structures dissipatives (Prigogine), la thermodynamique du vivant (Schneider et Kay), et l'écologie énergétique (Odum).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Calibri" w:cs="Calibri" w:eastAsia="Calibri" w:hAnsi="Calibri"/>
      <w:b/>
      <w:bCs/>
      <w:color w:val="2a5a7a"/>
      <w:sz w:val="32"/>
      <w:szCs w:val="32"/>
    </w:rPr>
  </w:style>
  <w:style w:type="paragraph" w:styleId="Heading2">
    <w:name w:val="Heading 2"/>
    <w:basedOn w:val="Normal"/>
    <w:next w:val="Normal"/>
    <w:qFormat/>
    <w:pPr>
      <w:spacing w:before="300" w:after="150"/>
    </w:pPr>
    <w:rPr>
      <w:rFonts w:ascii="Calibri" w:cs="Calibri" w:eastAsia="Calibri" w:hAnsi="Calibri"/>
      <w:b/>
      <w:bCs/>
      <w:color w:val="3d5a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2026-02-26T18:06:01.048Z</dcterms:created>
  <dcterms:modified xsi:type="dcterms:W3CDTF">2026-02-26T18:06:01.049Z</dcterms:modified>
</cp:coreProperties>
</file>

<file path=docProps/custom.xml><?xml version="1.0" encoding="utf-8"?>
<Properties xmlns="http://schemas.openxmlformats.org/officeDocument/2006/custom-properties" xmlns:vt="http://schemas.openxmlformats.org/officeDocument/2006/docPropsVTypes"/>
</file>