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48"/>
          <w:szCs w:val="48"/>
        </w:rPr>
        <w:t xml:space="preserve">Compensation Zone and Viability Debt</w:t>
      </w:r>
    </w:p>
    <w:p>
      <w:pPr>
        <w:spacing w:after="100"/>
        <w:jc w:val="center"/>
      </w:pPr>
      <w:r>
        <w:rPr>
          <w:i/>
          <w:iCs/>
          <w:color w:val="666666"/>
          <w:sz w:val="24"/>
          <w:szCs w:val="24"/>
        </w:rPr>
        <w:t xml:space="preserve">A formalization of systemic viability thermodynamics</w:t>
      </w:r>
    </w:p>
    <w:p>
      <w:pPr>
        <w:spacing w:after="400"/>
        <w:jc w:val="center"/>
      </w:pPr>
      <w:r>
        <w:rPr>
          <w:color w:val="888888"/>
          <w:sz w:val="22"/>
          <w:szCs w:val="22"/>
        </w:rPr>
        <w:t xml:space="preserve">Didier Daloze — ORI-C Framework — 2026</w:t>
      </w:r>
    </w:p>
    <w:p>
      <w:pPr>
        <w:pStyle w:val="Heading1"/>
      </w:pPr>
      <w:r>
        <w:t xml:space="preserve">Introduction</w:t>
      </w:r>
    </w:p>
    <w:p>
      <w:pPr>
        <w:spacing w:after="200"/>
      </w:pPr>
      <w:r>
        <w:t xml:space="preserve">A living system, whether an organism, a population, an ecosystem, a society, or a civilization, only persists as long as it operates within a </w:t>
      </w:r>
      <w:r>
        <w:rPr>
          <w:b/>
          <w:bCs/>
        </w:rPr>
        <w:t xml:space="preserve">viability window</w:t>
      </w:r>
      <w:r>
        <w:t xml:space="preserve">. This window corresponds to a simple condition: the rate of energy dissipation, and thus the entropy production associated with maintaining organization, must remain compensable by two complementary capacities.</w:t>
      </w:r>
    </w:p>
    <w:p>
      <w:pPr>
        <w:spacing w:after="100"/>
        <w:ind w:left="720"/>
      </w:pPr>
      <w:r>
        <w:t xml:space="preserve">• The capacity to </w:t>
      </w:r>
      <w:r>
        <w:rPr>
          <w:b/>
          <w:bCs/>
        </w:rPr>
        <w:t xml:space="preserve">import and organize high-quality flows</w:t>
      </w:r>
      <w:r>
        <w:t xml:space="preserve"> from the outside: energy, matter, information — in other words, effectively available negentropy.</w:t>
      </w:r>
    </w:p>
    <w:p>
      <w:pPr>
        <w:spacing w:after="200"/>
        <w:ind w:left="720"/>
      </w:pPr>
      <w:r>
        <w:t xml:space="preserve">• The capacity to </w:t>
      </w:r>
      <w:r>
        <w:rPr>
          <w:b/>
          <w:bCs/>
        </w:rPr>
        <w:t xml:space="preserve">regenerate its structures</w:t>
      </w:r>
      <w:r>
        <w:t xml:space="preserve">: repair, renew, maintain functions, preserve the internal gradients that make organization possible.</w:t>
      </w:r>
    </w:p>
    <w:p>
      <w:pPr>
        <w:spacing w:after="200"/>
      </w:pPr>
      <w:r>
        <w:t xml:space="preserve">Dissipation is not a marginal accident but a </w:t>
      </w:r>
      <w:r>
        <w:rPr>
          <w:b/>
          <w:bCs/>
        </w:rPr>
        <w:t xml:space="preserve">constitutive property</w:t>
      </w:r>
      <w:r>
        <w:t xml:space="preserve">. Every dissipative structure exists because it channels a flow and degrades it. Maintaining an organization, whether biological, ecological, or institutional, implies permanent work against internal degradation: metabolism, maintenance, coordination, reproduction, renewal. The more complex the structure, the more its maintenance cost tends to increase.</w:t>
      </w:r>
    </w:p>
    <w:p>
      <w:pPr>
        <w:spacing w:after="300"/>
      </w:pPr>
      <w:r>
        <w:t xml:space="preserve">Regeneration is what prevents irreversible drift. It encompasses all mechanisms by which a system restores its elements and capacities: cellular repair and autopoiesis, reproduction, ecological resilience, soil recharge, aquifer reconstitution, carbon sequestration, maintenance of biogeochemical cycles. At the social scale: collective learning, infrastructure maintenance, institutions capable of correcting errors, and genuinely non-extractive innovation capacities.</w:t>
      </w:r>
    </w:p>
    <w:p>
      <w:pPr>
        <w:pStyle w:val="Heading1"/>
      </w:pPr>
      <w:r>
        <w:t xml:space="preserve">1. Viability Condition for a Dissipative System</w:t>
      </w:r>
    </w:p>
    <w:p>
      <w:pPr>
        <w:spacing w:after="200"/>
      </w:pPr>
      <w:r>
        <w:t xml:space="preserve">A living or socio-ecologically organized system is described by three operators:</w:t>
      </w:r>
    </w:p>
    <w:p>
      <w:pPr>
        <w:spacing w:after="100"/>
        <w:ind w:left="720"/>
      </w:pPr>
      <w:r>
        <w:t xml:space="preserve">• </w:t>
      </w:r>
      <w:r>
        <w:rPr>
          <w:rFonts w:ascii="Cambria Math" w:cs="Cambria Math" w:eastAsia="Cambria Math" w:hAnsi="Cambria Math"/>
          <w:b/>
          <w:bCs/>
        </w:rPr>
        <w:t xml:space="preserve">Φ</w:t>
      </w:r>
      <w:r>
        <w:rPr>
          <w:b/>
          <w:bCs/>
          <w:vertAlign w:val="subscript"/>
        </w:rPr>
        <w:t xml:space="preserve">D</w:t>
      </w:r>
      <w:r>
        <w:rPr>
          <w:b/>
          <w:bCs/>
        </w:rPr>
        <w:t xml:space="preserve">(t)</w:t>
      </w:r>
      <w:r>
        <w:t xml:space="preserve">: dissipation flux — entropy produced per unit time (internal entropic production associated with maintaining organization).</w:t>
      </w:r>
    </w:p>
    <w:p>
      <w:pPr>
        <w:spacing w:after="100"/>
        <w:ind w:left="720"/>
      </w:pPr>
      <w:r>
        <w:t xml:space="preserve">• </w:t>
      </w:r>
      <w:r>
        <w:rPr>
          <w:rFonts w:ascii="Cambria Math" w:cs="Cambria Math" w:eastAsia="Cambria Math" w:hAnsi="Cambria Math"/>
          <w:b/>
          <w:bCs/>
        </w:rPr>
        <w:t xml:space="preserve">Φ</w:t>
      </w:r>
      <w:r>
        <w:rPr>
          <w:b/>
          <w:bCs/>
          <w:vertAlign w:val="subscript"/>
        </w:rPr>
        <w:t xml:space="preserve">N</w:t>
      </w:r>
      <w:r>
        <w:rPr>
          <w:b/>
          <w:bCs/>
        </w:rPr>
        <w:t xml:space="preserve">(t)</w:t>
      </w:r>
      <w:r>
        <w:t xml:space="preserve">: net imported negentropy flux — high-quality energy, matter, information effectively available to support organization.</w:t>
      </w:r>
    </w:p>
    <w:p>
      <w:pPr>
        <w:spacing w:after="200"/>
        <w:ind w:left="720"/>
      </w:pPr>
      <w:r>
        <w:t xml:space="preserve">• </w:t>
      </w:r>
      <w:r>
        <w:rPr>
          <w:rFonts w:ascii="Cambria Math" w:cs="Cambria Math" w:eastAsia="Cambria Math" w:hAnsi="Cambria Math"/>
          <w:b/>
          <w:bCs/>
        </w:rPr>
        <w:t xml:space="preserve">ℛ(t)</w:t>
      </w:r>
      <w:r>
        <w:t xml:space="preserve">: internal regeneration capacity — repair, renewal, structural maintenance.</w:t>
      </w:r>
    </w:p>
    <w:p>
      <w:pPr>
        <w:spacing w:after="150"/>
      </w:pPr>
      <w:r>
        <w:t xml:space="preserve">We can write a minimal balance of internal entropy "relevant" to organization (in the structural sense, not just thermal):</w:t>
      </w:r>
    </w:p>
    <w:p>
      <w:pPr>
        <w:pBdr>
          <w:top w:val="single" w:color="CCCCCC" w:sz="1" w:space="10"/>
          <w:bottom w:val="single" w:color="CCCCCC" w:sz="1" w:space="10"/>
        </w:pBdr>
        <w:spacing w:before="200" w:after="20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dS</w:t>
      </w:r>
      <w:r>
        <w:rPr>
          <w:rFonts w:ascii="Cambria Math" w:cs="Cambria Math" w:eastAsia="Cambria Math" w:hAnsi="Cambria Math"/>
          <w:sz w:val="26"/>
          <w:szCs w:val="26"/>
          <w:vertAlign w:val="subscript"/>
        </w:rPr>
        <w:t xml:space="preserve">int</w:t>
      </w:r>
      <w:r>
        <w:rPr>
          <w:rFonts w:ascii="Cambria Math" w:cs="Cambria Math" w:eastAsia="Cambria Math" w:hAnsi="Cambria Math"/>
          <w:sz w:val="26"/>
          <w:szCs w:val="26"/>
        </w:rPr>
        <w:t xml:space="preserve">/dt = Φ</w:t>
      </w:r>
      <w:r>
        <w:rPr>
          <w:rFonts w:ascii="Cambria Math" w:cs="Cambria Math" w:eastAsia="Cambria Math" w:hAnsi="Cambria Math"/>
          <w:sz w:val="26"/>
          <w:szCs w:val="26"/>
          <w:vertAlign w:val="subscript"/>
        </w:rPr>
        <w:t xml:space="preserve">D</w:t>
      </w:r>
      <w:r>
        <w:rPr>
          <w:rFonts w:ascii="Cambria Math" w:cs="Cambria Math" w:eastAsia="Cambria Math" w:hAnsi="Cambria Math"/>
          <w:sz w:val="26"/>
          <w:szCs w:val="26"/>
        </w:rPr>
        <w:t xml:space="preserve">(t) − Φ</w:t>
      </w:r>
      <w:r>
        <w:rPr>
          <w:rFonts w:ascii="Cambria Math" w:cs="Cambria Math" w:eastAsia="Cambria Math" w:hAnsi="Cambria Math"/>
          <w:sz w:val="26"/>
          <w:szCs w:val="26"/>
          <w:vertAlign w:val="subscript"/>
        </w:rPr>
        <w:t xml:space="preserve">N</w:t>
      </w:r>
      <w:r>
        <w:rPr>
          <w:rFonts w:ascii="Cambria Math" w:cs="Cambria Math" w:eastAsia="Cambria Math" w:hAnsi="Cambria Math"/>
          <w:sz w:val="26"/>
          <w:szCs w:val="26"/>
        </w:rPr>
        <w:t xml:space="preserve">(t) − ℛ(t)</w:t>
      </w:r>
    </w:p>
    <w:p>
      <w:pPr>
        <w:spacing w:after="150"/>
      </w:pPr>
      <w:r>
        <w:rPr>
          <w:b/>
          <w:bCs/>
        </w:rPr>
        <w:t xml:space="preserve">Strict viability condition</w:t>
      </w:r>
      <w:r>
        <w:t xml:space="preserve"> (at least on average over a significant time window):</w:t>
      </w:r>
    </w:p>
    <w:p>
      <w:pPr>
        <w:shd w:fill="f0f5f0"/>
        <w:spacing w:before="200" w:after="200"/>
        <w:jc w:val="center"/>
      </w:pPr>
      <w:r>
        <w:rPr>
          <w:rFonts w:ascii="Cambria Math" w:cs="Cambria Math" w:eastAsia="Cambria Math" w:hAnsi="Cambria Math"/>
          <w:b/>
          <w:bCs/>
          <w:color w:val="2a5a7a"/>
          <w:sz w:val="28"/>
          <w:szCs w:val="28"/>
        </w:rPr>
        <w:t xml:space="preserve">Φ</w:t>
      </w:r>
      <w:r>
        <w:rPr>
          <w:rFonts w:ascii="Cambria Math" w:cs="Cambria Math" w:eastAsia="Cambria Math" w:hAnsi="Cambria Math"/>
          <w:b/>
          <w:bCs/>
          <w:color w:val="2a5a7a"/>
          <w:sz w:val="28"/>
          <w:szCs w:val="28"/>
          <w:vertAlign w:val="subscript"/>
        </w:rPr>
        <w:t xml:space="preserve">N</w:t>
      </w:r>
      <w:r>
        <w:rPr>
          <w:rFonts w:ascii="Cambria Math" w:cs="Cambria Math" w:eastAsia="Cambria Math" w:hAnsi="Cambria Math"/>
          <w:b/>
          <w:bCs/>
          <w:color w:val="2a5a7a"/>
          <w:sz w:val="28"/>
          <w:szCs w:val="28"/>
        </w:rPr>
        <w:t xml:space="preserve">(t) + ℛ(t) ≥ Φ</w:t>
      </w:r>
      <w:r>
        <w:rPr>
          <w:rFonts w:ascii="Cambria Math" w:cs="Cambria Math" w:eastAsia="Cambria Math" w:hAnsi="Cambria Math"/>
          <w:b/>
          <w:bCs/>
          <w:color w:val="2a5a7a"/>
          <w:sz w:val="28"/>
          <w:szCs w:val="28"/>
          <w:vertAlign w:val="subscript"/>
        </w:rPr>
        <w:t xml:space="preserve">D</w:t>
      </w:r>
      <w:r>
        <w:rPr>
          <w:rFonts w:ascii="Cambria Math" w:cs="Cambria Math" w:eastAsia="Cambria Math" w:hAnsi="Cambria Math"/>
          <w:b/>
          <w:bCs/>
          <w:color w:val="2a5a7a"/>
          <w:sz w:val="28"/>
          <w:szCs w:val="28"/>
        </w:rPr>
        <w:t xml:space="preserve">(t)</w:t>
      </w:r>
    </w:p>
    <w:p>
      <w:pPr>
        <w:spacing w:after="300"/>
      </w:pPr>
      <w:r>
        <w:t xml:space="preserve">As soon as the inequality is durably violated, we get dS</w:t>
      </w:r>
      <w:r>
        <w:rPr>
          <w:vertAlign w:val="subscript"/>
        </w:rPr>
        <w:t xml:space="preserve">int</w:t>
      </w:r>
      <w:r>
        <w:t xml:space="preserve">/dt &gt; 0, which leads, through accumulation, to progressive loss of structure, resilience collapse, then a shift toward a state of lesser complexity.</w:t>
      </w:r>
    </w:p>
    <w:p>
      <w:pPr>
        <w:pStyle w:val="Heading1"/>
      </w:pPr>
      <w:r>
        <w:t xml:space="preserve">2. Operative Decomposition</w:t>
      </w:r>
    </w:p>
    <w:p>
      <w:pPr>
        <w:pStyle w:val="Heading2"/>
      </w:pPr>
      <w:r>
        <w:t xml:space="preserve">Dissipation Flux Φ</w:t>
      </w:r>
      <w:r>
        <w:rPr>
          <w:vertAlign w:val="subscript"/>
        </w:rPr>
        <w:t xml:space="preserve">D</w:t>
      </w:r>
    </w:p>
    <w:p>
      <w:pPr>
        <w:spacing w:after="80"/>
        <w:ind w:left="720"/>
      </w:pPr>
      <w:r>
        <w:t xml:space="preserve">• Maintenance of internal gradients: metabolic, organizational, informational.</w:t>
      </w:r>
    </w:p>
    <w:p>
      <w:pPr>
        <w:spacing w:after="80"/>
        <w:ind w:left="720"/>
      </w:pPr>
      <w:r>
        <w:t xml:space="preserve">• Work against internal degradation: repair, homeostasis, coordination.</w:t>
      </w:r>
    </w:p>
    <w:p>
      <w:pPr>
        <w:spacing w:after="200"/>
        <w:ind w:left="720"/>
      </w:pPr>
      <w:r>
        <w:t xml:space="preserve">• Maintenance cost increasing with complexity — the richer the structure, the higher the maintenance cost.</w:t>
      </w:r>
    </w:p>
    <w:p>
      <w:pPr>
        <w:pStyle w:val="Heading2"/>
      </w:pPr>
      <w:r>
        <w:t xml:space="preserve">Imported Negentropy Flux Φ</w:t>
      </w:r>
      <w:r>
        <w:rPr>
          <w:vertAlign w:val="subscript"/>
        </w:rPr>
        <w:t xml:space="preserve">N</w:t>
      </w:r>
    </w:p>
    <w:p>
      <w:pPr>
        <w:spacing w:after="80"/>
        <w:ind w:left="720"/>
      </w:pPr>
      <w:r>
        <w:t xml:space="preserve">• Import of high-quality exogenous energy: solar, biomass, fuels, exploitable gradients.</w:t>
      </w:r>
    </w:p>
    <w:p>
      <w:pPr>
        <w:spacing w:after="80"/>
        <w:ind w:left="720"/>
      </w:pPr>
      <w:r>
        <w:t xml:space="preserve">• Import of structuring information: genes, learning, norms, knowledge, measurement instruments, models, institutions.</w:t>
      </w:r>
    </w:p>
    <w:p>
      <w:pPr>
        <w:spacing w:after="200"/>
        <w:ind w:left="720"/>
      </w:pPr>
      <w:r>
        <w:t xml:space="preserve">• Import of organized and functional matter: nutrients, fertile soils, biodiversity, concentrated technical components.</w:t>
      </w:r>
    </w:p>
    <w:p>
      <w:pPr>
        <w:pStyle w:val="Heading2"/>
      </w:pPr>
      <w:r>
        <w:t xml:space="preserve">Regeneration Capacity ℛ</w:t>
      </w:r>
    </w:p>
    <w:p>
      <w:pPr>
        <w:spacing w:after="80"/>
        <w:ind w:left="720"/>
      </w:pPr>
      <w:r>
        <w:t xml:space="preserve">• Biological autopoiesis: repair, reproduction, renewal.</w:t>
      </w:r>
    </w:p>
    <w:p>
      <w:pPr>
        <w:spacing w:after="80"/>
        <w:ind w:left="720"/>
      </w:pPr>
      <w:r>
        <w:t xml:space="preserve">• Ecosystem regeneration: soils, aquifers, biogeochemical cycles, functional diversity.</w:t>
      </w:r>
    </w:p>
    <w:p>
      <w:pPr>
        <w:spacing w:after="300"/>
        <w:ind w:left="720"/>
      </w:pPr>
      <w:r>
        <w:t xml:space="preserve">• Institutional regeneration: collective learning, error correction, non-extractive innovation, infrastructure and cognitive capital maintenance.</w:t>
      </w:r>
    </w:p>
    <w:p>
      <w:pPr>
        <w:pStyle w:val="Heading1"/>
      </w:pPr>
      <w:r>
        <w:t xml:space="preserve">3. Entropic Debt</w:t>
      </w:r>
    </w:p>
    <w:p>
      <w:pPr>
        <w:spacing w:after="150"/>
      </w:pPr>
      <w:r>
        <w:t xml:space="preserve">When Φ</w:t>
      </w:r>
      <w:r>
        <w:rPr>
          <w:vertAlign w:val="subscript"/>
        </w:rPr>
        <w:t xml:space="preserve">D</w:t>
      </w:r>
      <w:r>
        <w:t xml:space="preserve"> &gt; Φ</w:t>
      </w:r>
      <w:r>
        <w:rPr>
          <w:vertAlign w:val="subscript"/>
        </w:rPr>
        <w:t xml:space="preserve">N</w:t>
      </w:r>
      <w:r>
        <w:t xml:space="preserve"> + ℛ, the system typically compensates through three mechanisms:</w:t>
      </w:r>
    </w:p>
    <w:p>
      <w:pPr>
        <w:spacing w:after="80"/>
        <w:ind w:left="720"/>
      </w:pPr>
      <w:r>
        <w:t xml:space="preserve">• </w:t>
      </w:r>
      <w:r>
        <w:rPr>
          <w:b/>
          <w:bCs/>
        </w:rPr>
        <w:t xml:space="preserve">Drawing on internal stocks</w:t>
      </w:r>
      <w:r>
        <w:t xml:space="preserve">: biomass, soils, aquifers, natural capital, technical capital, social capital.</w:t>
      </w:r>
    </w:p>
    <w:p>
      <w:pPr>
        <w:spacing w:after="80"/>
        <w:ind w:left="720"/>
      </w:pPr>
      <w:r>
        <w:t xml:space="preserve">• </w:t>
      </w:r>
      <w:r>
        <w:rPr>
          <w:b/>
          <w:bCs/>
        </w:rPr>
        <w:t xml:space="preserve">Externalization to the environment</w:t>
      </w:r>
      <w:r>
        <w:t xml:space="preserve">: pollution, waste heat, environmental degradation, cost export.</w:t>
      </w:r>
    </w:p>
    <w:p>
      <w:pPr>
        <w:spacing w:after="200"/>
        <w:ind w:left="720"/>
      </w:pPr>
      <w:r>
        <w:t xml:space="preserve">• </w:t>
      </w:r>
      <w:r>
        <w:rPr>
          <w:b/>
          <w:bCs/>
        </w:rPr>
        <w:t xml:space="preserve">Structural simplification</w:t>
      </w:r>
      <w:r>
        <w:t xml:space="preserve">: diversity reduction, redundancy loss, functional disorganization.</w:t>
      </w:r>
    </w:p>
    <w:p>
      <w:pPr>
        <w:spacing w:after="150"/>
      </w:pPr>
      <w:r>
        <w:t xml:space="preserve">We can define a </w:t>
      </w:r>
      <w:r>
        <w:rPr>
          <w:b/>
          <w:bCs/>
        </w:rPr>
        <w:t xml:space="preserve">cumulative entropic debt</w:t>
      </w:r>
      <w:r>
        <w:t xml:space="preserve">:</w:t>
      </w:r>
    </w:p>
    <w:p>
      <w:pPr>
        <w:pBdr>
          <w:top w:val="single" w:color="CCCCCC" w:sz="1" w:space="10"/>
          <w:bottom w:val="single" w:color="CCCCCC" w:sz="1" w:space="10"/>
        </w:pBdr>
        <w:spacing w:before="200" w:after="20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ℰ(t) = ∫ max(0, Φ</w:t>
      </w:r>
      <w:r>
        <w:rPr>
          <w:rFonts w:ascii="Cambria Math" w:cs="Cambria Math" w:eastAsia="Cambria Math" w:hAnsi="Cambria Math"/>
          <w:sz w:val="26"/>
          <w:szCs w:val="26"/>
          <w:vertAlign w:val="subscript"/>
        </w:rPr>
        <w:t xml:space="preserve">D</w:t>
      </w:r>
      <w:r>
        <w:rPr>
          <w:rFonts w:ascii="Cambria Math" w:cs="Cambria Math" w:eastAsia="Cambria Math" w:hAnsi="Cambria Math"/>
          <w:sz w:val="26"/>
          <w:szCs w:val="26"/>
        </w:rPr>
        <w:t xml:space="preserve">(τ) − Φ</w:t>
      </w:r>
      <w:r>
        <w:rPr>
          <w:rFonts w:ascii="Cambria Math" w:cs="Cambria Math" w:eastAsia="Cambria Math" w:hAnsi="Cambria Math"/>
          <w:sz w:val="26"/>
          <w:szCs w:val="26"/>
          <w:vertAlign w:val="subscript"/>
        </w:rPr>
        <w:t xml:space="preserve">N</w:t>
      </w:r>
      <w:r>
        <w:rPr>
          <w:rFonts w:ascii="Cambria Math" w:cs="Cambria Math" w:eastAsia="Cambria Math" w:hAnsi="Cambria Math"/>
          <w:sz w:val="26"/>
          <w:szCs w:val="26"/>
        </w:rPr>
        <w:t xml:space="preserve">(τ) − ℛ(τ)) dτ</w:t>
      </w:r>
    </w:p>
    <w:p>
      <w:pPr>
        <w:spacing w:after="150"/>
      </w:pPr>
      <w:r>
        <w:rPr>
          <w:b/>
          <w:bCs/>
        </w:rPr>
        <w:t xml:space="preserve">Interpretation</w:t>
      </w:r>
      <w:r>
        <w:t xml:space="preserve">: ℰ(t) measures the cumulative gap between dissipation and compensation capacities, thus a form of accumulated structural degradation.</w:t>
      </w:r>
    </w:p>
    <w:p>
      <w:pPr>
        <w:spacing w:after="100"/>
      </w:pPr>
      <w:r>
        <w:rPr>
          <w:b/>
          <w:bCs/>
        </w:rPr>
        <w:t xml:space="preserve">Typical manifestations:</w:t>
      </w:r>
    </w:p>
    <w:p>
      <w:pPr>
        <w:spacing w:after="80"/>
        <w:ind w:left="720"/>
      </w:pPr>
      <w:r>
        <w:t xml:space="preserve">• Irreversible soil degradation and organic matter loss</w:t>
      </w:r>
    </w:p>
    <w:p>
      <w:pPr>
        <w:spacing w:after="80"/>
        <w:ind w:left="720"/>
      </w:pPr>
      <w:r>
        <w:t xml:space="preserve">• Functional biodiversity decline</w:t>
      </w:r>
    </w:p>
    <w:p>
      <w:pPr>
        <w:spacing w:after="80"/>
        <w:ind w:left="720"/>
      </w:pPr>
      <w:r>
        <w:t xml:space="preserve">• Renewable resource depletion beyond regeneration rate</w:t>
      </w:r>
    </w:p>
    <w:p>
      <w:pPr>
        <w:spacing w:after="80"/>
        <w:ind w:left="720"/>
      </w:pPr>
      <w:r>
        <w:t xml:space="preserve">• Biogeochemical disruptor accumulation and cycle disturbance</w:t>
      </w:r>
    </w:p>
    <w:p>
      <w:pPr>
        <w:spacing w:after="300"/>
        <w:ind w:left="720"/>
      </w:pPr>
      <w:r>
        <w:t xml:space="preserve">• Resilience collapse, increased variance and return times after shocks</w:t>
      </w:r>
    </w:p>
    <w:p>
      <w:pPr>
        <w:pStyle w:val="Heading1"/>
      </w:pPr>
      <w:r>
        <w:t xml:space="preserve">4. Rupture Thresholds and Regime Shifts</w:t>
      </w:r>
    </w:p>
    <w:p>
      <w:pPr>
        <w:spacing w:after="150"/>
      </w:pPr>
      <w:r>
        <w:t xml:space="preserve">When debt ℰ(t) exceeds a critical threshold ℰ</w:t>
      </w:r>
      <w:r>
        <w:rPr>
          <w:vertAlign w:val="subscript"/>
        </w:rPr>
        <w:t xml:space="preserve">c</w:t>
      </w:r>
      <w:r>
        <w:t xml:space="preserve"> depending on system architecture, we classically observe:</w:t>
      </w:r>
    </w:p>
    <w:p>
      <w:pPr>
        <w:spacing w:after="80"/>
        <w:ind w:left="720"/>
      </w:pPr>
      <w:r>
        <w:t xml:space="preserve">1. Loss of capacity to maintain internal gradients</w:t>
      </w:r>
    </w:p>
    <w:p>
      <w:pPr>
        <w:spacing w:after="80"/>
        <w:ind w:left="720"/>
      </w:pPr>
      <w:r>
        <w:t xml:space="preserve">2. Transition to a lower complexity regime</w:t>
      </w:r>
    </w:p>
    <w:p>
      <w:pPr>
        <w:spacing w:after="200"/>
        <w:ind w:left="720"/>
      </w:pPr>
      <w:r>
        <w:t xml:space="preserve">3. Stabilization in a simpler attractor</w:t>
      </w:r>
    </w:p>
    <w:p>
      <w:pPr>
        <w:spacing w:after="300"/>
      </w:pPr>
      <w:r>
        <w:t xml:space="preserve">This is a </w:t>
      </w:r>
      <w:r>
        <w:rPr>
          <w:b/>
          <w:bCs/>
        </w:rPr>
        <w:t xml:space="preserve">phase transition dynamic</w:t>
      </w:r>
      <w:r>
        <w:t xml:space="preserve"> in the sense of nonlinear systems, not a moral judgment. Simpler attractors may correspond to states such as: desertification, savanization, institutional functional collapse, or durable contraction of cooperation networks.</w:t>
      </w:r>
    </w:p>
    <w:p>
      <w:pPr>
        <w:pStyle w:val="Heading1"/>
      </w:pPr>
      <w:r>
        <w:t xml:space="preserve">5. Multi-Scale Applications</w:t>
      </w:r>
    </w:p>
    <w:p>
      <w:pPr>
        <w:pStyle w:val="Heading2"/>
      </w:pPr>
      <w:r>
        <w:t xml:space="preserve">Individual</w:t>
      </w:r>
    </w:p>
    <w:p>
      <w:pPr>
        <w:spacing w:after="200"/>
      </w:pPr>
      <w:r>
        <w:t xml:space="preserve">Φ</w:t>
      </w:r>
      <w:r>
        <w:rPr>
          <w:vertAlign w:val="subscript"/>
        </w:rPr>
        <w:t xml:space="preserve">D</w:t>
      </w:r>
      <w:r>
        <w:t xml:space="preserve"> &gt; Φ</w:t>
      </w:r>
      <w:r>
        <w:rPr>
          <w:vertAlign w:val="subscript"/>
        </w:rPr>
        <w:t xml:space="preserve">N</w:t>
      </w:r>
      <w:r>
        <w:t xml:space="preserve"> + ℛ  ⟹  metabolic debt  ⟹  oxidative stress, inflammation, accelerated senescence</w:t>
      </w:r>
    </w:p>
    <w:p>
      <w:pPr>
        <w:pStyle w:val="Heading2"/>
      </w:pPr>
      <w:r>
        <w:t xml:space="preserve">Ecosystems</w:t>
      </w:r>
    </w:p>
    <w:p>
      <w:pPr>
        <w:spacing w:after="200"/>
      </w:pPr>
      <w:r>
        <w:t xml:space="preserve">extraction &gt; sustainable net primary production  ⟹  organic carbon debt  ⟹  fertility loss and regime shift</w:t>
      </w:r>
    </w:p>
    <w:p>
      <w:pPr>
        <w:pStyle w:val="Heading2"/>
      </w:pPr>
      <w:r>
        <w:t xml:space="preserve">Industrial System</w:t>
      </w:r>
    </w:p>
    <w:p>
      <w:pPr>
        <w:spacing w:after="300"/>
      </w:pPr>
      <w:r>
        <w:t xml:space="preserve">Possible biophysical reading: if an economy increases Φ</w:t>
      </w:r>
      <w:r>
        <w:rPr>
          <w:vertAlign w:val="subscript"/>
        </w:rPr>
        <w:t xml:space="preserve">D</w:t>
      </w:r>
      <w:r>
        <w:t xml:space="preserve"> faster than it increases sustainable Φ</w:t>
      </w:r>
      <w:r>
        <w:rPr>
          <w:vertAlign w:val="subscript"/>
        </w:rPr>
        <w:t xml:space="preserve">N</w:t>
      </w:r>
      <w:r>
        <w:t xml:space="preserve"> and real ℛ, it increases ℰ(t). The diagnosis then depends on empirical indicators: material footprint, net energy, biodiversity, biogeochemical cycles, climate stability, and the non-renewable share of imported flows.</w:t>
      </w:r>
    </w:p>
    <w:p>
      <w:pPr>
        <w:pStyle w:val="Heading1"/>
      </w:pPr>
      <w:r>
        <w:t xml:space="preserve">6. Canonical Synthesis</w:t>
      </w:r>
    </w:p>
    <w:p>
      <w:pPr>
        <w:spacing w:after="150"/>
      </w:pPr>
      <w:r>
        <w:t xml:space="preserve">A living or civilizational system remains viable as long as, over time:</w:t>
      </w:r>
    </w:p>
    <w:p>
      <w:pPr>
        <w:shd w:fill="e8f4e8"/>
        <w:spacing w:before="250" w:after="250"/>
        <w:jc w:val="center"/>
      </w:pPr>
      <w:r>
        <w:rPr>
          <w:rFonts w:ascii="Cambria Math" w:cs="Cambria Math" w:eastAsia="Cambria Math" w:hAnsi="Cambria Math"/>
          <w:b/>
          <w:bCs/>
          <w:color w:val="2a5a7a"/>
          <w:sz w:val="32"/>
          <w:szCs w:val="32"/>
        </w:rPr>
        <w:t xml:space="preserve">Φ</w:t>
      </w:r>
      <w:r>
        <w:rPr>
          <w:rFonts w:ascii="Cambria Math" w:cs="Cambria Math" w:eastAsia="Cambria Math" w:hAnsi="Cambria Math"/>
          <w:b/>
          <w:bCs/>
          <w:color w:val="2a5a7a"/>
          <w:sz w:val="32"/>
          <w:szCs w:val="32"/>
          <w:vertAlign w:val="subscript"/>
        </w:rPr>
        <w:t xml:space="preserve">N</w:t>
      </w:r>
      <w:r>
        <w:rPr>
          <w:rFonts w:ascii="Cambria Math" w:cs="Cambria Math" w:eastAsia="Cambria Math" w:hAnsi="Cambria Math"/>
          <w:b/>
          <w:bCs/>
          <w:color w:val="2a5a7a"/>
          <w:sz w:val="32"/>
          <w:szCs w:val="32"/>
        </w:rPr>
        <w:t xml:space="preserve">(t) + ℛ(t) ≥ Φ</w:t>
      </w:r>
      <w:r>
        <w:rPr>
          <w:rFonts w:ascii="Cambria Math" w:cs="Cambria Math" w:eastAsia="Cambria Math" w:hAnsi="Cambria Math"/>
          <w:b/>
          <w:bCs/>
          <w:color w:val="2a5a7a"/>
          <w:sz w:val="32"/>
          <w:szCs w:val="32"/>
          <w:vertAlign w:val="subscript"/>
        </w:rPr>
        <w:t xml:space="preserve">D</w:t>
      </w:r>
      <w:r>
        <w:rPr>
          <w:rFonts w:ascii="Cambria Math" w:cs="Cambria Math" w:eastAsia="Cambria Math" w:hAnsi="Cambria Math"/>
          <w:b/>
          <w:bCs/>
          <w:color w:val="2a5a7a"/>
          <w:sz w:val="32"/>
          <w:szCs w:val="32"/>
        </w:rPr>
        <w:t xml:space="preserve">(t)</w:t>
      </w:r>
    </w:p>
    <w:p>
      <w:pPr>
        <w:spacing w:after="400"/>
      </w:pPr>
      <w:r>
        <w:t xml:space="preserve">If this constraint is violated over a prolonged period, entropic debt ℰ(t) grows, structure degrades, resilience collapses, and the system shifts to a state of lesser complexity. Indefinite growth in a finite system mechanically encounters this ceiling, unless the structure of imported flows, regeneration quality, and organization itself are radically transformed.</w:t>
      </w:r>
    </w:p>
    <w:p>
      <w:pPr>
        <w:pBdr>
          <w:top w:val="single" w:color="CCCCCC" w:sz="1" w:space="10"/>
        </w:pBdr>
        <w:spacing w:before="400"/>
      </w:pPr>
      <w:r>
        <w:rPr>
          <w:i/>
          <w:iCs/>
          <w:color w:val="666666"/>
          <w:sz w:val="20"/>
          <w:szCs w:val="20"/>
        </w:rPr>
        <w:t xml:space="preserve">This document is part of the ORI-C framework (Observation, Regulation, Integration — Coherence) developed by Didier Daloze. It follows from work on dissipative structures (Prigogine), living system thermodynamics (Schneider and Kay), and energy ecology (Odum).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rFonts w:ascii="Calibri" w:cs="Calibri" w:eastAsia="Calibri" w:hAnsi="Calibri"/>
      <w:b/>
      <w:bCs/>
      <w:color w:val="2a5a7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</w:pPr>
    <w:rPr>
      <w:rFonts w:ascii="Calibri" w:cs="Calibri" w:eastAsia="Calibri" w:hAnsi="Calibri"/>
      <w:b/>
      <w:bCs/>
      <w:color w:val="3d5a4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2026-02-26T18:06:01.057Z</dcterms:created>
  <dcterms:modified xsi:type="dcterms:W3CDTF">2026-02-26T18:06:01.057Z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