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de Révision et Fragments d'Intégration ORI-C (document stabilisé)</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 :</w:t>
      </w:r>
      <w:r w:rsidDel="00000000" w:rsidR="00000000" w:rsidRPr="00000000">
        <w:rPr>
          <w:rFonts w:ascii="Google Sans" w:cs="Google Sans" w:eastAsia="Google Sans" w:hAnsi="Google Sans"/>
          <w:color w:val="1f1f1f"/>
          <w:rtl w:val="0"/>
        </w:rPr>
        <w:t xml:space="preserve"> Textes définitifs révisés et stabilisés pour intégration directe dans le document principal ORI-C.</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Section 4.8 : Renforcement de la Bifurcation Biologique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À insérer après le premier paragraphe de la section 4.8.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bifurcation biologique correspond au passage de modes de persistance liés, métastables ou dissipatifs à une organisation intégrant des mécanismes reconstructifs, reproductifs et évolutifs. La nouveauté du vivant ne réside ni dans l’apparition des rétroactions, ni dans l’utilisation de flux d’énergie, ni dans la transformation de l’environnement, des architectures non vivantes présentant déjà des régulations internes, des cycles, des phénomènes autocatalytiques et des dépendances au chemin. La rupture se situe dans l’intégration progressive de mécanismes énergétiques, organisationnels et héréditaires grâce auxquels une architecture matérielle ne conserve plus seulement un état, mais maintient, renouvelle et reconstruit sa propre organisation à travers le temps.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scénarios étudiés combinent, dans un ordre historique encore inconnu, des compartiments capables de maintenir certains gradients, des réseaux chimiques partiellement autocatalytiques, des formes rudimentaires d’hérédité moléculaire et un couplage croissant entre la reproduction des composants et celle du compartiment. La persistance reconstructive apparaît ainsi comme une architecture progressive de couplages plutôt que comme la propriété soudaine d’une molécule particulière.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Section 8 : Clarification du vecteur de persistance </w:t>
      </w:r>
      <w:r w:rsidDel="00000000" w:rsidR="00000000" w:rsidRPr="00000000">
        <w:rPr>
          <w:rFonts w:ascii="Google Sans" w:cs="Google Sans" w:eastAsia="Google Sans" w:hAnsi="Google Sans"/>
          <w:color w:val="1f1f1f"/>
        </w:rPr>
        <w:drawing>
          <wp:inline distB="19050" distT="19050" distL="19050" distR="19050">
            <wp:extent cx="172938" cy="278622"/>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2938" cy="27862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À insérer après la définition formelle du vecteur </w:t>
      </w:r>
      <w:r w:rsidDel="00000000" w:rsidR="00000000" w:rsidRPr="00000000">
        <w:rPr>
          <w:rFonts w:ascii="Google Sans" w:cs="Google Sans" w:eastAsia="Google Sans" w:hAnsi="Google Sans"/>
          <w:i w:val="1"/>
          <w:iCs w:val="1"/>
          <w:color w:val="1f1f1f"/>
        </w:rPr>
        <w:drawing>
          <wp:inline distB="19050" distT="19050" distL="19050" distR="19050">
            <wp:extent cx="204044" cy="242909"/>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4044" cy="24290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dans la section 8.</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Tableau synthétique des composantes du vecteur </w:t>
      </w:r>
      <w:r w:rsidDel="00000000" w:rsidR="00000000" w:rsidRPr="00000000">
        <w:rPr>
          <w:rFonts w:ascii="Google Sans" w:cs="Google Sans" w:eastAsia="Google Sans" w:hAnsi="Google Sans"/>
          <w:color w:val="1f1f1f"/>
        </w:rPr>
        <w:drawing>
          <wp:inline distB="19050" distT="19050" distL="19050" distR="19050">
            <wp:extent cx="172938" cy="278622"/>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2938" cy="27862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Composante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Échelle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Mécanismes principaux</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Effet sur la continuité</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Reconstructive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64406" cy="248263"/>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4406" cy="248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Organisation individuelle | Flux d’énergie/matière, catalyse organisée, renouvellement, réparation | Maintien et reconstruction de l’organisation individuelle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Reproductive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431" cy="246557"/>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72431" cy="2465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Individus et générations | Reproduction, division cellulaire, transmission d’une structure héréditaire | Propagation de l'organisation au-delà du support individuel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Évolutive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62285" cy="245991"/>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2285" cy="245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Population et lignée | Variation héréditaire, dérive, sélection différentielle | Transformation cumulative de la lignée au cours du temps |</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Explication théorique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composantes reconstructive, reproductive et évolutive ne désignent pas trois degrés interchangeables d’une même propriété. La persistance reconstructive concerne le maintien et le renouvellement d’une organisation individuelle. La persistance reproductive concerne la propagation de l’organisation au-delà de son support individuel par la transmission d’une structure héréditaire participant à sa reconstruction. La persistance évolutive concerne la transformation cumulative d’une lignée par variation héréditaire et sélection différentielle. Leur couplage caractérise le régime biologique pleinement développé, mais leurs précurseurs ont pu apparaître progressivement et dans un ordre encore inconnu.</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Section 6 : Stratification de l'Information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Hiérarchie conceptuelle révisée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Inscription physique (trace)</w:t>
      </w:r>
      <w:r w:rsidDel="00000000" w:rsidR="00000000" w:rsidRPr="00000000">
        <w:rPr>
          <w:rFonts w:ascii="Google Sans" w:cs="Google Sans" w:eastAsia="Google Sans" w:hAnsi="Google Sans"/>
          <w:color w:val="1f1f1f"/>
          <w:rtl w:val="0"/>
        </w:rPr>
        <w:t xml:space="preserve"> : Modification durable d’un support produite par une interaction passée.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Mémoire causalement active</w:t>
      </w:r>
      <w:r w:rsidDel="00000000" w:rsidR="00000000" w:rsidRPr="00000000">
        <w:rPr>
          <w:rFonts w:ascii="Google Sans" w:cs="Google Sans" w:eastAsia="Google Sans" w:hAnsi="Google Sans"/>
          <w:color w:val="1f1f1f"/>
          <w:rtl w:val="0"/>
        </w:rPr>
        <w:t xml:space="preserve"> : Configuration matérielle orientant les transformations ultérieures d'un système.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Information transmissible</w:t>
      </w:r>
      <w:r w:rsidDel="00000000" w:rsidR="00000000" w:rsidRPr="00000000">
        <w:rPr>
          <w:rFonts w:ascii="Google Sans" w:cs="Google Sans" w:eastAsia="Google Sans" w:hAnsi="Google Sans"/>
          <w:color w:val="1f1f1f"/>
          <w:rtl w:val="0"/>
        </w:rPr>
        <w:t xml:space="preserve"> : Structure causale possédant la capacité d'être propagée ou répliquée.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Information interprétée</w:t>
      </w:r>
      <w:r w:rsidDel="00000000" w:rsidR="00000000" w:rsidRPr="00000000">
        <w:rPr>
          <w:rFonts w:ascii="Google Sans" w:cs="Google Sans" w:eastAsia="Google Sans" w:hAnsi="Google Sans"/>
          <w:color w:val="1f1f1f"/>
          <w:rtl w:val="0"/>
        </w:rPr>
        <w:t xml:space="preserve"> : Séquence dont l'effet dépend d'un contexte spécifique de catalyse ou de lecture.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Information reconstructive</w:t>
      </w:r>
      <w:r w:rsidDel="00000000" w:rsidR="00000000" w:rsidRPr="00000000">
        <w:rPr>
          <w:rFonts w:ascii="Google Sans" w:cs="Google Sans" w:eastAsia="Google Sans" w:hAnsi="Google Sans"/>
          <w:color w:val="1f1f1f"/>
          <w:rtl w:val="0"/>
        </w:rPr>
        <w:t xml:space="preserve"> (Sous-section 6.5) : Information couplée à une organisation capable de l'utiliser pour rétablir ses propres composants.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Information symbolique et culturelle</w:t>
      </w:r>
      <w:r w:rsidDel="00000000" w:rsidR="00000000" w:rsidRPr="00000000">
        <w:rPr>
          <w:rFonts w:ascii="Google Sans" w:cs="Google Sans" w:eastAsia="Google Sans" w:hAnsi="Google Sans"/>
          <w:color w:val="1f1f1f"/>
          <w:rtl w:val="0"/>
        </w:rPr>
        <w:t xml:space="preserve"> (Sous-section 6.6) : Organisation conventionnelle de signes pouvant être externalisée, copiée sur des supports matériels différents et réinterprétée par une communauté d’utilisateurs. Sa transmission dépend de l’apprentissage social plutôt que de la seule reproduction génétique.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Sous-section 6.5 : Information reconstructive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information devient reconstructive lorsque sa transmission est couplée à une organisation capable de l’utiliser pour produire, renouveler ou rétablir ses propres composants. Une séquence nucléotidique ou moléculaire isolée ne reconstruit rien : son rôle dépend entièrement de flux énergétiques, de catalyseurs, de compartiments et de mécanismes d’interprétation qui lui donnent des conséquences matérielles concrètes.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le vivant, la mémoire héréditaire participe ainsi à la reproduction de l'organisation qui permet elle-même de lire, de copier et de transmettre cette mémoire. Cette circularité matérielle distingue l’information reconstructive d’une simple trace conservée ou d’une configuration influençant passivement les transformations futures.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Section 7 : Le code génétique comme stabilisateur et amplificateur de la persistance reconstructive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L’apparition du code génétique ne correspond probablement pas au commencement absolu de la bifurcation biologique. Des formes de compartimentation, de couplage catalytique et d’hérédité partielle ont vraisemblablement précédé le système de traduction moderne. Le code constitue néanmoins un seuil décisif, car il stabilise et amplifie le couplage entre mémoire transmissible, production catalytique et reconstruction de l’organisation.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code génétique consolide un régime dans lequel une mémoire nucléotidique transmissible peut orienter la synthèse protéique. La fidélité de cette transmission dépend toutefois d’un ensemble plus large de mécanismes comprenant la copie et la réparation de l’ADN, la fidélité de l’aminoacylation assurée par les aminoacyl-ARNt synthétases et la régulation de la traduction.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 : Sculpture Historique des Possibles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bifurcation du vivant ne correspond donc pas à l’apparition des rétroactions ou de la transformation environnementale, déjà présentes dans les régimes physiques et chimiques antérieurs. Elle correspond à l’intégration progressive de mécanismes grâce auxquels une architecture inscrit, transmet et modifie les conditions matérielles de sa propre reconstruction.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L’histoire matérielle de l’Univers peut être lue comme une sculpture progressive des possibles. Chaque architecture hérite de conditions déjà transformées, en réalise certaines trajectoires, en ferme d’autres et modifie le domaine transmis aux architectures ultérieures. Avec le vivant apparaît une persistance reconstructive, reproductive et évolutive qui rend certaines de ces transformations transmissibles et cumulatives.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Précautions de Mise en Page et Intégration</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Typographie des symboles :</w:t>
      </w:r>
      <w:r w:rsidDel="00000000" w:rsidR="00000000" w:rsidRPr="00000000">
        <w:rPr>
          <w:rFonts w:ascii="Google Sans" w:cs="Google Sans" w:eastAsia="Google Sans" w:hAnsi="Google Sans"/>
          <w:color w:val="1f1f1f"/>
          <w:rtl w:val="0"/>
        </w:rPr>
        <w:t xml:space="preserve"> Utiliser les symboles en ligne (</w:t>
      </w:r>
      <w:r w:rsidDel="00000000" w:rsidR="00000000" w:rsidRPr="00000000">
        <w:rPr>
          <w:rFonts w:ascii="Google Sans" w:cs="Google Sans" w:eastAsia="Google Sans" w:hAnsi="Google Sans"/>
          <w:color w:val="1f1f1f"/>
        </w:rPr>
        <w:drawing>
          <wp:inline distB="19050" distT="19050" distL="19050" distR="19050">
            <wp:extent cx="964406" cy="24826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4406" cy="248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431" cy="246557"/>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72431" cy="2465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62285" cy="245991"/>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2285" cy="245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sans saut de ligne artificiel pour éviter qu'ils n'apparaissent comme des blocs d'équations isolés ou qu'ils disparaissent lors de l’extraction du texte.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Gestion du tableau :</w:t>
      </w:r>
      <w:r w:rsidDel="00000000" w:rsidR="00000000" w:rsidRPr="00000000">
        <w:rPr>
          <w:rFonts w:ascii="Google Sans" w:cs="Google Sans" w:eastAsia="Google Sans" w:hAnsi="Google Sans"/>
          <w:color w:val="1f1f1f"/>
          <w:rtl w:val="0"/>
        </w:rPr>
        <w:t xml:space="preserve"> Conserver l'intégralité du tableau de la Section 8 sur une seule page dans la mise en page finale.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Ancrage bibliographique :</w:t>
      </w:r>
      <w:r w:rsidDel="00000000" w:rsidR="00000000" w:rsidRPr="00000000">
        <w:rPr>
          <w:rFonts w:ascii="Google Sans" w:cs="Google Sans" w:eastAsia="Google Sans" w:hAnsi="Google Sans"/>
          <w:color w:val="1f1f1f"/>
          <w:rtl w:val="0"/>
        </w:rPr>
        <w:t xml:space="preserve"> Lier chaque concept aux références précises et complètes de la littérature scientifique du document principal (Prigogine pour la dissipation, Maturana &amp; Varela pour l'autopoïèse, Kauffman pour l'autocatalyse, Woese, Crick, etc.) en éliminant toute référence globale à un fichier archive ZIP.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