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Aptos Display" w:hAnsi="Aptos Display"/>
          <w:b/>
          <w:color w:val="1B3645"/>
          <w:sz w:val="46"/>
        </w:rPr>
        <w:t>Le climat comme architecture historique</w:t>
      </w:r>
    </w:p>
    <w:p>
      <w:pPr>
        <w:spacing w:after="360"/>
        <w:jc w:val="center"/>
      </w:pPr>
      <w:r>
        <w:rPr>
          <w:rFonts w:ascii="Aptos Display" w:hAnsi="Aptos Display"/>
          <w:i/>
          <w:color w:val="485963"/>
          <w:sz w:val="26"/>
        </w:rPr>
        <w:t>Mémoire, hystérèse et transformation du domaine des possibles</w:t>
      </w:r>
    </w:p>
    <w:p>
      <w:pPr>
        <w:spacing w:after="240"/>
        <w:pBdr>
          <w:bottom w:val="single" w:sz="8" w:space="1" w:color="58717F"/>
        </w:pBdr>
      </w:pPr>
    </w:p>
    <w:p>
      <w:pPr>
        <w:pStyle w:val="Heading1"/>
        <w:keepNext/>
      </w:pPr>
      <w:r>
        <w:t>Résumé</w:t>
      </w:r>
    </w:p>
    <w:p>
      <w:pPr>
        <w:pStyle w:val="Résumétexte"/>
      </w:pPr>
      <w:r>
        <w:t>Le dérèglement climatique est souvent décrit comme le déplacement d’un système vers un nouvel équilibre thermique. Cette représentation reste incomplète. Le réchauffement anthropique modifie la composition atmosphérique, le bilan radiatif et la distribution de l’énergie entre des compartiments dont les temps de réponse diffèrent fortement. Il produit ainsi une inscription historique dans l’océan, la cryosphère, les sols, le pergélisol, la biosphère et les configurations spatiales du climat. L’histoire n’agit pas seulement sur l’état X. Elle transforme les mémoires m, peut modifier l’architecture de réponse A et reconfigure le domaine probabiliste des possibles accessibles Pacc(T, C, ε). L’article distingue inscription réversible, hystérèse et transformation structurelle, puis propose un cadre dans lequel variabilité interne, événements extrêmes et couplages non linéaires participent à la modification des chemins de récupération.</w:t>
      </w:r>
    </w:p>
    <w:p>
      <w:pPr>
        <w:pStyle w:val="Corpsdetexte"/>
        <w:widowControl/>
        <w:ind w:firstLine="0"/>
      </w:pPr>
      <w:r>
        <w:rPr>
          <w:b/>
        </w:rPr>
        <w:t xml:space="preserve">Mots-clés : </w:t>
      </w:r>
      <w:r>
        <w:t>climat, mémoire, dépendance au chemin, hystérèse, attracteurs, irréversibilité, architecture historique, ORI-C</w:t>
      </w:r>
    </w:p>
    <w:p>
      <w:pPr>
        <w:pStyle w:val="Heading1"/>
        <w:keepNext/>
      </w:pPr>
      <w:r>
        <w:t>1. Le climat n’est pas un simple équilibre déplacé</w:t>
      </w:r>
    </w:p>
    <w:p>
      <w:pPr>
        <w:pStyle w:val="Corpsdetexte"/>
        <w:widowControl/>
      </w:pPr>
      <w:r>
        <w:rPr>
          <w:i w:val="0"/>
        </w:rPr>
        <w:t>Le réchauffement climatique contemporain est établi par de multiples observations indépendantes. La température moyenne de surface augmente, l’océan se réchauffe, les glaciers reculent, les grandes masses de glace perdent de la matière et le niveau marin s’élève. L’influence humaine sur le réchauffement de l’atmosphère, de l’océan et des terres est sans équivoque. Les émissions de dioxyde de carbone, de méthane et d’autres gaz à effet de serre constituent le moteur dominant de la tendance actuelle, tandis que les aérosols anthropiques ont compensé une partie du réchauffement par leur effet refroidissant [1, 2].</w:t>
      </w:r>
    </w:p>
    <w:p>
      <w:pPr>
        <w:pStyle w:val="Corpsdetexte"/>
        <w:widowControl/>
      </w:pPr>
      <w:r>
        <w:rPr>
          <w:i w:val="0"/>
        </w:rPr>
        <w:t>Cette attribution n’épuise pourtant pas la compréhension du phénomène. Une concentration atmosphérique plus élevée en gaz à effet de serre ne produit pas seulement une température moyenne supérieure. Elle modifie le flux d’énergie qui traverse le système terrestre. L’énergie excédentaire est absorbée, transportée et transformée par des compartiments possédant des masses, des structures et des temps de réponse très différents. Une partie réchauffe rapidement l’atmosphère et la couche superficielle de l’océan. Une autre pénètre dans l’océan profond. Une autre contribue à la fonte de la glace, au dégel des sols gelés, aux déplacements d’espèces et aux transformations des régimes hydrologiques.</w:t>
      </w:r>
    </w:p>
    <w:p>
      <w:pPr>
        <w:pStyle w:val="Corpsdetexte"/>
        <w:widowControl/>
      </w:pPr>
      <w:r>
        <w:rPr>
          <w:i w:val="0"/>
        </w:rPr>
        <w:t>Le climat futur ne dépend donc pas uniquement de la valeur future du forçage. Il dépend aussi de l’état matériel produit par les forçages antérieurs. Un océan plus chaud, une calotte amincie, un sol desséché, une forêt incendiée ou une circulation affaiblie ne répondent plus aux perturbations suivantes comme les mêmes composantes avant leur transformation. Chaque étape hérite de la précédente et contribue à définir la suivante.</w:t>
      </w:r>
    </w:p>
    <w:p>
      <w:pPr>
        <w:pStyle w:val="Formulationcentrale"/>
        <w:keepNext/>
      </w:pPr>
      <w:r>
        <w:t>Le réchauffement n’est pas un simple déplacement d’équilibre. Il est une altération séquentielle des conditions mêmes de la réponse.</w:t>
      </w:r>
    </w:p>
    <w:p>
      <w:pPr>
        <w:pStyle w:val="Corpsdetexte"/>
        <w:widowControl/>
      </w:pPr>
      <w:r>
        <w:rPr>
          <w:i w:val="0"/>
        </w:rPr>
        <w:t>Cette proposition ne suppose pas que toutes les transformations soient irréversibles. Elle signifie que la réversibilité doit être examinée pour chaque compartiment, chaque relation et chaque horizon temporel. Le système peut conserver une mémoire longue sans présenter d’hystérèse. Il peut présenter une hystérèse sans destruction de ses composants. Il peut aussi perdre progressivement une possibilité de retour sans basculement brutal. La rigueur exige donc de distinguer l’inertie, la mémoire, l’hystérèse, le changement de régime et la transformation structurelle.</w:t>
      </w:r>
    </w:p>
    <w:p>
      <w:pPr>
        <w:pStyle w:val="Heading1"/>
        <w:keepNext/>
      </w:pPr>
      <w:r>
        <w:t>2. Forçages, rétroactions et architecture de réponse</w:t>
      </w:r>
    </w:p>
    <w:p>
      <w:pPr>
        <w:pStyle w:val="Corpsdetexte"/>
        <w:widowControl/>
      </w:pPr>
      <w:r>
        <w:rPr>
          <w:i w:val="0"/>
        </w:rPr>
        <w:t>Une vision globale du climat exige une hiérarchie des causes plutôt qu’une simple énumération de facteurs. Les forçages modifient directement le bilan énergétique. Les rétroactions amplifient ou atténuent la réponse initiale. L’architecture de réponse désigne les composants et les relations qui déterminent la manière dont le système absorbe, redistribue et dissipe la perturbation.</w:t>
      </w:r>
    </w:p>
    <w:p>
      <w:pPr>
        <w:pStyle w:val="Corpsdetexte"/>
        <w:widowControl/>
      </w:pPr>
      <w:r>
        <w:rPr>
          <w:i w:val="0"/>
        </w:rPr>
        <w:t>Les variations solaires et orbitales appartiennent aux forçages naturels. Le cycle solaire d’environ onze ans module faiblement l’irradiance reçue. Les variations de l’excentricité, de l’obliquité et de la précession redistribuent l’énergie solaire selon les saisons, les latitudes et les hémisphères sur des dizaines à des centaines de milliers d’années. Ces mécanismes jouent un rôle fondamental dans l’histoire paléoclimatique, mais ils n’expliquent ni la rapidité ni l’ampleur du réchauffement contemporain [1, 3].</w:t>
      </w:r>
    </w:p>
    <w:p>
      <w:pPr>
        <w:pStyle w:val="Corpsdetexte"/>
        <w:widowControl/>
      </w:pPr>
      <w:r>
        <w:rPr>
          <w:i w:val="0"/>
        </w:rPr>
        <w:t>La chaleur interne de la Terre, la tectonique et le champ magnétique occupent une autre position. Leur contribution directe au bilan énergétique de surface est faible face au rayonnement solaire. Leur rôle est surtout constitutif et historique. La tectonique transforme la disposition des continents, les bassins océaniques, l’altération des roches et le cycle géologique du carbone. La géodynamo produit le champ magnétique qui organise l’interaction entre le vent solaire et l’environnement terrestre. Ces processus contribuent à produire l’architecture planétaire dans laquelle le climat se déploie, sans être des moteurs importants du réchauffement actuel.</w:t>
      </w:r>
    </w:p>
    <w:p>
      <w:pPr>
        <w:pStyle w:val="Corpsdetexte"/>
        <w:widowControl/>
      </w:pPr>
      <w:r>
        <w:rPr>
          <w:i w:val="0"/>
        </w:rPr>
        <w:t>Cette distinction est essentielle. Un processus peut être secondaire comme forçage climatique immédiat et fondamental dans la production historique de l’architecture climatique. Inversement, une rétroaction puissante peut transformer fortement la réponse sans être la cause initiale du déséquilibre. La vapeur d’eau illustre ce second cas. L’augmentation de température accroît la pression de vapeur saturante d’environ 7 % par degré dans les conditions proches de la surface. La vapeur d’eau atmosphérique augmente alors en moyenne lorsque l’humidité relative reste approximativement stable, ce qui renforce l’effet de serre. Elle agit principalement comme rétroaction amplificatrice et non comme forçage anthropique initial [4].</w:t>
      </w:r>
    </w:p>
    <w:p>
      <w:pPr>
        <w:pStyle w:val="Heading1"/>
        <w:keepNext/>
      </w:pPr>
      <w:r>
        <w:t>3. La chaîne causale du dérèglement anthropique</w:t>
      </w:r>
    </w:p>
    <w:p>
      <w:pPr>
        <w:pStyle w:val="Corpsdetexte"/>
        <w:widowControl/>
      </w:pPr>
      <w:r>
        <w:rPr>
          <w:i w:val="0"/>
        </w:rPr>
        <w:t>Le dérèglement actuel peut être représenté par une chaîne qui sépare la perturbation initiale, la modification des contraintes effectives, l’accumulation d’énergie et les transformations produites dans les compartiments du système.</w:t>
      </w:r>
    </w:p>
    <w:p>
      <w:pPr>
        <w:pStyle w:val="Equation"/>
        <w:keepNext/>
        <w:jc w:val="center"/>
      </w:pPr>
      <w:r>
        <w:rPr>
          <w:rFonts w:ascii="Cambria Math" w:hAnsi="Cambria Math"/>
          <w:sz w:val="22"/>
        </w:rPr>
        <w:t>Émissions anthropiques → composition atmosphérique → déséquilibre radiatif → accumulation d’énergie → redistribution → transformations → rétroactions modifiées → domaine accessible reconfiguré</w:t>
      </w:r>
    </w:p>
    <w:p>
      <w:pPr>
        <w:pStyle w:val="Corpsdetexte"/>
        <w:widowControl/>
      </w:pPr>
      <w:r>
        <w:rPr>
          <w:i w:val="0"/>
        </w:rPr>
        <w:t>Les émissions modifient simultanément les concentrations de gaz à effet de serre, les aérosols et plusieurs précurseurs chimiques. Le bilan radiatif résultant dépend de leurs effets opposés et de leur distribution spatiale. Lorsque le système absorbe davantage d’énergie qu’il n’en émet vers l’espace, l’excédent s’accumule. L’océan en stocke la majeure partie, tandis que l’atmosphère, les continents et la cryosphère en absorbent une fraction plus faible mais déterminante pour les conditions de surface [4, 5].</w:t>
      </w:r>
    </w:p>
    <w:p>
      <w:pPr>
        <w:pStyle w:val="Corpsdetexte"/>
        <w:widowControl/>
      </w:pPr>
      <w:r>
        <w:rPr>
          <w:i w:val="0"/>
        </w:rPr>
        <w:t>Cette énergie ne reste pas sous une forme unique. Elle devient chaleur sensible et latente, fonte de glace, modification de l’humidité des sols, changement des gradients de densité océaniques et atmosphériques, déplacement des zones climatiques, transformation des cycles biologiques et altération des réserves de carbone. La chaîne n’est donc pas linéaire au sens d’une simple succession d’effets. Chaque transformation réagit sur les flux suivants et modifie le gain, la vitesse ou la direction des boucles de rétroaction.</w:t>
      </w:r>
    </w:p>
    <w:p>
      <w:pPr>
        <w:pStyle w:val="Corpsdetexte"/>
        <w:widowControl/>
      </w:pPr>
      <w:r>
        <w:rPr>
          <w:i w:val="0"/>
        </w:rPr>
        <w:t>La baisse de l’albédo après la fonte de la neige ou de la glace augmente l’absorption solaire. Le dégel du pergélisol rend une partie du carbone ancien accessible à la décomposition microbienne. La perte de végétation réduit parfois l’évapotranspiration et augmente l’échauffement de surface. Les changements de circulation océanique redistribuent la chaleur et peuvent modifier les configurations de température de surface qui contrôlent en partie les nuages. L’état produit par la réponse devient ainsi une condition active de la réponse suivante.</w:t>
      </w:r>
    </w:p>
    <w:p>
      <w:pPr>
        <w:pStyle w:val="Heading1"/>
        <w:keepNext/>
      </w:pPr>
      <w:r>
        <w:t>4. Une architecture distribuée de mémoires</w:t>
      </w:r>
    </w:p>
    <w:p>
      <w:pPr>
        <w:pStyle w:val="Corpsdetexte"/>
        <w:widowControl/>
      </w:pPr>
      <w:r>
        <w:rPr>
          <w:i w:val="0"/>
        </w:rPr>
        <w:t>Le climat ne possède pas une mémoire unique. Il possède une architecture distribuée de mémoires, portée par des milieux dont les mécanismes de conservation et les constantes de temps diffèrent. Réduire cette histoire à une seule intégrale des perturbations passées ferait disparaître la différence entre une trace atmosphérique de quelques années, une anomalie thermique océanique de plusieurs siècles, une perte de sol construite sur des millénaires et une extinction biologique définitive.</w:t>
      </w:r>
    </w:p>
    <w:p>
      <w:pPr>
        <w:pStyle w:val="Heading2"/>
        <w:keepNext/>
      </w:pPr>
      <w:r>
        <w:t>4.1. L’atmosphère, une mémoire rapide mais chimiquement différenciée</w:t>
      </w:r>
    </w:p>
    <w:p>
      <w:pPr>
        <w:pStyle w:val="Corpsdetexte"/>
        <w:widowControl/>
      </w:pPr>
      <w:r>
        <w:rPr>
          <w:i w:val="0"/>
        </w:rPr>
        <w:t>L’atmosphère répond rapidement aux variations du bilan radiatif, mais les espèces qui la composent n’ont pas les mêmes durées de résidence. Les aérosols troposphériques sont éliminés en quelques jours ou semaines. Une réduction de leurs émissions produit donc une réponse rapide, parfois accompagnée d’un réchauffement transitoire lorsque leur effet refroidissant disparaît. Le méthane possède une durée de vie d’environ une décennie et sa concentration peut diminuer sensiblement en quelques décennies si les émissions baissent fortement. Le dioxyde de carbone ne possède pas une durée de vie unique. Une fraction est absorbée relativement vite par l’océan et la biosphère, tandis qu’une autre persiste pendant des siècles ou davantage à cause de la lenteur des échanges entre réservoirs [2, 6].</w:t>
      </w:r>
    </w:p>
    <w:p>
      <w:pPr>
        <w:pStyle w:val="Corpsdetexte"/>
        <w:widowControl/>
      </w:pPr>
      <w:r>
        <w:rPr>
          <w:i w:val="0"/>
        </w:rPr>
        <w:t>La mémoire atmosphérique est donc moins une couche homogène qu’une superposition de traces chimiques. Elle constitue l’entrée radiative d’une architecture dont les autres compartiments peuvent conserver beaucoup plus longtemps les conséquences énergétiques et matérielles.</w:t>
      </w:r>
    </w:p>
    <w:p>
      <w:pPr>
        <w:pStyle w:val="Heading2"/>
        <w:keepNext/>
      </w:pPr>
      <w:r>
        <w:t>4.2. L’océan, principale mémoire thermique</w:t>
      </w:r>
    </w:p>
    <w:p>
      <w:pPr>
        <w:pStyle w:val="Corpsdetexte"/>
        <w:widowControl/>
      </w:pPr>
      <w:r>
        <w:rPr>
          <w:i w:val="0"/>
        </w:rPr>
        <w:t>L’océan a absorbé plus de 90 % de l’excédent énergétique accumulé par le système climatique au cours des dernières décennies. Cette proportion exprime sa masse et sa capacité thermique, mais elle ne signifie pas que toute la chaleur océanique agit de la même manière. La couche de mélange échange rapidement avec l’atmosphère. Les eaux intermédiaires et profondes sont ventilées sur des durées allant de plusieurs décennies à des siècles, parfois davantage. La circulation océanique redistribue ainsi la chaleur dans l’espace et dans le temps [5, 7].</w:t>
      </w:r>
    </w:p>
    <w:p>
      <w:pPr>
        <w:pStyle w:val="Corpsdetexte"/>
        <w:widowControl/>
      </w:pPr>
      <w:r>
        <w:t>Une confusion fréquente consiste à déduire de cette inertie que la température moyenne de surface poursuivrait nécessairement son augmentation pendant des décennies après l’arrêt des émissions nettes de CO₂. Les expériences de Zero Emissions Commitment montrent plutôt une réponse proche de la stabilisation à l’échelle globale, mais avec une dispersion importante entre les modèles, des ajustements régionaux persistants et une stabilisation qui n’est pas nécessairement immédiate. Des travaux publiés en 2025 et 2026 confirment que l’évolution postérieure dépend de la définition du zéro net, du mélange des gaz, des aérosols et des hypothèses de compensation. Cette incertitude sur la température de surface ne remet pas en cause la poursuite beaucoup plus certaine des ajustements lents de l’océan profond, du niveau marin et des grandes masses de glace [2, 8, 17, 18].</w:t>
      </w:r>
    </w:p>
    <w:p>
      <w:pPr>
        <w:pStyle w:val="Corpsdetexte"/>
        <w:widowControl/>
      </w:pPr>
      <w:r>
        <w:rPr>
          <w:i w:val="0"/>
        </w:rPr>
        <w:t>L’océan profond continue à se réchauffer et à se réorganiser, le niveau marin continue à augmenter par dilatation thermique et les écosystèmes marins restent soumis à la chaleur, à l’acidification et à la désoxygénation. La température moyenne de surface peut donc se stabiliser tandis que les compartiments lents poursuivent leur trajectoire. L’architecture climatique se désynchronise selon les temps propres de ses composants.</w:t>
      </w:r>
    </w:p>
    <w:p>
      <w:pPr>
        <w:pStyle w:val="Heading2"/>
        <w:keepNext/>
      </w:pPr>
      <w:r>
        <w:t>4.3. La cryosphère, mémoire de phase et de géométrie</w:t>
      </w:r>
    </w:p>
    <w:p>
      <w:pPr>
        <w:pStyle w:val="Corpsdetexte"/>
        <w:widowControl/>
      </w:pPr>
      <w:r>
        <w:rPr>
          <w:i w:val="0"/>
        </w:rPr>
        <w:t>La cryosphère conserve l’histoire climatique sous forme de masse, d’étendue, d’épaisseur et de géométrie. La neige saisonnière et la banquise répondent relativement rapidement à la température et peuvent se reconstituer si le refroidissement est suffisant. Leur perte diminue néanmoins l’albédo et amplifie temporairement l’absorption d’énergie solaire.</w:t>
      </w:r>
    </w:p>
    <w:p>
      <w:pPr>
        <w:pStyle w:val="Corpsdetexte"/>
        <w:widowControl/>
      </w:pPr>
      <w:r>
        <w:rPr>
          <w:i w:val="0"/>
        </w:rPr>
        <w:t>Les glaciers et les calottes possèdent une mémoire plus profonde. Leur réponse dépend non seulement de la température, mais aussi de leur altitude, de leur pente, de la topographie sous-jacente, du contact avec l’océan et de la position des lignes d’échouage. Une perte d’épaisseur abaisse la surface de la glace vers des couches atmosphériques plus chaudes. Un recul sur un socle s’approfondissant vers l’intérieur peut rendre la géométrie moins stable. La transformation modifie alors les conditions mécaniques de la réponse et peut entretenir la perte sur des siècles ou des millénaires [5, 7].</w:t>
      </w:r>
    </w:p>
    <w:p>
      <w:pPr>
        <w:pStyle w:val="Corpsdetexte"/>
        <w:widowControl/>
      </w:pPr>
      <w:r>
        <w:rPr>
          <w:i w:val="0"/>
        </w:rPr>
        <w:t>Il faut toutefois distinguer la disparition physique d’un attracteur de son inaccessibilité pratique. Un état fortement englacé peut rester compatible avec les lois physiques dans un climat beaucoup plus froid tout en devenant inaccessible dans les conditions et l’horizon temporel présents. La quasi irréversibilité ne signifie donc pas toujours que l’état antérieur a disparu de l’ensemble des états concevables. Elle peut signifier qu’aucune trajectoire admissible ne permet de le rejoindre à l’échelle humaine.</w:t>
      </w:r>
    </w:p>
    <w:p>
      <w:pPr>
        <w:pStyle w:val="Heading2"/>
        <w:keepNext/>
      </w:pPr>
      <w:r>
        <w:t>4.4. Le pergélisol et les sols, mémoire biogéochimique</w:t>
      </w:r>
    </w:p>
    <w:p>
      <w:pPr>
        <w:pStyle w:val="Corpsdetexte"/>
        <w:widowControl/>
      </w:pPr>
      <w:r>
        <w:rPr>
          <w:i w:val="0"/>
        </w:rPr>
        <w:t>Le pergélisol contient de la matière organique accumulée et conservée par le froid pendant des millénaires. Le dégel modifie les conditions hydrologiques, active la décomposition microbienne et libère du dioxyde de carbone ou du méthane selon l’oxygénation des milieux. L’histoire froide qui avait produit le stockage devient ainsi une source active de flux lorsqu’elle cesse de maintenir la matière gelée [6].</w:t>
      </w:r>
    </w:p>
    <w:p>
      <w:pPr>
        <w:pStyle w:val="Corpsdetexte"/>
        <w:widowControl/>
      </w:pPr>
      <w:r>
        <w:rPr>
          <w:i w:val="0"/>
        </w:rPr>
        <w:t>Cette mémoire est asymétrique. Le dégel et la décomposition peuvent se produire en quelques décennies dans certaines zones, tandis que la reconstruction d’un stock comparable exige de longues périodes d’accumulation. Le pergélisol n’est donc pas seulement un réservoir qui se vide. Il est une architecture de conservation dont la destruction modifie la fonction du milieu.</w:t>
      </w:r>
    </w:p>
    <w:p>
      <w:pPr>
        <w:pStyle w:val="Corpsdetexte"/>
        <w:widowControl/>
      </w:pPr>
      <w:r>
        <w:rPr>
          <w:i w:val="0"/>
        </w:rPr>
        <w:t>Les sols non gelés présentent la même logique sous d’autres formes. L’érosion, la perte de matière organique, la compaction, la salinisation ou la destruction des réseaux microbiens réduisent la capacité de stockage de l’eau et du carbone. Certaines propriétés peuvent être restaurées, mais la suppression de la perturbation initiale ne suffit souvent pas. Il faut reconstruire activement la structure, l’hydrologie, la couverture végétale et les relations biologiques.</w:t>
      </w:r>
    </w:p>
    <w:p>
      <w:pPr>
        <w:pStyle w:val="Heading2"/>
        <w:keepNext/>
      </w:pPr>
      <w:r>
        <w:t>4.5. La biosphère, mémoire d’organisation et d’information</w:t>
      </w:r>
    </w:p>
    <w:p>
      <w:pPr>
        <w:pStyle w:val="Corpsdetexte"/>
        <w:widowControl/>
      </w:pPr>
      <w:r>
        <w:rPr>
          <w:i w:val="0"/>
        </w:rPr>
        <w:t>La biosphère inscrit l’histoire dans la composition des communautés, la structure des peuplements, les banques de graines, les réseaux trophiques et la diversité génétique. Une forêt après incendie ne revient pas automatiquement à son état antérieur. La régénération dépend de la présence de semenciers, de la distance aux refuges, de la fréquence des feux, de l’humidité du sol et de la compatibilité du climat nouveau avec les espèces dominantes.</w:t>
      </w:r>
    </w:p>
    <w:p>
      <w:pPr>
        <w:pStyle w:val="Corpsdetexte"/>
        <w:widowControl/>
      </w:pPr>
      <w:r>
        <w:rPr>
          <w:i w:val="0"/>
        </w:rPr>
        <w:t>Dans les forêts boréales, l’augmentation de la fréquence ou de la sévérité des incendies peut provoquer l’échec de régénération de certains conifères et favoriser des feuillus, des formations arbustives ou des milieux plus ouverts. La destination dépend du contexte régional. Il serait incorrect de proposer une transition unique vers la toundra ou la savane. Le mécanisme général reste cependant robuste : la perturbation modifie les organismes capables de reconstruire le milieu, ce qui transforme l’albédo, l’évapotranspiration, le régime des feux et le stockage de carbone [9, 10].</w:t>
      </w:r>
    </w:p>
    <w:p>
      <w:pPr>
        <w:pStyle w:val="Corpsdetexte"/>
        <w:widowControl/>
      </w:pPr>
      <w:r>
        <w:rPr>
          <w:i w:val="0"/>
        </w:rPr>
        <w:t>L’extinction représente le cas limite de cette mémoire organisationnelle. Le climat peut redevenir favorable sans que l’espèce disparue réapparaisse. Une partie de l’information historique qui permettait à l’organisation de se reproduire a été perdue. L’ancien état ne peut alors être restauré par la seule dynamique spontanée du système.</w:t>
      </w:r>
    </w:p>
    <w:p>
      <w:pPr>
        <w:pStyle w:val="Heading2"/>
        <w:keepNext/>
      </w:pPr>
      <w:r>
        <w:t>4.6. Configurations spatiales, vapeur d’eau et nuages</w:t>
      </w:r>
    </w:p>
    <w:p>
      <w:pPr>
        <w:pStyle w:val="Corpsdetexte"/>
        <w:widowControl/>
      </w:pPr>
      <w:r>
        <w:rPr>
          <w:i w:val="0"/>
        </w:rPr>
        <w:t>Toute mémoire climatique n’est pas un stock matériel facilement mesurable. La répartition spatiale du réchauffement de la surface océanique influence la circulation atmosphérique, l’humidité, les nuages et la réponse radiative globale. Deux trajectoires produisant la même température moyenne peuvent conserver des configurations régionales différentes et donc des rétroactions différentes. Ce phénomène est souvent désigné comme l’effet de configuration spatiale des températures de surface, ou pattern effect [4, 11, 12].</w:t>
      </w:r>
    </w:p>
    <w:p>
      <w:pPr>
        <w:pStyle w:val="Corpsdetexte"/>
        <w:widowControl/>
      </w:pPr>
      <w:r>
        <w:rPr>
          <w:i w:val="0"/>
        </w:rPr>
        <w:t>Il s’agit d’une inscription historique particulière. Ce qui est hérité n’est pas seulement une quantité d’énergie, mais une forme spatiale. La configuration peut être transitoire et se modifier sans seuil brutal, tout en conditionnant la sensibilité apparente du climat durant plusieurs décennies. Les nuages restent l’une des principales sources d’incertitude dans l’estimation de la réponse climatique, précisément parce que leurs propriétés dépendent des circulations et des motifs régionaux du réchauffement.</w:t>
      </w:r>
    </w:p>
    <w:p>
      <w:pPr>
        <w:pStyle w:val="Corpsdetexte"/>
        <w:widowControl/>
      </w:pPr>
      <w:r>
        <w:t>Cette inscription est non locale et corrélationnelle. Elle ne réside dans aucun compartiment pris isolément, mais dans les relations entre la distribution des températures océaniques, les gradients atmosphériques, les circulations, l’humidité et les propriétés nuageuses. Elle est difficile à réduire à un stock scalaire, car sa fonction dépend de la configuration d’ensemble. Elle n’est donc ni purement matérielle ni purement dynamique. Elle est portée par des états physiques, entretenue par des circulations et organisée par les corrélations spatiales qui conditionnent la réponse.</w:t>
      </w:r>
    </w:p>
    <w:p>
      <w:pPr>
        <w:pStyle w:val="Heading2"/>
        <w:keepNext/>
      </w:pPr>
      <w:r>
        <w:t>4.7. Le transfert de mémoire entre échelles</w:t>
      </w:r>
    </w:p>
    <w:p>
      <w:pPr>
        <w:pStyle w:val="Corpsdetexte"/>
        <w:widowControl/>
      </w:pPr>
      <w:r>
        <w:t>Les mémoires climatiques ne sont pas seulement juxtaposées. Elles se transfèrent entre compartiments et entre échelles de temps. Une composante rapide peut modifier durablement les conditions de réponse d’une composante lente. La perte répétée de banquise ou de neige modifie l’albédo, les gradients thermiques et les échanges entre l’océan et l’atmosphère. Lorsque cette configuration se prolonge, elle peut contribuer à l’accumulation de chaleur océanique, à la déstabilisation de certaines marges glaciaires ou à l’accélération du dégel des sols gelés.</w:t>
      </w:r>
    </w:p>
    <w:p>
      <w:pPr>
        <w:pStyle w:val="Corpsdetexte"/>
        <w:widowControl/>
      </w:pPr>
      <w:r>
        <w:t>Le transfert agit également dans le sens inverse. Une calotte amincie, un pergélisol dégradé ou un océan profond réchauffé imposent ensuite de nouvelles contraintes aux composantes rapides. L’irréversibilité peut ainsi se transmettre au sein du réseau couplé. Une perturbation initialement réversible dans un compartiment peut déclencher une inscription hystérétique ou structurelle dans un autre. La récupérabilité doit donc être évaluée à l’échelle de l’architecture couplée et non composante par composante. Une composante relativement réversible peut donc produire une conséquence beaucoup moins réversible dans une autre. La réduction temporaire de la neige ou de la banquise peut modifier l’albédo, les flux de chaleur et les gradients régionaux, puis favoriser le dégel du pergélisol ou accroître les contraintes exercées sur les calottes. L’irréversibilité n’est pas seulement une propriété locale. Elle peut être transférée et amplifiée par le couplage entre composantes rapides et lentes.</w:t>
      </w:r>
    </w:p>
    <w:p>
      <w:pPr>
        <w:pStyle w:val="Heading1"/>
        <w:keepNext/>
      </w:pPr>
      <w:r>
        <w:t>5. Réversibilité, hystérèse et transformation structurelle</w:t>
      </w:r>
    </w:p>
    <w:p>
      <w:pPr>
        <w:pStyle w:val="Corpsdetexte"/>
        <w:widowControl/>
      </w:pPr>
      <w:r>
        <w:rPr>
          <w:i w:val="0"/>
        </w:rPr>
        <w:t>Les inscriptions historiques peuvent être classées selon leur récupérabilité, mais cette classification ne doit pas être comprise comme une simple échelle d’intensité. La durée de persistance, l’asymétrie du retour et la perte de composants sont trois propriétés distinctes.</w:t>
      </w:r>
    </w:p>
    <w:p>
      <w:pPr>
        <w:pStyle w:val="Equation"/>
        <w:keepNext/>
        <w:jc w:val="center"/>
      </w:pPr>
      <w:r>
        <w:rPr>
          <w:rFonts w:ascii="Cambria Math" w:hAnsi="Cambria Math"/>
          <w:sz w:val="22"/>
        </w:rPr>
        <w:t>D = durée de persistance      H = asymétrie aller-retour      L = perte de composants, de relations ou d’accessibilité</w:t>
      </w:r>
    </w:p>
    <w:p>
      <w:pPr>
        <w:pStyle w:val="Corpsdetexte"/>
        <w:widowControl/>
      </w:pPr>
      <w:r>
        <w:rPr>
          <w:i w:val="0"/>
        </w:rPr>
        <w:t>Une anomalie océanique peut avoir une durée D élevée sans hystérèse marquée. Un système à deux régimes peut présenter une asymétrie H élevée sans perte de composants. Une extinction possède une perte L maximale même si elle ne résulte pas d’un basculement brutal. Ces dimensions permettent de diagnostiquer l’inscription sans confondre mémoire longue, hystérèse et destruction architecturale.</w:t>
      </w:r>
    </w:p>
    <w:p>
      <w:pPr>
        <w:pStyle w:val="Heading2"/>
        <w:keepNext/>
      </w:pPr>
      <w:r>
        <w:t>5.1. L’inscription réversible</w:t>
      </w:r>
    </w:p>
    <w:p>
      <w:pPr>
        <w:pStyle w:val="Corpsdetexte"/>
        <w:widowControl/>
      </w:pPr>
      <w:r>
        <w:rPr>
          <w:i w:val="0"/>
        </w:rPr>
        <w:t>Une inscription est réversible lorsque l’organisation antérieure demeure accessible dans l’horizon temporel et sous les contraintes considérées. Le système peut être éloigné de son état initial et le retour peut avoir un coût élevé, mais les composants, les relations et les mécanismes nécessaires existent encore.</w:t>
      </w:r>
    </w:p>
    <w:p>
      <w:pPr>
        <w:pStyle w:val="Equation"/>
        <w:keepNext/>
        <w:jc w:val="center"/>
      </w:pPr>
      <w:r>
        <w:t>O* ∈ Pacc(T, C, ε)</w:t>
      </w:r>
    </w:p>
    <w:p>
      <w:pPr>
        <w:pStyle w:val="Corpsdetexte"/>
        <w:widowControl/>
      </w:pPr>
      <w:r>
        <w:t>O* représente l’organisation antérieure. Pacc désigne le domaine des organisations effectivement accessibles dans un horizon T, sous un ensemble de contraintes et de ressources C. Le paramètre ε fixe la probabilité minimale retenue pour considérer une trajectoire comme réellement accessible. Les aérosols atmosphériques, une partie de la charge en méthane, la neige saisonnière et une partie de la banquise se rapprochent de cette catégorie. Leur mémoire peut s’effacer lorsque la perturbation cesse, à condition que les conditions climatiques redeviennent compatibles.</w:t>
      </w:r>
    </w:p>
    <w:p>
      <w:pPr>
        <w:pStyle w:val="Heading2"/>
        <w:keepNext/>
      </w:pPr>
      <w:r>
        <w:t>5.2. L’inscription hystérétique</w:t>
      </w:r>
    </w:p>
    <w:p>
      <w:pPr>
        <w:pStyle w:val="Corpsdetexte"/>
        <w:widowControl/>
      </w:pPr>
      <w:r>
        <w:rPr>
          <w:i w:val="0"/>
        </w:rPr>
        <w:t>Une inscription est hystérétique lorsque l’état antérieur reste possible, mais que le chemin de retour diffère du chemin aller. Le seuil qui permet le retour n’est pas identique au seuil qui a provoqué la transition. Le bassin d’attraction peut s’être réduit ou la trajectoire inverse peut exiger une intervention supplémentaire.</w:t>
      </w:r>
    </w:p>
    <w:p>
      <w:pPr>
        <w:pStyle w:val="Equation"/>
        <w:keepNext/>
        <w:jc w:val="center"/>
      </w:pPr>
      <w:r>
        <w:t>Bretour ≠ Bbasculement</w:t>
      </w:r>
    </w:p>
    <w:p>
      <w:pPr>
        <w:pStyle w:val="Corpsdetexte"/>
        <w:widowControl/>
      </w:pPr>
      <w:r>
        <w:rPr>
          <w:i w:val="0"/>
        </w:rPr>
        <w:t>L’hystérèse peut apparaître dans certains systèmes de végétation, dans des zones humides, dans le pergélisol et dans les modèles de circulation océanique. L’AMOC est étudiée comme un système pouvant présenter plusieurs régimes et une forte dépendance au forçage d’eau douce. Les travaux récents renforcent l’intérêt du risque de basculement, mais les incertitudes restent trop importantes pour dater précisément un seuil à partir des observations présentes [13, 14].</w:t>
      </w:r>
    </w:p>
    <w:p>
      <w:pPr>
        <w:pStyle w:val="Corpsdetexte"/>
        <w:widowControl/>
      </w:pPr>
      <w:r>
        <w:rPr>
          <w:i w:val="0"/>
        </w:rPr>
        <w:t>L’hystérèse ne détruit pas nécessairement l’architecture. Elle transforme la géométrie des transitions accessibles. Le régime antérieur existe encore, mais le système ne peut pas y revenir en annulant simplement la dernière variation du forçage.</w:t>
      </w:r>
    </w:p>
    <w:p>
      <w:pPr>
        <w:pStyle w:val="Heading2"/>
        <w:keepNext/>
      </w:pPr>
      <w:r>
        <w:t>5.3. La transformation structurelle récupérable</w:t>
      </w:r>
    </w:p>
    <w:p>
      <w:pPr>
        <w:pStyle w:val="Corpsdetexte"/>
        <w:widowControl/>
      </w:pPr>
      <w:r>
        <w:rPr>
          <w:i w:val="0"/>
        </w:rPr>
        <w:t>Une transformation structurelle récupérable apparaît lorsque l’organisation antérieure n’est plus immédiatement accessible parce que des composants ou des relations ont été altérés, mais qu’une reconstruction active peut les restaurer. La restauration d’une tourbière exige par exemple de rétablir l’hydrologie, la végétation et les conditions d’accumulation de matière organique. La régénération d’une forêt peut nécessiter la réduction des feux, la conservation de refuges, la restauration des sols ou la réintroduction d’espèces.</w:t>
      </w:r>
    </w:p>
    <w:p>
      <w:pPr>
        <w:pStyle w:val="Equation"/>
        <w:keepNext/>
        <w:jc w:val="center"/>
      </w:pPr>
      <w:r>
        <w:t>O* ∉ Pacc(A(t), m(t)), mais O* ∈ Pacc(R(A(t)), R(m(t)))</w:t>
      </w:r>
    </w:p>
    <w:p>
      <w:pPr>
        <w:pStyle w:val="Corpsdetexte"/>
        <w:widowControl/>
      </w:pPr>
      <w:r>
        <w:rPr>
          <w:i w:val="0"/>
        </w:rPr>
        <w:t>R représente une opération de restauration qui transforme l’architecture et ses mémoires. Le retour n’est donc plus une relaxation spontanée. Il devient un processus de reconstruction.</w:t>
      </w:r>
    </w:p>
    <w:p>
      <w:pPr>
        <w:pStyle w:val="Heading2"/>
        <w:keepNext/>
      </w:pPr>
      <w:r>
        <w:t>5.4. La transformation structurelle quasi irréversible</w:t>
      </w:r>
    </w:p>
    <w:p>
      <w:pPr>
        <w:pStyle w:val="Corpsdetexte"/>
        <w:widowControl/>
      </w:pPr>
      <w:r>
        <w:rPr>
          <w:i w:val="0"/>
        </w:rPr>
        <w:t>Une transformation devient quasi irréversible lorsqu’aucune trajectoire admissible ne restaure l’organisation dans l’horizon pertinent. Le temps nécessaire peut dépasser de plusieurs ordres de grandeur l’échelle humaine, ou un composant irremplaçable peut avoir disparu.</w:t>
      </w:r>
    </w:p>
    <w:p>
      <w:pPr>
        <w:pStyle w:val="Equation"/>
        <w:keepNext/>
        <w:jc w:val="center"/>
      </w:pPr>
      <w:r>
        <w:t>O* ∉ Pacc(T, C, ε)</w:t>
      </w:r>
    </w:p>
    <w:p>
      <w:pPr>
        <w:pStyle w:val="Corpsdetexte"/>
        <w:widowControl/>
      </w:pPr>
      <w:r>
        <w:rPr>
          <w:i w:val="0"/>
        </w:rPr>
        <w:t>La montée du niveau marin liée à l’océan profond et aux grandes masses de glace, la perte de certains stocks de carbone gelé, la destruction de sols formés sur des millénaires et l’extinction d’espèces illustrent différents degrés de quasi irréversibilité. Le terme reste relatif à l’horizon étudié. Une configuration peut redevenir physiquement possible dans un futur lointain tout en étant inaccessible pour les sociétés et les écosystèmes présents.</w:t>
      </w:r>
    </w:p>
    <w:p>
      <w:pPr>
        <w:pStyle w:val="Heading1"/>
        <w:keepNext/>
      </w:pPr>
      <w:r>
        <w:t>6. Un changement de régime n’est pas une irréversibilité</w:t>
      </w:r>
    </w:p>
    <w:p>
      <w:pPr>
        <w:pStyle w:val="Corpsdetexte"/>
        <w:widowControl/>
      </w:pPr>
      <w:r>
        <w:rPr>
          <w:i w:val="0"/>
        </w:rPr>
        <w:t>Un changement de régime désigne une modification qualitative de la dynamique ou des statistiques du système. Il peut être réversible, hystérétique ou quasi irréversible. Une transition brutale n’est donc pas une preuve suffisante d’amputation architecturale. Inversement, une altération lente peut réduire progressivement les chemins de retour sans seuil spectaculaire.</w:t>
      </w:r>
    </w:p>
    <w:p>
      <w:pPr>
        <w:pStyle w:val="Corpsdetexte"/>
        <w:widowControl/>
      </w:pPr>
      <w:r>
        <w:rPr>
          <w:i w:val="0"/>
        </w:rPr>
        <w:t>Quatre propriétés doivent être examinées séparément : l’amplitude du changement, le franchissement d’un seuil, l’asymétrie du retour et la possibilité de reconstruction. Le système peut franchir un seuil et revenir ensuite au régime initial. Il peut aussi perdre lentement un composant essentiel sans franchir un point de basculement identifiable.</w:t>
      </w:r>
    </w:p>
    <w:p>
      <w:pPr>
        <w:pStyle w:val="Corpsdetexte"/>
        <w:widowControl/>
      </w:pPr>
      <w:r>
        <w:rPr>
          <w:i w:val="0"/>
        </w:rPr>
        <w:t>Le langage des attracteurs reste utile à condition de distinguer trois situations. Dans la première, l’attracteur antérieur existe et reste accessible. Dans la deuxième, il existe encore, mais son bassin d’attraction est réduit ou sa trajectoire d’accès dépasse les capacités disponibles. Dans la troisième, l’architecture actuelle ne soutient plus cette organisation. C’est seulement dans ce dernier cas que l’on peut parler d’amputation architecturale au sens strict.</w:t>
      </w:r>
    </w:p>
    <w:p>
      <w:pPr>
        <w:pStyle w:val="Corpsdetexte"/>
        <w:widowControl/>
      </w:pPr>
      <w:r>
        <w:rPr>
          <w:i w:val="0"/>
        </w:rPr>
        <w:t>Cette distinction conduit à séparer le domaine théoriquement compatible avec les lois et le domaine effectivement accessible dans un horizon concret.</w:t>
      </w:r>
    </w:p>
    <w:p>
      <w:pPr>
        <w:pStyle w:val="Equation"/>
        <w:keepNext/>
        <w:jc w:val="center"/>
      </w:pPr>
      <w:r>
        <w:t>Pth = possibles théoriques      Pacc(T, C, ε) = possibles atteignables avant T, sous les contraintes C, avec une probabilité au moins égale à ε</w:t>
      </w:r>
    </w:p>
    <w:p>
      <w:pPr>
        <w:pStyle w:val="Corpsdetexte"/>
        <w:widowControl/>
      </w:pPr>
      <w:r>
        <w:t>Une calotte étendue peut appartenir à Pth dans un climat froid, mais sortir de Pacc pour plusieurs millénaires après une perte massive de glace. Une espèce éteinte sort plus radicalement du domaine accessible, car son information reproductive a disparu du système considéré.</w:t>
      </w:r>
    </w:p>
    <w:p>
      <w:pPr>
        <w:pStyle w:val="Heading1"/>
        <w:keepNext/>
      </w:pPr>
      <w:r>
        <w:t>7. L’histoire comme transformation de la loi de réponse</w:t>
      </w:r>
    </w:p>
    <w:p>
      <w:pPr>
        <w:pStyle w:val="Corpsdetexte"/>
        <w:widowControl/>
      </w:pPr>
      <w:r>
        <w:rPr>
          <w:i w:val="0"/>
        </w:rPr>
        <w:t>Une représentation classique décrit l’évolution du climat par une fonction reliant l’état présent et les forçages externes.</w:t>
      </w:r>
    </w:p>
    <w:p>
      <w:pPr>
        <w:pStyle w:val="Equation"/>
        <w:keepNext/>
        <w:jc w:val="center"/>
      </w:pPr>
      <w:r>
        <w:rPr>
          <w:rFonts w:ascii="Cambria Math" w:hAnsi="Cambria Math"/>
          <w:sz w:val="22"/>
        </w:rPr>
        <w:t>X(t+1) = F(X(t), U(t))</w:t>
      </w:r>
    </w:p>
    <w:p>
      <w:pPr>
        <w:pStyle w:val="Corpsdetexte"/>
        <w:widowControl/>
      </w:pPr>
      <w:r>
        <w:rPr>
          <w:i w:val="0"/>
        </w:rPr>
        <w:t>X représente l’état du système et U les forçages. Cette écriture peut intégrer de nombreuses variables, mais elle laisse implicitement la fonction F inchangée. Or les transformations précédentes peuvent modifier les composants et les relations qui produisent la réponse. Il faut donc séparer l’état, la mémoire et l’architecture.</w:t>
      </w:r>
    </w:p>
    <w:p>
      <w:pPr>
        <w:pStyle w:val="Equation"/>
        <w:keepNext/>
        <w:jc w:val="center"/>
      </w:pPr>
      <w:r>
        <w:t>X(t+1) = F[A(t)](X(t), U(t), m(t), ξ(t))</w:t>
      </w:r>
    </w:p>
    <w:p>
      <w:pPr>
        <w:pStyle w:val="Equation"/>
        <w:keepNext/>
        <w:jc w:val="center"/>
      </w:pPr>
      <w:r>
        <w:t>mᵢ(t+1) = Gᵢ(m(t), X(t), A(t), U(t), ξ(t))</w:t>
      </w:r>
    </w:p>
    <w:p>
      <w:pPr>
        <w:pStyle w:val="Equation"/>
        <w:keepNext/>
        <w:jc w:val="center"/>
      </w:pPr>
      <w:r>
        <w:t>A(t+1) = Q(A(t), m(t), X(t), U(t), ξ(t))</w:t>
      </w:r>
    </w:p>
    <w:p>
      <w:pPr>
        <w:pStyle w:val="Corpsdetexte"/>
        <w:widowControl/>
      </w:pPr>
      <w:r>
        <w:t>X décrit l’état présent. m contient les inscriptions héritées. A décrit les composants, les relations et les fonctions qui rendent la réponse possible. U représente les perturbations imposées. ξ(t) représente la variabilité interne, les événements extrêmes et les perturbations partiellement imprévisibles. Deux systèmes soumis au même forçage moyen peuvent ainsi diverger lorsque l’ordre des sécheresses, des incendies, des fontes ou des épisodes océaniques diffère. L’histoire peut modifier m sans transformer profondément A, comme dans une anomalie thermique. Elle peut aussi modifier A, comme lors de la disparition d’une espèce fondatrice, de la perte d’un sol ou d’une transformation géométrique d’une calotte.</w:t>
      </w:r>
    </w:p>
    <w:p>
      <w:pPr>
        <w:pStyle w:val="Corpsdetexte"/>
        <w:widowControl/>
      </w:pPr>
      <w:r>
        <w:t>La distinction entre X et A reste relative au niveau de description. Une variation appartient à l’état lorsqu’elle peut être représentée en conservant l’opérateur d’évolution et en modifiant seulement les variables ou les conditions initiales. Elle devient architecturale lorsqu’elle exige de modifier les composants, les relations, les paramètres structurels ou l’opérateur qui produit la réponse. Ce critère est opératoire en principe, mais demeure difficile à appliquer dans les modèles actuels, où un même processus peut être traité comme état, paramètre ou sous-modèle selon la résolution choisie.</w:t>
      </w:r>
    </w:p>
    <w:p>
      <w:pPr>
        <w:pStyle w:val="Corpsdetexte"/>
        <w:widowControl/>
      </w:pPr>
      <w:r>
        <w:rPr>
          <w:i w:val="0"/>
        </w:rPr>
        <w:t>Le domaine des possibles dépend alors de l’architecture et des mémoires héritées.</w:t>
      </w:r>
    </w:p>
    <w:p>
      <w:pPr>
        <w:pStyle w:val="Equation"/>
        <w:keepNext/>
        <w:jc w:val="center"/>
      </w:pPr>
      <w:r>
        <w:t>Pacc(t+1; T, C, ε) = P(A(t+1), m(t+1), C(t+1), ε)</w:t>
      </w:r>
    </w:p>
    <w:p>
      <w:pPr>
        <w:pStyle w:val="Corpsdetexte"/>
        <w:widowControl/>
      </w:pPr>
      <w:r>
        <w:rPr>
          <w:i w:val="0"/>
        </w:rPr>
        <w:t>Le système ne se déplace donc pas seulement à l’intérieur d’un paysage fixe. Son évolution peut déformer le paysage, modifier les connexions entre les régimes et supprimer certains chemins. La géographie des attracteurs devient elle-même historique.</w:t>
      </w:r>
    </w:p>
    <w:p>
      <w:pPr>
        <w:pStyle w:val="Heading1"/>
        <w:keepNext/>
      </w:pPr>
      <w:r>
        <w:t>8. Pourquoi une intégrale temporelle unique ne suffit pas</w:t>
      </w:r>
    </w:p>
    <w:p>
      <w:pPr>
        <w:pStyle w:val="Corpsdetexte"/>
        <w:widowControl/>
      </w:pPr>
      <w:r>
        <w:rPr>
          <w:i w:val="0"/>
        </w:rPr>
        <w:t>Le réchauffement lié au CO₂ est fortement corrélé aux émissions cumulées, ce qui donne une grande valeur opérationnelle à l’intégrale temporelle des émissions. Cette relation ne suffit toutefois pas à représenter l’ensemble des mémoires climatiques. Chaque compartiment possède son propre mécanisme de conservation.</w:t>
      </w:r>
    </w:p>
    <w:p>
      <w:pPr>
        <w:pStyle w:val="Equation"/>
        <w:keepNext/>
        <w:jc w:val="center"/>
      </w:pPr>
      <w:r>
        <w:t>m(t) = [atmosphère, océan, glaces, pergélisol, sols, biosphère, circulations, configurations spatiales]</w:t>
      </w:r>
    </w:p>
    <w:p>
      <w:pPr>
        <w:pStyle w:val="Corpsdetexte"/>
        <w:widowControl/>
      </w:pPr>
      <w:r>
        <w:t>Dans une approximation linéaire, chaque mémoire peut être représentée par la convolution d’un forçage passé avec un noyau Kᵢ qui décrit la vitesse d’inscription et d’effacement.</w:t>
      </w:r>
    </w:p>
    <w:p>
      <w:pPr>
        <w:pStyle w:val="Equation"/>
        <w:keepNext/>
        <w:jc w:val="center"/>
      </w:pPr>
      <w:r>
        <w:t>mᵢ(t) = ∫ Kᵢ(t − τ) F(τ) dτ</w:t>
      </w:r>
    </w:p>
    <w:p>
      <w:pPr>
        <w:pStyle w:val="Corpsdetexte"/>
        <w:widowControl/>
      </w:pPr>
      <w:r>
        <w:rPr>
          <w:i w:val="0"/>
        </w:rPr>
        <w:t>Le noyau de l’atmosphère n’est pas celui de l’océan profond. Celui d’un sol n’est pas celui d’une calotte. De plus, les noyaux peuvent dépendre de l’état. Le temps de mélange océanique, l’évapotranspiration, l’albédo et la réponse nuageuse évoluent avec la configuration climatique.</w:t>
      </w:r>
    </w:p>
    <w:p>
      <w:pPr>
        <w:pStyle w:val="Equation"/>
        <w:keepNext/>
        <w:jc w:val="center"/>
      </w:pPr>
      <w:r>
        <w:t>Kᵢ = Kᵢ(X(t), m(t), A(t))</w:t>
      </w:r>
    </w:p>
    <w:p>
      <w:pPr>
        <w:pStyle w:val="Equation"/>
        <w:keepNext/>
        <w:jc w:val="center"/>
      </w:pPr>
      <w:r>
        <w:t>Cᵢⱼ = Cᵢⱼ(X(t), m(t), A(t))</w:t>
      </w:r>
    </w:p>
    <w:p>
      <w:pPr>
        <w:pStyle w:val="Corpsdetexte"/>
        <w:widowControl/>
      </w:pPr>
      <w:r>
        <w:t>Les mémoires ne sont donc pas une juxtaposition de stocks indépendants. Chaque composante mᵢ dépend des autres mémoires mⱼ et les coefficients de couplage Cᵢⱼ varient avec l’état. Un lien faible peut devenir dominant à proximité d’un seuil, et une perturbation rapide peut être convertie en inscription lente. Cette non-linéarité limite la portée d’une représentation fondée sur des noyaux fixes et constitue un verrou central pour la modélisation historique.</w:t>
      </w:r>
    </w:p>
    <w:p>
      <w:pPr>
        <w:pStyle w:val="Corpsdetexte"/>
        <w:widowControl/>
      </w:pPr>
      <w:r>
        <w:rPr>
          <w:i w:val="0"/>
        </w:rPr>
        <w:t>Une variation du noyau ne démontre pas à elle seule une transformation structurelle. Les fonctions de réponse peuvent évoluer continûment. L’altération architecturale profonde apparaît lorsque la modification affecte la topologie des relations, le nombre ou la nature des régimes stables, les composants capables d’assurer une fonction ou la connectivité des chemins de récupération.</w:t>
      </w:r>
    </w:p>
    <w:p>
      <w:pPr>
        <w:pStyle w:val="Corpsdetexte"/>
        <w:widowControl/>
      </w:pPr>
      <w:r>
        <w:rPr>
          <w:i w:val="0"/>
        </w:rPr>
        <w:t>L’histoire possède alors deux niveaux. Elle modifie les variables internes du système, puis elle modifie éventuellement la manière dont le système conserve et transforme les perturbations suivantes. Le système change de mode d’historicité.</w:t>
      </w:r>
    </w:p>
    <w:p>
      <w:pPr>
        <w:pStyle w:val="Heading1"/>
        <w:keepNext/>
      </w:pPr>
      <w:r>
        <w:t>9. Un critère opératoire de l’altération architecturale</w:t>
      </w:r>
    </w:p>
    <w:p>
      <w:pPr>
        <w:pStyle w:val="Corpsdetexte"/>
        <w:widowControl/>
      </w:pPr>
      <w:r>
        <w:rPr>
          <w:i w:val="0"/>
        </w:rPr>
        <w:t>La distinction entre mémoire simple, hystérèse et transformation structurelle peut devenir testable à partir de trois questions. La première porte sur la persistance de la trace. La deuxième porte sur l’asymétrie entre l’aller et le retour. La troisième porte sur la perte d’accessibilité.</w:t>
      </w:r>
    </w:p>
    <w:p>
      <w:pPr>
        <w:pStyle w:val="Corpsdetexte"/>
        <w:widowControl/>
      </w:pPr>
      <w:r>
        <w:rPr>
          <w:i w:val="0"/>
        </w:rPr>
        <w:t>La persistance peut être mesurée par un temps de relaxation, un temps de résidence ou un temps de reconstruction. L’asymétrie peut être mesurée par la différence entre le seuil de basculement et le seuil de retour, ou par le coût énergétique et matériel des deux trajectoires. La perte d’accessibilité peut être évaluée en recherchant si les composants, les relations et les ressources nécessaires à l’organisation antérieure sont encore présents.</w:t>
      </w:r>
    </w:p>
    <w:p>
      <w:pPr>
        <w:pStyle w:val="Corpsdetexte"/>
        <w:widowControl/>
      </w:pPr>
      <w:r>
        <w:rPr>
          <w:i w:val="0"/>
        </w:rPr>
        <w:t>Une altération architecturale profonde commence lorsque l’accumulation historique ne modifie plus seulement l’état du système, mais transforme la structure de ses transitions, réduit la portée de ses trajectoires de récupération ou détruit les conditions matérielles nécessaires au retour.</w:t>
      </w:r>
    </w:p>
    <w:p>
      <w:pPr>
        <w:pStyle w:val="Corpsdetexte"/>
        <w:widowControl/>
      </w:pPr>
      <w:r>
        <w:rPr>
          <w:i w:val="0"/>
        </w:rPr>
        <w:t>Ce critère implique une conséquence importante pour la gestion du risque climatique. Une perturbation réversible ne garantit pas des conséquences réversibles. Une sécheresse temporaire peut déclencher un incendie qui détruit un sol et empêche la régénération. Un épisode de chaleur peut provoquer une mortalité biologique durable. Un réchauffement temporaire peut engager une perte de glace qui se poursuit à cause de la géométrie créée par le recul. La réversibilité doit donc être évaluée à chaque transfert entre les compartiments et non au seul niveau du forçage initial.</w:t>
      </w:r>
    </w:p>
    <w:p>
      <w:pPr>
        <w:pStyle w:val="Corpsdetexte"/>
        <w:widowControl/>
      </w:pPr>
      <w:r>
        <w:t>Les modèles du système Terre offrent déjà un terrain pour tester ces distinctions. Les Earth System Models qui couplent l’atmosphère, l’océan, la végétation dynamique et les cycles du carbone permettent d’estimer la persistance des traces et les transferts entre compartiments. Les configurations intégrant explicitement le carbone du pergélisol ou des modèles de calottes couplés permettent d’explorer l’asymétrie des trajectoires, les seuils de retour et la perte d’accessibilité. Ces expériences ne suppriment pas les incertitudes, particulièrement élevées pour les seuils et les changements de régime, mais elles permettent de construire des diagnostics comparables et falsifiables à partir de D, H et L [1, 5, 6, 16].</w:t>
      </w:r>
    </w:p>
    <w:p>
      <w:pPr>
        <w:pStyle w:val="Heading2"/>
        <w:keepNext/>
      </w:pPr>
      <w:r>
        <w:t>9.1. Repères empiriques et niveaux de confiance</w:t>
      </w:r>
    </w:p>
    <w:p>
      <w:pPr>
        <w:pStyle w:val="Corpsdetexte"/>
        <w:widowControl/>
      </w:pPr>
      <w:r>
        <w:t>Le bilan énergétique fournit l’ancrage le plus robuste. L’océan a absorbé plus de 90 % de l’excédent de chaleur du système climatique. Le Zero Emissions Commitment indique qu’un arrêt des émissions nettes de CO₂ tend à interrompre l’augmentation soutenue de la température globale, sans annuler les transformations déjà inscrites. Les réponses postérieures restent toutefois dépendantes des modèles, de l’horizon et de la définition exacte du zéro net [7, 8, 17, 18].</w:t>
      </w:r>
    </w:p>
    <w:p>
      <w:pPr>
        <w:pStyle w:val="Corpsdetexte"/>
        <w:widowControl/>
      </w:pPr>
      <w:r>
        <w:t>Les seuils des éléments de basculement doivent être présentés comme des intervalles de risque, et non comme des températures universelles. La synthèse de 2022 proposait des estimations centrales proches de 1,5 °C pour le Groenland et l’Antarctique occidental, avec de larges plages d’environ 0,8 à 3,0 °C et 1,0 à 3,0 °C. Des travaux plus récents obtiennent des valeurs différentes selon la définition du basculement, la durée du dépassement et les processus représentés. Ces chiffres servent donc à identifier une zone de vulnérabilité, pas à dater un point précis [15, 19].</w:t>
      </w:r>
    </w:p>
    <w:p>
      <w:pPr>
        <w:pStyle w:val="Corpsdetexte"/>
        <w:widowControl/>
      </w:pPr>
      <w:r>
        <w:t>Les récifs coralliens illustrent un risque biologique déjà élevé. Le GIEC projette une diminution supplémentaire de 70 à 90 % des récifs tropicaux à 1,5 °C de réchauffement et des pertes supérieures à 99 % à 2 °C. Il est plus rigoureux de parler de transition régionale, de perte de fonction et de très forte vulnérabilité que d’un seuil global unique déjà démontré [20].</w:t>
      </w:r>
    </w:p>
    <w:p>
      <w:pPr>
        <w:pStyle w:val="Corpsdetexte"/>
        <w:widowControl/>
      </w:pPr>
      <w:r>
        <w:t>Le pergélisol constitue surtout une rétroaction distribuée et une mémoire biogéochimique asymétrique. Une étude publiée en 2026 avec une version actualisée d’ORCHIDEE-MICT, intégrant des stocks profonds de Yedoma et de tourbières, réduit fortement le puits de carbone nordique simulé et projette, sous trajectoires d’émissions élevées, un passage vers une source nette au cours du siècle, autour des années 2050 dans les simulations présentées. Ce résultat est important, mais il reste dépendant du modèle et ne constitue pas à lui seul la preuve d’un seuil global du pergélisol [21].</w:t>
      </w:r>
    </w:p>
    <w:p>
      <w:pPr>
        <w:pStyle w:val="Corpsdetexte"/>
        <w:widowControl/>
      </w:pPr>
      <w:r>
        <w:t>Les cascades entre éléments de basculement sont physiquement plausibles et peuvent être explorées par des modèles en réseau, mais leurs amplitudes restent très incertaines. Une étude de 2024 estime que la stabilisation durable à 1,5 °C peut correspondre à un risque combiné supérieur à 50 % à très long terme pour quatre éléments représentés dans un modèle stylisé. Ce résultat ne doit pas être reformulé comme une augmentation de 50 % causée spécifiquement par la chaîne pergélisol → calottes → AMOC, que l’étude ne calcule pas [22].</w:t>
      </w:r>
    </w:p>
    <w:p>
      <w:pPr>
        <w:pStyle w:val="Heading1"/>
        <w:keepNext/>
      </w:pPr>
      <w:r>
        <w:t>10. Traduction dans le cadre ORI-C</w:t>
      </w:r>
    </w:p>
    <w:p>
      <w:pPr>
        <w:pStyle w:val="Corpsdetexte"/>
        <w:widowControl/>
      </w:pPr>
      <w:r>
        <w:rPr>
          <w:i w:val="0"/>
        </w:rPr>
        <w:t>Le cadre ORI-C décrit une chaîne dans laquelle les flux modifient les contraintes effectives, l’espace accessible, les seuils, l’organisation, la persistance, l’histoire, l’inscription et les possibles suivants. Le climat constitue un cas d’application particulièrement lisible de cette architecture.</w:t>
      </w:r>
    </w:p>
    <w:p>
      <w:pPr>
        <w:pStyle w:val="Equation"/>
        <w:keepNext/>
        <w:jc w:val="center"/>
      </w:pPr>
      <w:r>
        <w:t>Flux Fₜ → contraintes θeff → espace Σₜ → seuil Bₜ → organisation Oₜ → persistance Πₜ → histoire Hₜ → inscription mₜ → possibles Pₜ</w:t>
      </w:r>
    </w:p>
    <w:p>
      <w:pPr>
        <w:pStyle w:val="Corpsdetexte"/>
        <w:widowControl/>
      </w:pPr>
      <w:r>
        <w:rPr>
          <w:i w:val="0"/>
        </w:rPr>
        <w:t>Les émissions anthropiques modifient les flux de matière et la composition atmosphérique. Le bilan radiatif devient une contrainte effective nouvelle. L’excédent énergétique transforme l’espace des états climatiques accessibles. Les seuils de stabilité des glaces, des écosystèmes, des sols et des circulations se déplacent. Les organisations qui persistent inscrivent leur trajectoire dans la chaleur océanique, la masse de glace, la composition des communautés et la structure des sols. Ces inscriptions redéfinissent ensuite les possibles du système.</w:t>
      </w:r>
    </w:p>
    <w:p>
      <w:pPr>
        <w:pStyle w:val="Corpsdetexte"/>
        <w:widowControl/>
      </w:pPr>
      <w:r>
        <w:t>La séparation entre Pth et Pacc précise la notion de domaine des possibles. Une organisation peut rester théoriquement compatible avec les lois physiques tout en sortant du domaine accessible dans l’horizon humain. La viabilité ne dépend donc pas seulement de l’existence abstraite d’un état favorable, mais de la présence d’un chemin permettant de l’atteindre avant que les ressources, les composants ou les marges de récupération soient perdus.</w:t>
      </w:r>
    </w:p>
    <w:p>
      <w:pPr>
        <w:pStyle w:val="Corpsdetexte"/>
        <w:widowControl/>
      </w:pPr>
      <w:r>
        <w:t>Le climat montre aussi que l’architecture ne peut pas être réduite à une structure fixe. A(t) doit être une variable dynamique. L’histoire peut conserver l’architecture et seulement déplacer l’état. Elle peut déformer les bassins d’attraction. Elle peut enfin modifier les composants qui produisent les attracteurs eux-mêmes. Cette gradation offre une manière d’identifier le moment où une perturbation devient une transformation de la capacité de réponse.</w:t>
      </w:r>
    </w:p>
    <w:p>
      <w:pPr>
        <w:pStyle w:val="Corpsdetexte"/>
        <w:widowControl/>
      </w:pPr>
      <w:r>
        <w:rPr>
          <w:i w:val="0"/>
        </w:rPr>
        <w:t>La classification la plus robuste ne repose donc pas sur trois intensités alignées, mais sur une combinaison de propriétés. D mesure la persistance, H l’asymétrie du retour et L la perte de composants ou d’accessibilité. Une organisation devient quasi irréversible lorsque le domaine accessible ne contient plus de trajectoire de récupération dans l’horizon pertinent, même si cette organisation reste concevable dans un domaine théorique plus vaste.</w:t>
      </w:r>
    </w:p>
    <w:p>
      <w:pPr>
        <w:pStyle w:val="Corpsdetexte"/>
        <w:widowControl/>
      </w:pPr>
      <w:r>
        <w:t>L’application au climat renforce la portée opératoire d’ORI-C parce que les notions abstraites correspondent ici à des quantités observables. L’énergie accumulée, la masse de glace, la géométrie des calottes, les stocks de carbone, la structure des sols, la composition des communautés et l’information génétique donnent un contenu mesurable aux notions d’architecture, d’inscription et de domaine accessible. Le climat ne sert donc pas seulement d’illustration. Il permet de relier le cadre à des variables, des seuils, des temps de récupération et des trajectoires testables.</w:t>
      </w:r>
    </w:p>
    <w:p>
      <w:pPr>
        <w:pStyle w:val="Heading1"/>
        <w:keepNext/>
      </w:pPr>
      <w:r>
        <w:t>11. Limites et statut du cadre</w:t>
      </w:r>
    </w:p>
    <w:p>
      <w:pPr>
        <w:pStyle w:val="Corpsdetexte"/>
        <w:widowControl/>
      </w:pPr>
      <w:r>
        <w:t>Le cadre proposé est un méta-modèle destiné à organiser l’analyse des trajectoires, des sorties de modèles et des capacités de récupération. Il ne remplace pas les équations physiques des modèles climatiques. Sa force réside dans la taxinomie des mémoires, la distinction entre Pth et Pacc et le critère d’altération architecturale. Sa limite principale réside dans l’opérationnalisation de la frontière entre X et A.</w:t>
      </w:r>
    </w:p>
    <w:p>
      <w:pPr>
        <w:pStyle w:val="Corpsdetexte"/>
        <w:widowControl/>
      </w:pPr>
      <w:r>
        <w:t>L’introduction de ξ(t) reconnaît le rôle de la variabilité interne, des événements extrêmes et de leur ordre temporel, mais elle ne résout pas leur représentation. Les transitions peuvent dépendre de séquences rares, de perturbations composées et du temps de récupération entre deux événements. Le formalisme reste donc volontairement schématique et doit être confronté à des ensembles probabilistes, à des simulations d’overshoot et à des expériences de retour.</w:t>
      </w:r>
    </w:p>
    <w:p>
      <w:pPr>
        <w:pStyle w:val="Corpsdetexte"/>
        <w:widowControl/>
      </w:pPr>
      <w:r>
        <w:t>Le couplage non linéaire entre mémoires est également sous-déterminé. Les fonctions Gᵢ et les coefficients Cᵢⱼ indiquent où chercher les transferts d’irréversibilité, sans en fournir encore une loi générale. L’AMOC doit rester un exemple prudent, car la multi-stabilité, les seuils et la proximité d’un basculement demeurent fortement incertains. Les notations mathématiques ont donc un statut de guide de modélisation et non de modèle climatique fermé.</w:t>
      </w:r>
    </w:p>
    <w:p>
      <w:pPr>
        <w:pStyle w:val="Heading1"/>
        <w:keepNext/>
      </w:pPr>
      <w:r>
        <w:t>12. Implications pour la modélisation et la décision</w:t>
      </w:r>
    </w:p>
    <w:p>
      <w:pPr>
        <w:pStyle w:val="Corpsdetexte"/>
        <w:widowControl/>
      </w:pPr>
      <w:r>
        <w:rPr>
          <w:i w:val="0"/>
        </w:rPr>
        <w:t>Une modélisation centrée sur l’architecture historique doit conserver la diversité des constantes de temps et des mécanismes de mémoire. Elle doit également permettre aux fonctions de réponse de dépendre de l’état et à l’architecture d’évoluer. Les modèles climatiques couplés réalisent déjà une grande partie de ce travail en représentant les interactions entre atmosphère, océan, glace, végétation et cycles biogéochimiques. Le cadre architectural ne remplace pas ces modèles. Il propose une grille de lecture destinée à distinguer ce qui se déplace, ce qui se mémorise, ce qui devient asymétrique et ce qui perd ses conditions de reconstruction.</w:t>
      </w:r>
    </w:p>
    <w:p>
      <w:pPr>
        <w:pStyle w:val="Corpsdetexte"/>
        <w:widowControl/>
      </w:pPr>
      <w:r>
        <w:rPr>
          <w:i w:val="0"/>
        </w:rPr>
        <w:t>Cette distinction modifie la manière d’évaluer l’efficacité d’une action. Réduire rapidement les émissions limite l’accumulation future et préserve des chemins de retour. Extraire ensuite du CO₂ de l’atmosphère pourrait réduire la température, mais ne restaurerait pas automatiquement les sols, les espèces, les calottes ou les circulations perdues. Une politique climatique ne peut donc pas être jugée seulement sur une concentration ou une température cible. Elle doit être évaluée sur les inscriptions évitées, les capacités de récupération conservées et les architectures qu’elle empêche de franchir un seuil de reconstruction.</w:t>
      </w:r>
    </w:p>
    <w:p>
      <w:pPr>
        <w:pStyle w:val="Corpsdetexte"/>
        <w:widowControl/>
      </w:pPr>
      <w:r>
        <w:rPr>
          <w:i w:val="0"/>
        </w:rPr>
        <w:t>Le même principe vaut pour l’adaptation. Protéger une forêt ne consiste pas uniquement à maintenir une surface boisée. Il faut conserver les sols, les espèces fondatrices, les connexions écologiques, l’eau et les régimes de perturbation compatibles avec sa régénération. Protéger un littoral ne consiste pas uniquement à résister à un niveau marin donné. Il faut tenir compte de la montée engagée, de la subsidence, des sédiments et de l’évolution des écosystèmes côtiers. L’objet de la protection est une capacité de continuité, pas une photographie instantanée.</w:t>
      </w:r>
    </w:p>
    <w:p>
      <w:pPr>
        <w:pStyle w:val="Heading1"/>
        <w:keepNext/>
      </w:pPr>
      <w:r>
        <w:t>Conclusion</w:t>
      </w:r>
    </w:p>
    <w:p>
      <w:pPr>
        <w:pStyle w:val="Corpsdetexte"/>
        <w:widowControl/>
      </w:pPr>
      <w:r>
        <w:rPr>
          <w:i w:val="0"/>
        </w:rPr>
        <w:t>Le climat est un système couplé dont les réponses possèdent des durées, des formes et des degrés de récupérabilité différents. Le réchauffement anthropique modifie le bilan radiatif, mais ses conséquences ne se réduisent pas à l’augmentation d’une température moyenne. L’énergie accumulée est redistribuée dans l’océan, la cryosphère, les sols et la biosphère. Chaque compartiment conserve une trace du chemin parcouru et transforme les conditions de la réponse suivante.</w:t>
      </w:r>
    </w:p>
    <w:p>
      <w:pPr>
        <w:pStyle w:val="Corpsdetexte"/>
        <w:widowControl/>
      </w:pPr>
      <w:r>
        <w:rPr>
          <w:i w:val="0"/>
        </w:rPr>
        <w:t>La mémoire climatique doit être distinguée de l’hystérèse. L’hystérèse doit être distinguée du changement de régime. Le changement de régime doit être distingué de la destruction architecturale. Une trace peut durer longtemps sans modifier le seuil de retour. Un seuil peut être asymétrique sans que les composants soient détruits. Une architecture peut être amputée progressivement sans basculement brutal.</w:t>
      </w:r>
    </w:p>
    <w:p>
      <w:pPr>
        <w:pStyle w:val="Corpsdetexte"/>
        <w:widowControl/>
      </w:pPr>
      <w:r>
        <w:rPr>
          <w:i w:val="0"/>
        </w:rPr>
        <w:t>La véritable césure apparaît lorsque l’histoire cesse de seulement déplacer le système et commence à transformer l’accessibilité de ses trajectoires. Tant que l’organisation antérieure reste accessible dans l’horizon pertinent, l’inscription demeure réversible, même à coût élevé. Lorsque le retour exige d’autres conditions, l’inscription devient hystérétique. Lorsque les composants ou les relations doivent être reconstruits, elle devient structurelle. Lorsqu’aucune reconstruction admissible n’est possible à l’échelle considérée, elle devient quasi irréversible.</w:t>
      </w:r>
    </w:p>
    <w:p>
      <w:pPr>
        <w:pStyle w:val="Formulationcentrale"/>
        <w:keepNext/>
      </w:pPr>
      <w:r>
        <w:t>L’histoire n’est pas un décor du climat. Elle s’inscrit dans les composants, transforme les fonctions de réponse et redéfinit les futurs encore accessibles.</w:t>
      </w:r>
    </w:p>
    <w:p>
      <w:pPr>
        <w:pStyle w:val="Corpsdetexte"/>
        <w:widowControl/>
      </w:pPr>
      <w:r>
        <w:t>Cette lecture ne propose pas une cause climatique supplémentaire. Elle propose une architecture de compréhension et un cadre méta-modélisateur. Elle relie les flux, les contraintes, les mémoires, les événements, les seuils, les organisations et les possibilités de récupération. Le dérèglement climatique devient alors l’exemple d’un principe plus général : un système complexe entre dans une altération profonde lorsque l’accumulation des perturbations et leur couplage réduisent sa capacité à reconstruire les conditions de sa propre continuité. L’action climatique doit donc être évaluée non seulement par la température évitée, mais aussi par les inscriptions empêchées et les chemins de récupération conservés.</w:t>
      </w:r>
    </w:p>
    <w:p>
      <w:pPr>
        <w:pStyle w:val="Heading1"/>
        <w:keepNext/>
      </w:pPr>
      <w:r>
        <w:t>Références</w:t>
      </w:r>
    </w:p>
    <w:p>
      <w:pPr>
        <w:pStyle w:val="Référence"/>
        <w:ind w:left="425" w:hanging="425"/>
      </w:pPr>
      <w:r>
        <w:t>[1] IPCC. Climate Change 2021: The Physical Science Basis. Working Group I contribution to the Sixth Assessment Report. Summary for Policymakers and Chapter 3, Human Influence on the Climate System. Cambridge University Press, 2021.</w:t>
      </w:r>
      <w:r>
        <w:t xml:space="preserve"> </w:t>
      </w:r>
      <w:hyperlink r:id="rId11">
        <w:r>
          <w:rPr>
            <w:color w:val="245C7C"/>
            <w:u w:val="single"/>
          </w:rPr>
          <w:t>Accès en ligne</w:t>
        </w:r>
      </w:hyperlink>
    </w:p>
    <w:p>
      <w:pPr>
        <w:pStyle w:val="Référence"/>
        <w:ind w:left="425" w:hanging="425"/>
      </w:pPr>
      <w:r>
        <w:t>[2] IPCC. Climate Change 2021: The Physical Science Basis. Chapter 4, Future Global Climate: Scenario-Based Projections and Near-Term Information. Section on the Zero Emissions Commitment. Cambridge University Press, 2021.</w:t>
      </w:r>
      <w:r>
        <w:t xml:space="preserve"> </w:t>
      </w:r>
      <w:hyperlink r:id="rId12">
        <w:r>
          <w:rPr>
            <w:color w:val="245C7C"/>
            <w:u w:val="single"/>
          </w:rPr>
          <w:t>Accès en ligne</w:t>
        </w:r>
      </w:hyperlink>
    </w:p>
    <w:p>
      <w:pPr>
        <w:pStyle w:val="Référence"/>
        <w:ind w:left="425" w:hanging="425"/>
      </w:pPr>
      <w:r>
        <w:t>[3] IPCC. Climate Change 2021: The Physical Science Basis. Chapter 2, Changing State of the Climate System, and Chapter 5, Global Carbon and Other Biogeochemical Cycles and Feedbacks. Cambridge University Press, 2021.</w:t>
      </w:r>
      <w:r>
        <w:t xml:space="preserve"> </w:t>
      </w:r>
      <w:hyperlink r:id="rId11">
        <w:r>
          <w:rPr>
            <w:color w:val="245C7C"/>
            <w:u w:val="single"/>
          </w:rPr>
          <w:t>Accès en ligne</w:t>
        </w:r>
      </w:hyperlink>
    </w:p>
    <w:p>
      <w:pPr>
        <w:pStyle w:val="Référence"/>
        <w:ind w:left="425" w:hanging="425"/>
      </w:pPr>
      <w:r>
        <w:t>[4] IPCC. Climate Change 2021: The Physical Science Basis. Chapter 7, The Earth’s Energy Budget, Climate Feedbacks, and Climate Sensitivity. Cambridge University Press, 2021.</w:t>
      </w:r>
      <w:r>
        <w:t xml:space="preserve"> </w:t>
      </w:r>
      <w:hyperlink r:id="rId13">
        <w:r>
          <w:rPr>
            <w:color w:val="245C7C"/>
            <w:u w:val="single"/>
          </w:rPr>
          <w:t>Accès en ligne</w:t>
        </w:r>
      </w:hyperlink>
    </w:p>
    <w:p>
      <w:pPr>
        <w:pStyle w:val="Référence"/>
        <w:ind w:left="425" w:hanging="425"/>
      </w:pPr>
      <w:r>
        <w:t>[5] IPCC. Climate Change 2021: The Physical Science Basis. Chapter 9, Ocean, Cryosphere and Sea Level Change. Cambridge University Press, 2021.</w:t>
      </w:r>
      <w:r>
        <w:t xml:space="preserve"> </w:t>
      </w:r>
      <w:hyperlink r:id="rId14">
        <w:r>
          <w:rPr>
            <w:color w:val="245C7C"/>
            <w:u w:val="single"/>
          </w:rPr>
          <w:t>Accès en ligne</w:t>
        </w:r>
      </w:hyperlink>
    </w:p>
    <w:p>
      <w:pPr>
        <w:pStyle w:val="Référence"/>
        <w:ind w:left="425" w:hanging="425"/>
      </w:pPr>
      <w:r>
        <w:t>[6] IPCC. Climate Change 2021: The Physical Science Basis. Chapter 5, Global Carbon and Other Biogeochemical Cycles and Feedbacks. Cambridge University Press, 2021.</w:t>
      </w:r>
      <w:r>
        <w:t xml:space="preserve"> </w:t>
      </w:r>
      <w:hyperlink r:id="rId15">
        <w:r>
          <w:rPr>
            <w:color w:val="245C7C"/>
            <w:u w:val="single"/>
          </w:rPr>
          <w:t>Accès en ligne</w:t>
        </w:r>
      </w:hyperlink>
    </w:p>
    <w:p>
      <w:pPr>
        <w:pStyle w:val="Référence"/>
        <w:ind w:left="425" w:hanging="425"/>
      </w:pPr>
      <w:r>
        <w:t>[7] IPCC. Special Report on the Ocean and Cryosphere in a Changing Climate. Summary for Policymakers. 2019.</w:t>
      </w:r>
      <w:r>
        <w:t xml:space="preserve"> </w:t>
      </w:r>
      <w:hyperlink r:id="rId16">
        <w:r>
          <w:rPr>
            <w:color w:val="245C7C"/>
            <w:u w:val="single"/>
          </w:rPr>
          <w:t>Accès en ligne</w:t>
        </w:r>
      </w:hyperlink>
    </w:p>
    <w:p>
      <w:pPr>
        <w:pStyle w:val="Référence"/>
        <w:ind w:left="425" w:hanging="425"/>
      </w:pPr>
      <w:r>
        <w:t>[8] MacDougall, A. H. et al. Is there warming in the pipeline? A multi-model analysis of the Zero Emissions Commitment from CO2. Biogeosciences, 17, 2987-3016, 2020. DOI: 10.5194/bg-17-2987-2020.</w:t>
      </w:r>
      <w:r>
        <w:t xml:space="preserve"> </w:t>
      </w:r>
      <w:hyperlink r:id="rId17">
        <w:r>
          <w:rPr>
            <w:color w:val="245C7C"/>
            <w:u w:val="single"/>
          </w:rPr>
          <w:t>Accès en ligne</w:t>
        </w:r>
      </w:hyperlink>
    </w:p>
    <w:p>
      <w:pPr>
        <w:pStyle w:val="Référence"/>
        <w:ind w:left="425" w:hanging="425"/>
      </w:pPr>
      <w:r>
        <w:t>[9] Baltzer, J. L. et al. Increasing fire and the decline of fire-adapted black spruce in the boreal forest. Proceedings of the National Academy of Sciences, 118, e2024872118, 2021. DOI: 10.1073/pnas.2024872118.</w:t>
      </w:r>
      <w:r>
        <w:t xml:space="preserve"> </w:t>
      </w:r>
      <w:hyperlink r:id="rId18">
        <w:r>
          <w:rPr>
            <w:color w:val="245C7C"/>
            <w:u w:val="single"/>
          </w:rPr>
          <w:t>Accès en ligne</w:t>
        </w:r>
      </w:hyperlink>
    </w:p>
    <w:p>
      <w:pPr>
        <w:pStyle w:val="Référence"/>
        <w:ind w:left="425" w:hanging="425"/>
      </w:pPr>
      <w:r>
        <w:t>[10] Seidl, R. et al. Post-disturbance reorganization of forest ecosystems in a changing world. Proceedings of the National Academy of Sciences, 119, e2202190119, 2022. DOI: 10.1073/pnas.2202190119.</w:t>
      </w:r>
      <w:r>
        <w:t xml:space="preserve"> </w:t>
      </w:r>
      <w:hyperlink r:id="rId19">
        <w:r>
          <w:rPr>
            <w:color w:val="245C7C"/>
            <w:u w:val="single"/>
          </w:rPr>
          <w:t>Accès en ligne</w:t>
        </w:r>
      </w:hyperlink>
    </w:p>
    <w:p>
      <w:pPr>
        <w:pStyle w:val="Référence"/>
        <w:ind w:left="425" w:hanging="425"/>
      </w:pPr>
      <w:r>
        <w:t>[11] Kang, S. M. et al. Recent global climate feedback controlled by Southern Ocean cooling. Nature Geoscience, 16, 775-780, 2023. DOI: 10.1038/s41561-023-01256-6.</w:t>
      </w:r>
      <w:r>
        <w:t xml:space="preserve"> </w:t>
      </w:r>
      <w:hyperlink r:id="rId20">
        <w:r>
          <w:rPr>
            <w:color w:val="245C7C"/>
            <w:u w:val="single"/>
          </w:rPr>
          <w:t>Accès en ligne</w:t>
        </w:r>
      </w:hyperlink>
    </w:p>
    <w:p>
      <w:pPr>
        <w:pStyle w:val="Référence"/>
        <w:ind w:left="425" w:hanging="425"/>
      </w:pPr>
      <w:r>
        <w:t>[12] Armour, K. C. et al. Sea-surface temperature pattern effects have slowed global warming and biased warming-based constraints on climate sensitivity. Proceedings of the National Academy of Sciences, 121, e2312093121, 2024. DOI: 10.1073/pnas.2312093121.</w:t>
      </w:r>
      <w:r>
        <w:t xml:space="preserve"> </w:t>
      </w:r>
      <w:hyperlink r:id="rId21">
        <w:r>
          <w:rPr>
            <w:color w:val="245C7C"/>
            <w:u w:val="single"/>
          </w:rPr>
          <w:t>Accès en ligne</w:t>
        </w:r>
      </w:hyperlink>
    </w:p>
    <w:p>
      <w:pPr>
        <w:pStyle w:val="Référence"/>
        <w:ind w:left="425" w:hanging="425"/>
      </w:pPr>
      <w:r>
        <w:t>[13] van Westen, R. M., Kliphuis, M. and Dijkstra, H. A. Physics-based early warning signal shows that AMOC is on tipping course. Science Advances, 10, eadk1189, 2024. DOI: 10.1126/sciadv.adk1189.</w:t>
      </w:r>
      <w:r>
        <w:t xml:space="preserve"> </w:t>
      </w:r>
      <w:hyperlink r:id="rId22">
        <w:r>
          <w:rPr>
            <w:color w:val="245C7C"/>
            <w:u w:val="single"/>
          </w:rPr>
          <w:t>Accès en ligne</w:t>
        </w:r>
      </w:hyperlink>
    </w:p>
    <w:p>
      <w:pPr>
        <w:pStyle w:val="Référence"/>
        <w:ind w:left="425" w:hanging="425"/>
      </w:pPr>
      <w:r>
        <w:t>[14] Ben-Yami, M. et al. Uncertainties too large to predict tipping times of major Earth system components from historical data. Science Advances, 10, eadl4841, 2024. DOI: 10.1126/sciadv.adl4841.</w:t>
      </w:r>
      <w:r>
        <w:t xml:space="preserve"> </w:t>
      </w:r>
      <w:hyperlink r:id="rId23">
        <w:r>
          <w:rPr>
            <w:color w:val="245C7C"/>
            <w:u w:val="single"/>
          </w:rPr>
          <w:t>Accès en ligne</w:t>
        </w:r>
      </w:hyperlink>
    </w:p>
    <w:p>
      <w:pPr>
        <w:pStyle w:val="Référence"/>
        <w:ind w:left="425" w:hanging="425"/>
      </w:pPr>
      <w:r>
        <w:t>[15] Armstrong McKay, D. I. et al. Exceeding 1.5 °C global warming could trigger multiple climate tipping points. Science, 377, eabn7950, 2022. DOI: 10.1126/science.abn7950.</w:t>
      </w:r>
      <w:r>
        <w:t xml:space="preserve"> </w:t>
      </w:r>
      <w:hyperlink r:id="rId24">
        <w:r>
          <w:rPr>
            <w:color w:val="245C7C"/>
            <w:u w:val="single"/>
          </w:rPr>
          <w:t>Accès en ligne</w:t>
        </w:r>
      </w:hyperlink>
    </w:p>
    <w:p>
      <w:pPr>
        <w:pStyle w:val="Référence"/>
        <w:ind w:left="425" w:hanging="425"/>
      </w:pPr>
      <w:r>
        <w:t>[16] IPCC. Climate Change 2023: Synthesis Report. Intergovernmental Panel on Climate Change, Geneva, 2023.</w:t>
      </w:r>
      <w:r>
        <w:t xml:space="preserve"> </w:t>
      </w:r>
      <w:hyperlink r:id="rId25">
        <w:r>
          <w:rPr>
            <w:color w:val="245C7C"/>
            <w:u w:val="single"/>
          </w:rPr>
          <w:t>Accès en ligne</w:t>
        </w:r>
      </w:hyperlink>
    </w:p>
    <w:p>
      <w:pPr>
        <w:pStyle w:val="Référence"/>
      </w:pPr>
      <w:r>
        <w:t>[17] Borowiak, A. et al. Climate Stabilisation Under Net Zero CO₂ Emissions. Earth’s Future, 13, e2024EF005678, 2025. DOI: 10.1029/2024EF005678.</w:t>
      </w:r>
    </w:p>
    <w:p>
      <w:pPr>
        <w:pStyle w:val="Référence"/>
      </w:pPr>
      <w:r>
        <w:t>[18] Tarshish, N., Jeevanjee, N. and Fung, I. Multi-century cooling after net-zero greenhouse gas emissions. Nature Climate Change, 2026. DOI: 10.1038/s41558-026-02700-2.</w:t>
      </w:r>
    </w:p>
    <w:p>
      <w:pPr>
        <w:pStyle w:val="Référence"/>
      </w:pPr>
      <w:r>
        <w:t>[19] Bochow, N. et al. Overshooting the critical threshold for the Greenland ice sheet. Nature, 622, 528-536, 2023. DOI: 10.1038/s41586-023-06503-9.</w:t>
      </w:r>
    </w:p>
    <w:p>
      <w:pPr>
        <w:pStyle w:val="Référence"/>
      </w:pPr>
      <w:r>
        <w:t>[20] IPCC. Global Warming of 1.5 °C. Summary for Policymakers and Chapter 3, 2018. Coral reefs projected to decline by a further 70-90 % at 1.5 °C and by more than 99 % at 2 °C.</w:t>
      </w:r>
    </w:p>
    <w:p>
      <w:pPr>
        <w:pStyle w:val="Référence"/>
      </w:pPr>
      <w:r>
        <w:t>[21] Xi, Y. et al. Net release of CO₂ from thawing permafrost soil carbon predicted to occur earlier in this century. Science Advances, 12, eadz8478, 2026. DOI: 10.1126/sciadv.adz8478.</w:t>
      </w:r>
    </w:p>
    <w:p>
      <w:pPr>
        <w:pStyle w:val="Référence"/>
      </w:pPr>
      <w:r>
        <w:t>[22] Möller, T. et al. Achieving net zero greenhouse gas emissions critical to limit climate tipping risks. Nature Communications, 15, 6192, 2024. DOI: 10.1038/s41467-024-49863-0.</w:t>
      </w:r>
    </w:p>
    <w:sectPr w:rsidR="00FC693F" w:rsidRPr="0006063C" w:rsidSect="00034616">
      <w:headerReference w:type="default" r:id="rId9"/>
      <w:footerReference w:type="default" r:id="rId10"/>
      <w:pgSz w:w="12240" w:h="15840"/>
      <w:pgMar w:top="1134" w:right="1219" w:bottom="1020"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64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A6971"/>
        <w:sz w:val="16"/>
      </w:rPr>
      <w:t>LE CLIMAT COMME ARCHITECTURE HISTORIQUE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Titre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243E4D"/>
      <w:sz w:val="30"/>
      <w:szCs w:val="28"/>
    </w:rPr>
  </w:style>
  <w:style w:type="paragraph" w:styleId="Heading2">
    <w:name w:val="Titre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43E4D"/>
      <w:sz w:val="24"/>
      <w:szCs w:val="26"/>
    </w:rPr>
  </w:style>
  <w:style w:type="paragraph" w:styleId="Heading3">
    <w:name w:val="Titre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eastAsia="Aptos"/>
      <w:b/>
      <w:bCs/>
      <w:color w:val="243E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rpsdetexte">
    <w:name w:val="Corps de texte"/>
    <w:pPr>
      <w:widowControl/>
      <w:spacing w:line="271" w:lineRule="auto" w:after="80"/>
      <w:ind w:firstLine="312"/>
      <w:jc w:val="both"/>
    </w:pPr>
    <w:rPr>
      <w:rFonts w:ascii="Aptos" w:hAnsi="Aptos" w:eastAsia="Aptos"/>
      <w:sz w:val="21"/>
    </w:rPr>
  </w:style>
  <w:style w:type="paragraph" w:customStyle="1" w:styleId="Résumétexte">
    <w:name w:val="Résumé texte"/>
    <w:pPr>
      <w:spacing w:line="259" w:lineRule="auto" w:after="100"/>
      <w:jc w:val="both"/>
    </w:pPr>
    <w:rPr>
      <w:rFonts w:ascii="Aptos" w:hAnsi="Aptos" w:eastAsia="Aptos"/>
      <w:i/>
      <w:sz w:val="20"/>
    </w:rPr>
  </w:style>
  <w:style w:type="paragraph" w:customStyle="1" w:styleId="Formulationcentrale">
    <w:name w:val="Formulation centrale"/>
    <w:pPr>
      <w:keepLines/>
      <w:spacing w:before="140" w:after="160" w:line="264" w:lineRule="auto"/>
      <w:ind w:left="624" w:right="510"/>
    </w:pPr>
    <w:rPr>
      <w:rFonts w:ascii="Aptos" w:hAnsi="Aptos" w:eastAsia="Aptos"/>
      <w:i/>
      <w:color w:val="243E4D"/>
      <w:sz w:val="22"/>
    </w:rPr>
  </w:style>
  <w:style w:type="paragraph" w:customStyle="1" w:styleId="Référence">
    <w:name w:val="Référence"/>
    <w:pPr>
      <w:spacing w:line="230" w:lineRule="auto" w:after="40"/>
      <w:jc w:val="left"/>
    </w:pPr>
    <w:rPr>
      <w:rFonts w:ascii="Aptos" w:hAnsi="Aptos" w:eastAsia="Aptos"/>
      <w:sz w:val="18"/>
    </w:rPr>
  </w:style>
  <w:style w:type="paragraph" w:customStyle="1" w:styleId="Légende">
    <w:name w:val="Légende"/>
    <w:pPr>
      <w:spacing w:after="120"/>
      <w:jc w:val="center"/>
    </w:pPr>
    <w:rPr>
      <w:rFonts w:ascii="Aptos" w:hAnsi="Aptos"/>
      <w:i/>
      <w:color w:val="505050"/>
      <w:sz w:val="18"/>
    </w:rPr>
  </w:style>
  <w:style w:type="paragraph" w:customStyle="1" w:styleId="Equation">
    <w:name w:val="Equation"/>
    <w:pPr>
      <w:keepLines/>
      <w:spacing w:before="100" w:after="120"/>
    </w:pPr>
    <w:rPr>
      <w:rFonts w:ascii="Cambria Math" w:hAnsi="Cambria Math"/>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pcc.ch/report/ar6/wg1/" TargetMode="External"/><Relationship Id="rId12" Type="http://schemas.openxmlformats.org/officeDocument/2006/relationships/hyperlink" Target="https://www.ipcc.ch/report/ar6/wg1/chapter/chapter-4/" TargetMode="External"/><Relationship Id="rId13" Type="http://schemas.openxmlformats.org/officeDocument/2006/relationships/hyperlink" Target="https://www.ipcc.ch/report/ar6/wg1/chapter/chapter-7/" TargetMode="External"/><Relationship Id="rId14" Type="http://schemas.openxmlformats.org/officeDocument/2006/relationships/hyperlink" Target="https://www.ipcc.ch/report/ar6/wg1/chapter/chapter-9/" TargetMode="External"/><Relationship Id="rId15" Type="http://schemas.openxmlformats.org/officeDocument/2006/relationships/hyperlink" Target="https://www.ipcc.ch/report/ar6/wg1/chapter/chapter-5/" TargetMode="External"/><Relationship Id="rId16" Type="http://schemas.openxmlformats.org/officeDocument/2006/relationships/hyperlink" Target="https://www.ipcc.ch/srocc/" TargetMode="External"/><Relationship Id="rId17" Type="http://schemas.openxmlformats.org/officeDocument/2006/relationships/hyperlink" Target="https://bg.copernicus.org/articles/17/2987/2020/" TargetMode="External"/><Relationship Id="rId18" Type="http://schemas.openxmlformats.org/officeDocument/2006/relationships/hyperlink" Target="https://www.pnas.org/doi/10.1073/pnas.2024872118" TargetMode="External"/><Relationship Id="rId19" Type="http://schemas.openxmlformats.org/officeDocument/2006/relationships/hyperlink" Target="https://www.pnas.org/doi/10.1073/pnas.2202190119" TargetMode="External"/><Relationship Id="rId20" Type="http://schemas.openxmlformats.org/officeDocument/2006/relationships/hyperlink" Target="https://www.nature.com/articles/s41561-023-01256-6" TargetMode="External"/><Relationship Id="rId21" Type="http://schemas.openxmlformats.org/officeDocument/2006/relationships/hyperlink" Target="https://www.pnas.org/doi/10.1073/pnas.2312093121" TargetMode="External"/><Relationship Id="rId22" Type="http://schemas.openxmlformats.org/officeDocument/2006/relationships/hyperlink" Target="https://www.science.org/doi/10.1126/sciadv.adk1189" TargetMode="External"/><Relationship Id="rId23" Type="http://schemas.openxmlformats.org/officeDocument/2006/relationships/hyperlink" Target="https://www.science.org/doi/10.1126/sciadv.adl4841" TargetMode="External"/><Relationship Id="rId24" Type="http://schemas.openxmlformats.org/officeDocument/2006/relationships/hyperlink" Target="https://www.science.org/doi/10.1126/science.abn7950" TargetMode="External"/><Relationship Id="rId25" Type="http://schemas.openxmlformats.org/officeDocument/2006/relationships/hyperlink" Target="https://www.ipcc.ch/report/ar6/sy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climat comme architecture historique</dc:title>
  <dc:subject>Mémoire, hystérèse et transformation du domaine des possibles</dc:subject>
  <dc:creator/>
  <cp:keywords>climat, mémoire, hystérèse, architecture historique, ORI-C</cp:keywords>
  <dc:description/>
  <cp:lastModifiedBy/>
  <cp:revision>1</cp:revision>
  <dcterms:created xsi:type="dcterms:W3CDTF">2013-12-23T23:15:00Z</dcterms:created>
  <dcterms:modified xsi:type="dcterms:W3CDTF">2013-12-23T23:15:00Z</dcterms:modified>
  <cp:category/>
</cp:coreProperties>
</file>