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left"/>
        <w:pBdr>
          <w:bottom w:val="single" w:sz="16" w:space="8" w:color="2F6F73"/>
        </w:pBdr>
      </w:pPr>
      <w:r>
        <w:rPr>
          <w:rFonts w:ascii="Aptos" w:hAnsi="Aptos" w:eastAsia="Aptos"/>
          <w:b/>
          <w:color w:val="17365D"/>
          <w:sz w:val="60"/>
        </w:rPr>
        <w:t>LE VIVANT COMME TERRAIN ORI-C</w:t>
      </w:r>
    </w:p>
    <w:p>
      <w:pPr>
        <w:spacing w:before="160" w:after="120"/>
      </w:pPr>
      <w:r>
        <w:rPr>
          <w:rFonts w:ascii="Aptos" w:hAnsi="Aptos" w:eastAsia="Aptos"/>
          <w:b/>
          <w:color w:val="2F6F73"/>
          <w:sz w:val="40"/>
        </w:rPr>
        <w:t>Démonstration en trois actes</w:t>
      </w:r>
    </w:p>
    <w:p>
      <w:pPr>
        <w:spacing w:after="640"/>
      </w:pPr>
      <w:r>
        <w:rPr>
          <w:rFonts w:ascii="Aptos" w:hAnsi="Aptos" w:eastAsia="Aptos"/>
          <w:color w:val="404040"/>
          <w:sz w:val="27"/>
        </w:rPr>
        <w:t>Application descriptive, reconstruction historique et programme expérimental</w:t>
      </w:r>
    </w:p>
    <w:tbl>
      <w:tblPr>
        <w:tblW w:type="auto" w:w="0"/>
        <w:jc w:val="center"/>
        <w:tblLook w:firstColumn="1" w:firstRow="1" w:lastColumn="0" w:lastRow="0" w:noHBand="0" w:noVBand="1" w:val="04A0"/>
      </w:tblPr>
      <w:tblGrid>
        <w:gridCol w:w="9688"/>
      </w:tblGrid>
      <w:tr>
        <w:tc>
          <w:tcPr>
            <w:tcW w:type="dxa" w:w="9688"/>
            <w:shd w:fill="EEF3F8"/>
            <w:tcMar>
              <w:top w:w="140" w:type="dxa"/>
              <w:start w:w="170" w:type="dxa"/>
              <w:bottom w:w="140" w:type="dxa"/>
              <w:end w:w="170" w:type="dxa"/>
            </w:tcMar>
            <w:tcBorders>
              <w:top w:val="single" w:sz="8" w:color="17365D"/>
              <w:left w:val="single" w:sz="8" w:color="17365D"/>
              <w:bottom w:val="single" w:sz="8" w:color="17365D"/>
              <w:right w:val="single" w:sz="8" w:color="17365D"/>
            </w:tcBorders>
          </w:tcPr>
          <w:p>
            <w:r>
              <w:rPr>
                <w:rFonts w:ascii="Aptos" w:hAnsi="Aptos" w:eastAsia="Aptos"/>
                <w:b/>
                <w:color w:val="17365D"/>
                <w:sz w:val="20"/>
              </w:rPr>
              <w:t>STATUT DU DOCUMENT</w:t>
            </w:r>
          </w:p>
          <w:p>
            <w:pPr>
              <w:spacing w:after="0"/>
            </w:pPr>
            <w:r>
              <w:rPr>
                <w:rFonts w:ascii="Aptos" w:hAnsi="Aptos" w:eastAsia="Aptos"/>
                <w:color w:val="404040"/>
                <w:sz w:val="19"/>
              </w:rPr>
              <w:t>Ce texte constitue un prototype méthodologique structuré. Il montre comment le vocabulaire ORI-C peut organiser des connaissances biologiques établies et conduire à des hypothèses mesurables. Il ne présente ni une validation générale du cadre, ni une expérience ORI-C déjà réalisée, ni un pouvoir prédictif démontré.</w:t>
            </w:r>
          </w:p>
        </w:tc>
      </w:tr>
    </w:tbl>
    <w:p>
      <w:pPr>
        <w:spacing w:after="0"/>
      </w:pPr>
    </w:p>
    <w:p>
      <w:pPr>
        <w:spacing w:before="1800"/>
      </w:pPr>
      <w:r>
        <w:rPr>
          <w:rFonts w:ascii="Aptos" w:hAnsi="Aptos" w:eastAsia="Aptos"/>
          <w:b/>
          <w:color w:val="2F6F73"/>
          <w:sz w:val="21"/>
        </w:rPr>
        <w:t>Document conceptuel et méthodologique</w:t>
      </w:r>
    </w:p>
    <w:p>
      <w:r>
        <w:rPr>
          <w:rFonts w:ascii="Aptos" w:hAnsi="Aptos" w:eastAsia="Aptos"/>
          <w:color w:val="404040"/>
          <w:sz w:val="20"/>
        </w:rPr>
        <w:t>Juillet 2026</w:t>
      </w:r>
    </w:p>
    <w:p>
      <w:r>
        <w:br w:type="page"/>
      </w:r>
    </w:p>
    <w:p>
      <w:pPr>
        <w:pStyle w:val="Heading1"/>
      </w:pPr>
      <w:r>
        <w:t>Sommaire</w:t>
      </w:r>
    </w:p>
    <w:p>
      <w:pPr>
        <w:spacing w:after="80"/>
      </w:pPr>
      <w:r>
        <w:rPr>
          <w:rFonts w:ascii="Aptos" w:hAnsi="Aptos" w:eastAsia="Aptos"/>
          <w:color w:val="404040"/>
          <w:sz w:val="21"/>
        </w:rPr>
        <w:t>Résumé</w:t>
      </w:r>
    </w:p>
    <w:p>
      <w:pPr>
        <w:spacing w:after="80"/>
      </w:pPr>
      <w:r>
        <w:rPr>
          <w:rFonts w:ascii="Aptos" w:hAnsi="Aptos" w:eastAsia="Aptos"/>
          <w:color w:val="404040"/>
          <w:sz w:val="21"/>
        </w:rPr>
        <w:t>1. Positionnement scientifique et règles de lecture</w:t>
      </w:r>
    </w:p>
    <w:p>
      <w:pPr>
        <w:spacing w:after="80"/>
      </w:pPr>
      <w:r>
        <w:rPr>
          <w:rFonts w:ascii="Aptos" w:hAnsi="Aptos" w:eastAsia="Aptos"/>
          <w:color w:val="404040"/>
          <w:sz w:val="21"/>
        </w:rPr>
        <w:t>2. Vocabulaire minimal ORI-C mobilisé</w:t>
      </w:r>
    </w:p>
    <w:p>
      <w:pPr>
        <w:spacing w:after="80"/>
      </w:pPr>
      <w:r>
        <w:rPr>
          <w:rFonts w:ascii="Aptos" w:hAnsi="Aptos" w:eastAsia="Aptos"/>
          <w:color w:val="404040"/>
          <w:sz w:val="21"/>
        </w:rPr>
        <w:t>3. Acte 1 : la cellule eucaryote comme architecture matérielle</w:t>
      </w:r>
    </w:p>
    <w:p>
      <w:pPr>
        <w:spacing w:after="80"/>
      </w:pPr>
      <w:r>
        <w:rPr>
          <w:rFonts w:ascii="Aptos" w:hAnsi="Aptos" w:eastAsia="Aptos"/>
          <w:color w:val="404040"/>
          <w:sz w:val="21"/>
        </w:rPr>
        <w:t>4. Acte 2 : cartographier l’endosymbiose mitochondriale</w:t>
      </w:r>
    </w:p>
    <w:p>
      <w:pPr>
        <w:spacing w:after="80"/>
      </w:pPr>
      <w:r>
        <w:rPr>
          <w:rFonts w:ascii="Aptos" w:hAnsi="Aptos" w:eastAsia="Aptos"/>
          <w:color w:val="404040"/>
          <w:sz w:val="21"/>
        </w:rPr>
        <w:t>5. Acte 3 : tester une dynamique d’ouverture et de contraction</w:t>
      </w:r>
    </w:p>
    <w:p>
      <w:pPr>
        <w:spacing w:after="80"/>
      </w:pPr>
      <w:r>
        <w:rPr>
          <w:rFonts w:ascii="Aptos" w:hAnsi="Aptos" w:eastAsia="Aptos"/>
          <w:color w:val="404040"/>
          <w:sz w:val="21"/>
        </w:rPr>
        <w:t>6. Ce que la démonstration établit et ce qu’elle laisse ouvert</w:t>
      </w:r>
    </w:p>
    <w:p>
      <w:pPr>
        <w:spacing w:after="80"/>
      </w:pPr>
      <w:r>
        <w:rPr>
          <w:rFonts w:ascii="Aptos" w:hAnsi="Aptos" w:eastAsia="Aptos"/>
          <w:color w:val="404040"/>
          <w:sz w:val="21"/>
        </w:rPr>
        <w:t>7. Usages du document</w:t>
      </w:r>
    </w:p>
    <w:p>
      <w:pPr>
        <w:spacing w:after="80"/>
      </w:pPr>
      <w:r>
        <w:rPr>
          <w:rFonts w:ascii="Aptos" w:hAnsi="Aptos" w:eastAsia="Aptos"/>
          <w:color w:val="404040"/>
          <w:sz w:val="21"/>
        </w:rPr>
        <w:t>8. État d’avancement scientifique</w:t>
      </w:r>
    </w:p>
    <w:p>
      <w:pPr>
        <w:spacing w:after="80"/>
      </w:pPr>
      <w:r>
        <w:rPr>
          <w:rFonts w:ascii="Aptos" w:hAnsi="Aptos" w:eastAsia="Aptos"/>
          <w:color w:val="404040"/>
          <w:sz w:val="21"/>
        </w:rPr>
        <w:t>9. Programme de formalisation et de validation</w:t>
      </w:r>
    </w:p>
    <w:p>
      <w:pPr>
        <w:spacing w:after="80"/>
      </w:pPr>
      <w:r>
        <w:rPr>
          <w:rFonts w:ascii="Aptos" w:hAnsi="Aptos" w:eastAsia="Aptos"/>
          <w:color w:val="404040"/>
          <w:sz w:val="21"/>
        </w:rPr>
        <w:t>10. Conclusion générale</w:t>
      </w:r>
    </w:p>
    <w:p>
      <w:pPr>
        <w:spacing w:after="80"/>
      </w:pPr>
      <w:r>
        <w:rPr>
          <w:rFonts w:ascii="Aptos" w:hAnsi="Aptos" w:eastAsia="Aptos"/>
          <w:color w:val="404040"/>
          <w:sz w:val="21"/>
        </w:rPr>
        <w:t>Références</w:t>
      </w:r>
    </w:p>
    <w:p>
      <w:pPr>
        <w:spacing w:after="80"/>
      </w:pPr>
      <w:r>
        <w:rPr>
          <w:rFonts w:ascii="Aptos" w:hAnsi="Aptos" w:eastAsia="Aptos"/>
          <w:color w:val="404040"/>
          <w:sz w:val="21"/>
        </w:rPr>
        <w:t>Annexe : fiche pratique d’application</w:t>
      </w:r>
    </w:p>
    <w:p>
      <w:r>
        <w:br w:type="page"/>
      </w:r>
    </w:p>
    <w:p>
      <w:pPr>
        <w:pStyle w:val="Heading1"/>
      </w:pPr>
      <w:r>
        <w:t>Résumé</w:t>
      </w:r>
    </w:p>
    <w:p>
      <w:pPr>
        <w:pStyle w:val="Lead"/>
      </w:pPr>
      <w:r>
        <w:rPr>
          <w:rFonts w:ascii="Aptos" w:hAnsi="Aptos" w:eastAsia="Aptos"/>
        </w:rPr>
        <w:t>Cette démonstration utilise le vivant comme terrain d’application d’ORI-C. Elle poursuit trois objectifs distincts. Le premier consiste à montrer qu’une cellule eucaryote ne se laisse pas caractériser par sa seule composition, car son fonctionnement dépend aussi de sa configuration, de ses interactions, de ses échanges avec l’environnement, de ses mécanismes de persistance et de son histoire évolutive. Le deuxième applique les liens typés d’ORI-C à l’endosymbiose mitochondriale afin de séparer l’ascendance, l’intégration matérielle, l’apport fonctionnel, la transformation de l’environnement intracellulaire et l’ouverture de nouvelles possibilités. Le troisième transforme la résistance aux antibiotiques en proposition expérimentale, avec des variables et des critères permettant d’étudier une contraction ou une expansion conditionnelle du domaine de viabilité.</w:t>
      </w:r>
    </w:p>
    <w:p>
      <w:r>
        <w:rPr>
          <w:rFonts w:ascii="Aptos" w:hAnsi="Aptos" w:eastAsia="Aptos"/>
        </w:rPr>
        <w:t>L’ensemble constitue une preuve de concept méthodologique. Il établit que la grille peut être appliquée à plusieurs cas biologiques sans contradiction manifeste après clarification de ses catégories. Il ne démontre pas son universalité, sa supériorité explicative ou son pouvoir prédictif. Ces propriétés devront être évaluées par des définitions formelles, des règles d’attribution reproductibles et des comparaisons prospectives avec des modèles de référence.</w:t>
      </w:r>
    </w:p>
    <w:tbl>
      <w:tblPr>
        <w:tblW w:type="auto" w:w="0"/>
        <w:jc w:val="center"/>
        <w:tblLook w:firstColumn="1" w:firstRow="1" w:lastColumn="0" w:lastRow="0" w:noHBand="0" w:noVBand="1" w:val="04A0"/>
      </w:tblPr>
      <w:tblGrid>
        <w:gridCol w:w="9688"/>
      </w:tblGrid>
      <w:tr>
        <w:tc>
          <w:tcPr>
            <w:tcW w:type="dxa" w:w="9688"/>
            <w:shd w:fill="E2F0D9"/>
            <w:tcMar>
              <w:top w:w="140" w:type="dxa"/>
              <w:start w:w="170" w:type="dxa"/>
              <w:bottom w:w="140" w:type="dxa"/>
              <w:end w:w="170" w:type="dxa"/>
            </w:tcMar>
            <w:tcBorders>
              <w:top w:val="single" w:sz="8" w:color="2F6F73"/>
              <w:left w:val="single" w:sz="8" w:color="2F6F73"/>
              <w:bottom w:val="single" w:sz="8" w:color="2F6F73"/>
              <w:right w:val="single" w:sz="8" w:color="2F6F73"/>
            </w:tcBorders>
          </w:tcPr>
          <w:p>
            <w:r>
              <w:rPr>
                <w:rFonts w:ascii="Aptos" w:hAnsi="Aptos" w:eastAsia="Aptos"/>
                <w:b/>
                <w:color w:val="17365D"/>
                <w:sz w:val="20"/>
              </w:rPr>
              <w:t>MESSAGE CENTRAL</w:t>
            </w:r>
          </w:p>
          <w:p>
            <w:pPr>
              <w:spacing w:after="0"/>
            </w:pPr>
            <w:r>
              <w:rPr>
                <w:rFonts w:ascii="Aptos" w:hAnsi="Aptos" w:eastAsia="Aptos"/>
                <w:color w:val="404040"/>
                <w:sz w:val="19"/>
              </w:rPr>
              <w:t>Le vivant est un terrain privilégié pour évaluer ORI-C parce qu’il offre des archives génomiques, fossiles et écologiques, des mécanismes observables et des possibilités d’expérimentation directe. Cette richesse permet de distinguer ce qui relève d’une description, d’une reconstruction historique, d’une hypothèse mécanistique ou d’un test expérimental.</w:t>
            </w:r>
          </w:p>
        </w:tc>
      </w:tr>
    </w:tbl>
    <w:p>
      <w:pPr>
        <w:spacing w:after="0"/>
      </w:pPr>
    </w:p>
    <w:p>
      <w:r>
        <w:br w:type="page"/>
      </w:r>
    </w:p>
    <w:p>
      <w:pPr>
        <w:pStyle w:val="Heading1"/>
      </w:pPr>
      <w:r>
        <w:t>1. Positionnement scientifique et règles de lecture</w:t>
      </w:r>
    </w:p>
    <w:p>
      <w:pPr>
        <w:pStyle w:val="Heading2"/>
      </w:pPr>
      <w:r>
        <w:t>1.1. Nature du cadre</w:t>
      </w:r>
    </w:p>
    <w:p>
      <w:r>
        <w:rPr>
          <w:rFonts w:ascii="Aptos" w:hAnsi="Aptos" w:eastAsia="Aptos"/>
        </w:rPr>
        <w:t>Les dimensions n, G, I, E, Π et H, ainsi que les codes ENBL, DESC, MATR, ENVR, CNST ou STAB, appartiennent au formalisme ORI-C. Ils ne constituent pas une terminologie standard de la biologie. Leur valeur scientifique dépend de la stabilité de leurs définitions, de la possibilité de les attribuer de manière reproductible et de leur capacité à produire des distinctions ou des prédictions qui ne seraient pas obtenues aussi simplement par un cadre existant.</w:t>
      </w:r>
    </w:p>
    <w:p>
      <w:r>
        <w:rPr>
          <w:rFonts w:ascii="Aptos" w:hAnsi="Aptos" w:eastAsia="Aptos"/>
        </w:rPr>
        <w:t>Les identifiants de transitions, comme TR-039 pour l’endosymbiose mitochondriale, sont des identifiants internes. La littérature scientifique peut valider ou discuter les événements biologiques auxquels ils renvoient, mais elle ne valide pas l’identifiant ni la place que la carte ORI-C lui attribue.</w:t>
      </w:r>
    </w:p>
    <w:p>
      <w:pPr>
        <w:pStyle w:val="Heading2"/>
      </w:pPr>
      <w:r>
        <w:t>1.2. Quatre niveaux à maintenir séparés</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1701"/>
            <w:shd w:fill="17365D"/>
            <w:tcMar>
              <w:top w:w="100" w:type="dxa"/>
              <w:start w:w="90" w:type="dxa"/>
              <w:bottom w:w="100" w:type="dxa"/>
              <w:end w:w="90" w:type="dxa"/>
            </w:tcMar>
          </w:tcPr>
          <w:p>
            <w:pPr>
              <w:jc w:val="left"/>
            </w:pPr>
            <w:r>
              <w:rPr>
                <w:rFonts w:ascii="Aptos" w:hAnsi="Aptos" w:eastAsia="Aptos"/>
                <w:b/>
                <w:color w:val="FFFFFF"/>
                <w:sz w:val="18"/>
              </w:rPr>
              <w:t>Niveau</w:t>
            </w:r>
          </w:p>
        </w:tc>
        <w:tc>
          <w:tcPr>
            <w:tcW w:type="dxa" w:w="3969"/>
            <w:shd w:fill="17365D"/>
            <w:tcMar>
              <w:top w:w="100" w:type="dxa"/>
              <w:start w:w="90" w:type="dxa"/>
              <w:bottom w:w="100" w:type="dxa"/>
              <w:end w:w="90" w:type="dxa"/>
            </w:tcMar>
          </w:tcPr>
          <w:p>
            <w:pPr>
              <w:jc w:val="left"/>
            </w:pPr>
            <w:r>
              <w:rPr>
                <w:rFonts w:ascii="Aptos" w:hAnsi="Aptos" w:eastAsia="Aptos"/>
                <w:b/>
                <w:color w:val="FFFFFF"/>
                <w:sz w:val="18"/>
              </w:rPr>
              <w:t>Question scientifique</w:t>
            </w:r>
          </w:p>
        </w:tc>
        <w:tc>
          <w:tcPr>
            <w:tcW w:type="dxa" w:w="3628"/>
            <w:shd w:fill="17365D"/>
            <w:tcMar>
              <w:top w:w="100" w:type="dxa"/>
              <w:start w:w="90" w:type="dxa"/>
              <w:bottom w:w="100" w:type="dxa"/>
              <w:end w:w="90" w:type="dxa"/>
            </w:tcMar>
          </w:tcPr>
          <w:p>
            <w:pPr>
              <w:jc w:val="left"/>
            </w:pPr>
            <w:r>
              <w:rPr>
                <w:rFonts w:ascii="Aptos" w:hAnsi="Aptos" w:eastAsia="Aptos"/>
                <w:b/>
                <w:color w:val="FFFFFF"/>
                <w:sz w:val="18"/>
              </w:rPr>
              <w:t>Exemple dans ce document</w:t>
            </w:r>
          </w:p>
        </w:tc>
      </w:tr>
      <w:tr>
        <w:trPr>
          <w:cantSplit/>
        </w:trPr>
        <w:tc>
          <w:tcPr>
            <w:tcW w:type="dxa" w:w="1701"/>
            <w:tcMar>
              <w:top w:w="90" w:type="dxa"/>
              <w:start w:w="90" w:type="dxa"/>
              <w:bottom w:w="90" w:type="dxa"/>
              <w:end w:w="90" w:type="dxa"/>
            </w:tcMar>
          </w:tcPr>
          <w:p>
            <w:pPr>
              <w:spacing w:after="0"/>
            </w:pPr>
            <w:r>
              <w:rPr>
                <w:rFonts w:ascii="Aptos" w:hAnsi="Aptos" w:eastAsia="Aptos"/>
                <w:color w:val="404040"/>
                <w:sz w:val="18"/>
              </w:rPr>
              <w:t>Description</w:t>
            </w:r>
          </w:p>
        </w:tc>
        <w:tc>
          <w:tcPr>
            <w:tcW w:type="dxa" w:w="3969"/>
            <w:tcMar>
              <w:top w:w="90" w:type="dxa"/>
              <w:start w:w="90" w:type="dxa"/>
              <w:bottom w:w="90" w:type="dxa"/>
              <w:end w:w="90" w:type="dxa"/>
            </w:tcMar>
          </w:tcPr>
          <w:p>
            <w:pPr>
              <w:spacing w:after="0"/>
            </w:pPr>
            <w:r>
              <w:rPr>
                <w:rFonts w:ascii="Aptos" w:hAnsi="Aptos" w:eastAsia="Aptos"/>
                <w:color w:val="404040"/>
                <w:sz w:val="18"/>
              </w:rPr>
              <w:t>La grille permet-elle de représenter correctement un système connu ?</w:t>
            </w:r>
          </w:p>
        </w:tc>
        <w:tc>
          <w:tcPr>
            <w:tcW w:type="dxa" w:w="3628"/>
            <w:tcMar>
              <w:top w:w="90" w:type="dxa"/>
              <w:start w:w="90" w:type="dxa"/>
              <w:bottom w:w="90" w:type="dxa"/>
              <w:end w:w="90" w:type="dxa"/>
            </w:tcMar>
          </w:tcPr>
          <w:p>
            <w:pPr>
              <w:spacing w:after="0"/>
            </w:pPr>
            <w:r>
              <w:rPr>
                <w:rFonts w:ascii="Aptos" w:hAnsi="Aptos" w:eastAsia="Aptos"/>
                <w:color w:val="404040"/>
                <w:sz w:val="18"/>
              </w:rPr>
              <w:t>La cellule eucaryote décrite selon six dimensions.</w:t>
            </w:r>
          </w:p>
        </w:tc>
      </w:tr>
      <w:tr>
        <w:trPr>
          <w:cantSplit/>
        </w:trPr>
        <w:tc>
          <w:tcPr>
            <w:tcW w:type="dxa" w:w="1701"/>
            <w:tcMar>
              <w:top w:w="90" w:type="dxa"/>
              <w:start w:w="90" w:type="dxa"/>
              <w:bottom w:w="90" w:type="dxa"/>
              <w:end w:w="90" w:type="dxa"/>
            </w:tcMar>
            <w:shd w:fill="FAFAFA"/>
          </w:tcPr>
          <w:p>
            <w:pPr>
              <w:spacing w:after="0"/>
            </w:pPr>
            <w:r>
              <w:rPr>
                <w:rFonts w:ascii="Aptos" w:hAnsi="Aptos" w:eastAsia="Aptos"/>
                <w:color w:val="404040"/>
                <w:sz w:val="18"/>
              </w:rPr>
              <w:t>Reconstruction</w:t>
            </w:r>
          </w:p>
        </w:tc>
        <w:tc>
          <w:tcPr>
            <w:tcW w:type="dxa" w:w="3969"/>
            <w:tcMar>
              <w:top w:w="90" w:type="dxa"/>
              <w:start w:w="90" w:type="dxa"/>
              <w:bottom w:w="90" w:type="dxa"/>
              <w:end w:w="90" w:type="dxa"/>
            </w:tcMar>
            <w:shd w:fill="FAFAFA"/>
          </w:tcPr>
          <w:p>
            <w:pPr>
              <w:spacing w:after="0"/>
            </w:pPr>
            <w:r>
              <w:rPr>
                <w:rFonts w:ascii="Aptos" w:hAnsi="Aptos" w:eastAsia="Aptos"/>
                <w:color w:val="404040"/>
                <w:sz w:val="18"/>
              </w:rPr>
              <w:t>Le vocabulaire distingue-t-il les relations qui composent une transition passée ?</w:t>
            </w:r>
          </w:p>
        </w:tc>
        <w:tc>
          <w:tcPr>
            <w:tcW w:type="dxa" w:w="3628"/>
            <w:tcMar>
              <w:top w:w="90" w:type="dxa"/>
              <w:start w:w="90" w:type="dxa"/>
              <w:bottom w:w="90" w:type="dxa"/>
              <w:end w:w="90" w:type="dxa"/>
            </w:tcMar>
            <w:shd w:fill="FAFAFA"/>
          </w:tcPr>
          <w:p>
            <w:pPr>
              <w:spacing w:after="0"/>
            </w:pPr>
            <w:r>
              <w:rPr>
                <w:rFonts w:ascii="Aptos" w:hAnsi="Aptos" w:eastAsia="Aptos"/>
                <w:color w:val="404040"/>
                <w:sz w:val="18"/>
              </w:rPr>
              <w:t>L’endosymbiose mitochondriale et ses statuts de preuve.</w:t>
            </w:r>
          </w:p>
        </w:tc>
      </w:tr>
      <w:tr>
        <w:trPr>
          <w:cantSplit/>
        </w:trPr>
        <w:tc>
          <w:tcPr>
            <w:tcW w:type="dxa" w:w="1701"/>
            <w:tcMar>
              <w:top w:w="90" w:type="dxa"/>
              <w:start w:w="90" w:type="dxa"/>
              <w:bottom w:w="90" w:type="dxa"/>
              <w:end w:w="90" w:type="dxa"/>
            </w:tcMar>
          </w:tcPr>
          <w:p>
            <w:pPr>
              <w:spacing w:after="0"/>
            </w:pPr>
            <w:r>
              <w:rPr>
                <w:rFonts w:ascii="Aptos" w:hAnsi="Aptos" w:eastAsia="Aptos"/>
                <w:color w:val="404040"/>
                <w:sz w:val="18"/>
              </w:rPr>
              <w:t>Formalisation</w:t>
            </w:r>
          </w:p>
        </w:tc>
        <w:tc>
          <w:tcPr>
            <w:tcW w:type="dxa" w:w="3969"/>
            <w:tcMar>
              <w:top w:w="90" w:type="dxa"/>
              <w:start w:w="90" w:type="dxa"/>
              <w:bottom w:w="90" w:type="dxa"/>
              <w:end w:w="90" w:type="dxa"/>
            </w:tcMar>
          </w:tcPr>
          <w:p>
            <w:pPr>
              <w:spacing w:after="0"/>
            </w:pPr>
            <w:r>
              <w:rPr>
                <w:rFonts w:ascii="Aptos" w:hAnsi="Aptos" w:eastAsia="Aptos"/>
                <w:color w:val="404040"/>
                <w:sz w:val="18"/>
              </w:rPr>
              <w:t>Les termes deviennent-ils des variables et des règles calculables ?</w:t>
            </w:r>
          </w:p>
        </w:tc>
        <w:tc>
          <w:tcPr>
            <w:tcW w:type="dxa" w:w="3628"/>
            <w:tcMar>
              <w:top w:w="90" w:type="dxa"/>
              <w:start w:w="90" w:type="dxa"/>
              <w:bottom w:w="90" w:type="dxa"/>
              <w:end w:w="90" w:type="dxa"/>
            </w:tcMar>
          </w:tcPr>
          <w:p>
            <w:pPr>
              <w:spacing w:after="0"/>
            </w:pPr>
            <w:r>
              <w:rPr>
                <w:rFonts w:ascii="Aptos" w:hAnsi="Aptos" w:eastAsia="Aptos"/>
                <w:color w:val="404040"/>
                <w:sz w:val="18"/>
              </w:rPr>
              <w:t>Définition future de Ω et des changements de viabilité.</w:t>
            </w:r>
          </w:p>
        </w:tc>
      </w:tr>
      <w:tr>
        <w:trPr>
          <w:cantSplit/>
        </w:trPr>
        <w:tc>
          <w:tcPr>
            <w:tcW w:type="dxa" w:w="1701"/>
            <w:tcMar>
              <w:top w:w="90" w:type="dxa"/>
              <w:start w:w="90" w:type="dxa"/>
              <w:bottom w:w="90" w:type="dxa"/>
              <w:end w:w="90" w:type="dxa"/>
            </w:tcMar>
            <w:shd w:fill="FAFAFA"/>
          </w:tcPr>
          <w:p>
            <w:pPr>
              <w:spacing w:after="0"/>
            </w:pPr>
            <w:r>
              <w:rPr>
                <w:rFonts w:ascii="Aptos" w:hAnsi="Aptos" w:eastAsia="Aptos"/>
                <w:color w:val="404040"/>
                <w:sz w:val="18"/>
              </w:rPr>
              <w:t>Prédiction</w:t>
            </w:r>
          </w:p>
        </w:tc>
        <w:tc>
          <w:tcPr>
            <w:tcW w:type="dxa" w:w="3969"/>
            <w:tcMar>
              <w:top w:w="90" w:type="dxa"/>
              <w:start w:w="90" w:type="dxa"/>
              <w:bottom w:w="90" w:type="dxa"/>
              <w:end w:w="90" w:type="dxa"/>
            </w:tcMar>
            <w:shd w:fill="FAFAFA"/>
          </w:tcPr>
          <w:p>
            <w:pPr>
              <w:spacing w:after="0"/>
            </w:pPr>
            <w:r>
              <w:rPr>
                <w:rFonts w:ascii="Aptos" w:hAnsi="Aptos" w:eastAsia="Aptos"/>
                <w:color w:val="404040"/>
                <w:sz w:val="18"/>
              </w:rPr>
              <w:t>Le modèle annonce-t-il un résultat avant l’observation ?</w:t>
            </w:r>
          </w:p>
        </w:tc>
        <w:tc>
          <w:tcPr>
            <w:tcW w:type="dxa" w:w="3628"/>
            <w:tcMar>
              <w:top w:w="90" w:type="dxa"/>
              <w:start w:w="90" w:type="dxa"/>
              <w:bottom w:w="90" w:type="dxa"/>
              <w:end w:w="90" w:type="dxa"/>
            </w:tcMar>
            <w:shd w:fill="FAFAFA"/>
          </w:tcPr>
          <w:p>
            <w:pPr>
              <w:spacing w:after="0"/>
            </w:pPr>
            <w:r>
              <w:rPr>
                <w:rFonts w:ascii="Aptos" w:hAnsi="Aptos" w:eastAsia="Aptos"/>
                <w:color w:val="404040"/>
                <w:sz w:val="18"/>
              </w:rPr>
              <w:t>Trajectoire quantitative d’une population soumise à un antibiotique.</w:t>
            </w:r>
          </w:p>
        </w:tc>
      </w:tr>
    </w:tbl>
    <w:p>
      <w:pPr>
        <w:spacing w:after="0"/>
      </w:pPr>
    </w:p>
    <w:p>
      <w:pPr>
        <w:pStyle w:val="QuoteORI"/>
        <w:pBdr>
          <w:left w:val="single" w:sz="18" w:space="8" w:color="2F6F73"/>
        </w:pBdr>
      </w:pPr>
      <w:r>
        <w:rPr>
          <w:rFonts w:ascii="Aptos" w:hAnsi="Aptos" w:eastAsia="Aptos"/>
          <w:i/>
          <w:color w:val="17365D"/>
          <w:sz w:val="23"/>
        </w:rPr>
        <w:t>ORI-C peut actuellement organiser une description et formuler un programme de test. Le passage à un modèle prédictif exige encore une formalisation explicite.</w:t>
      </w:r>
    </w:p>
    <w:p>
      <w:pPr>
        <w:pStyle w:val="Heading2"/>
      </w:pPr>
      <w:r>
        <w:t>1.3. Règles de formulation</w:t>
      </w:r>
    </w:p>
    <w:p>
      <w:pPr>
        <w:pStyle w:val="ListBullet"/>
        <w:spacing w:after="60"/>
      </w:pPr>
      <w:r>
        <w:rPr>
          <w:rFonts w:ascii="Aptos" w:hAnsi="Aptos" w:eastAsia="Aptos"/>
        </w:rPr>
        <w:t>Employer « ORI-C propose de décrire », « la grille distingue » ou « cette relation peut être cartographiée » lorsque le cadre réorganise des connaissances existantes.</w:t>
      </w:r>
    </w:p>
    <w:p>
      <w:pPr>
        <w:pStyle w:val="ListBullet"/>
        <w:spacing w:after="60"/>
      </w:pPr>
      <w:r>
        <w:rPr>
          <w:rFonts w:ascii="Aptos" w:hAnsi="Aptos" w:eastAsia="Aptos"/>
        </w:rPr>
        <w:t>Réserver « explique », « prédit » ou « démontre » aux résultats propres au cadre, obtenus par une analyse ou une expérience définie à l’avance.</w:t>
      </w:r>
    </w:p>
    <w:p>
      <w:pPr>
        <w:pStyle w:val="ListBullet"/>
        <w:spacing w:after="60"/>
      </w:pPr>
      <w:r>
        <w:rPr>
          <w:rFonts w:ascii="Aptos" w:hAnsi="Aptos" w:eastAsia="Aptos"/>
        </w:rPr>
        <w:t>Attribuer un statut à chaque relation particulière, plutôt qu’un statut global à toute une transition.</w:t>
      </w:r>
    </w:p>
    <w:p>
      <w:pPr>
        <w:pStyle w:val="ListBullet"/>
        <w:spacing w:after="60"/>
      </w:pPr>
      <w:r>
        <w:rPr>
          <w:rFonts w:ascii="Aptos" w:hAnsi="Aptos" w:eastAsia="Aptos"/>
        </w:rPr>
        <w:t>Séparer une condition de possibilité, une causalité, une ascendance, un apport matériel et une succession temporelle.</w:t>
      </w:r>
    </w:p>
    <w:p>
      <w:pPr>
        <w:pStyle w:val="ListBullet"/>
        <w:spacing w:after="60"/>
      </w:pPr>
      <w:r>
        <w:rPr>
          <w:rFonts w:ascii="Aptos" w:hAnsi="Aptos" w:eastAsia="Aptos"/>
        </w:rPr>
        <w:t>Préciser l’échelle d’analyse, car une cellule, un clone, une population et une lignée n’ont pas les mêmes mécanismes de persistance.</w:t>
      </w:r>
    </w:p>
    <w:p>
      <w:pPr>
        <w:pStyle w:val="Heading1"/>
      </w:pPr>
      <w:r>
        <w:t>2. Vocabulaire minimal ORI-C mobilisé</w:t>
      </w:r>
    </w:p>
    <w:p>
      <w:pPr>
        <w:pStyle w:val="Heading2"/>
      </w:pPr>
      <w:r>
        <w:t>2.1. Les six dimensions</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1871"/>
            <w:shd w:fill="17365D"/>
            <w:tcMar>
              <w:top w:w="100" w:type="dxa"/>
              <w:start w:w="90" w:type="dxa"/>
              <w:bottom w:w="100" w:type="dxa"/>
              <w:end w:w="90" w:type="dxa"/>
            </w:tcMar>
          </w:tcPr>
          <w:p>
            <w:pPr>
              <w:jc w:val="left"/>
            </w:pPr>
            <w:r>
              <w:rPr>
                <w:rFonts w:ascii="Aptos" w:hAnsi="Aptos" w:eastAsia="Aptos"/>
                <w:b/>
                <w:color w:val="FFFFFF"/>
                <w:sz w:val="18"/>
              </w:rPr>
              <w:t>Dimension</w:t>
            </w:r>
          </w:p>
        </w:tc>
        <w:tc>
          <w:tcPr>
            <w:tcW w:type="dxa" w:w="4082"/>
            <w:shd w:fill="17365D"/>
            <w:tcMar>
              <w:top w:w="100" w:type="dxa"/>
              <w:start w:w="90" w:type="dxa"/>
              <w:bottom w:w="100" w:type="dxa"/>
              <w:end w:w="90" w:type="dxa"/>
            </w:tcMar>
          </w:tcPr>
          <w:p>
            <w:pPr>
              <w:jc w:val="left"/>
            </w:pPr>
            <w:r>
              <w:rPr>
                <w:rFonts w:ascii="Aptos" w:hAnsi="Aptos" w:eastAsia="Aptos"/>
                <w:b/>
                <w:color w:val="FFFFFF"/>
                <w:sz w:val="18"/>
              </w:rPr>
              <w:t>Fonction dans la grille</w:t>
            </w:r>
          </w:p>
        </w:tc>
        <w:tc>
          <w:tcPr>
            <w:tcW w:type="dxa" w:w="3345"/>
            <w:shd w:fill="17365D"/>
            <w:tcMar>
              <w:top w:w="100" w:type="dxa"/>
              <w:start w:w="90" w:type="dxa"/>
              <w:bottom w:w="100" w:type="dxa"/>
              <w:end w:w="90" w:type="dxa"/>
            </w:tcMar>
          </w:tcPr>
          <w:p>
            <w:pPr>
              <w:jc w:val="left"/>
            </w:pPr>
            <w:r>
              <w:rPr>
                <w:rFonts w:ascii="Aptos" w:hAnsi="Aptos" w:eastAsia="Aptos"/>
                <w:b/>
                <w:color w:val="FFFFFF"/>
                <w:sz w:val="18"/>
              </w:rPr>
              <w:t>Question directrice</w:t>
            </w:r>
          </w:p>
        </w:tc>
      </w:tr>
      <w:tr>
        <w:trPr>
          <w:cantSplit/>
        </w:trPr>
        <w:tc>
          <w:tcPr>
            <w:tcW w:type="dxa" w:w="1871"/>
            <w:tcMar>
              <w:top w:w="90" w:type="dxa"/>
              <w:start w:w="90" w:type="dxa"/>
              <w:bottom w:w="90" w:type="dxa"/>
              <w:end w:w="90" w:type="dxa"/>
            </w:tcMar>
          </w:tcPr>
          <w:p>
            <w:pPr>
              <w:spacing w:after="0"/>
            </w:pPr>
            <w:r>
              <w:rPr>
                <w:rFonts w:ascii="Aptos" w:hAnsi="Aptos" w:eastAsia="Aptos"/>
                <w:color w:val="404040"/>
                <w:sz w:val="18"/>
              </w:rPr>
              <w:t>Composition (n)</w:t>
            </w:r>
          </w:p>
        </w:tc>
        <w:tc>
          <w:tcPr>
            <w:tcW w:type="dxa" w:w="4082"/>
            <w:tcMar>
              <w:top w:w="90" w:type="dxa"/>
              <w:start w:w="90" w:type="dxa"/>
              <w:bottom w:w="90" w:type="dxa"/>
              <w:end w:w="90" w:type="dxa"/>
            </w:tcMar>
          </w:tcPr>
          <w:p>
            <w:pPr>
              <w:spacing w:after="0"/>
            </w:pPr>
            <w:r>
              <w:rPr>
                <w:rFonts w:ascii="Aptos" w:hAnsi="Aptos" w:eastAsia="Aptos"/>
                <w:color w:val="404040"/>
                <w:sz w:val="18"/>
              </w:rPr>
              <w:t>Constituants présents et leurs proportions.</w:t>
            </w:r>
          </w:p>
        </w:tc>
        <w:tc>
          <w:tcPr>
            <w:tcW w:type="dxa" w:w="3345"/>
            <w:tcMar>
              <w:top w:w="90" w:type="dxa"/>
              <w:start w:w="90" w:type="dxa"/>
              <w:bottom w:w="90" w:type="dxa"/>
              <w:end w:w="90" w:type="dxa"/>
            </w:tcMar>
          </w:tcPr>
          <w:p>
            <w:pPr>
              <w:spacing w:after="0"/>
            </w:pPr>
            <w:r>
              <w:rPr>
                <w:rFonts w:ascii="Aptos" w:hAnsi="Aptos" w:eastAsia="Aptos"/>
                <w:color w:val="404040"/>
                <w:sz w:val="18"/>
              </w:rPr>
              <w:t>De quoi le système est-il matériellement composé ?</w:t>
            </w:r>
          </w:p>
        </w:tc>
      </w:tr>
      <w:tr>
        <w:trPr>
          <w:cantSplit/>
        </w:trPr>
        <w:tc>
          <w:tcPr>
            <w:tcW w:type="dxa" w:w="1871"/>
            <w:tcMar>
              <w:top w:w="90" w:type="dxa"/>
              <w:start w:w="90" w:type="dxa"/>
              <w:bottom w:w="90" w:type="dxa"/>
              <w:end w:w="90" w:type="dxa"/>
            </w:tcMar>
            <w:shd w:fill="FAFAFA"/>
          </w:tcPr>
          <w:p>
            <w:pPr>
              <w:spacing w:after="0"/>
            </w:pPr>
            <w:r>
              <w:rPr>
                <w:rFonts w:ascii="Aptos" w:hAnsi="Aptos" w:eastAsia="Aptos"/>
                <w:color w:val="404040"/>
                <w:sz w:val="18"/>
              </w:rPr>
              <w:t>Configuration (G)</w:t>
            </w:r>
          </w:p>
        </w:tc>
        <w:tc>
          <w:tcPr>
            <w:tcW w:type="dxa" w:w="4082"/>
            <w:tcMar>
              <w:top w:w="90" w:type="dxa"/>
              <w:start w:w="90" w:type="dxa"/>
              <w:bottom w:w="90" w:type="dxa"/>
              <w:end w:w="90" w:type="dxa"/>
            </w:tcMar>
            <w:shd w:fill="FAFAFA"/>
          </w:tcPr>
          <w:p>
            <w:pPr>
              <w:spacing w:after="0"/>
            </w:pPr>
            <w:r>
              <w:rPr>
                <w:rFonts w:ascii="Aptos" w:hAnsi="Aptos" w:eastAsia="Aptos"/>
                <w:color w:val="404040"/>
                <w:sz w:val="18"/>
              </w:rPr>
              <w:t>Organisation spatiale, compartiments et relations structurales.</w:t>
            </w:r>
          </w:p>
        </w:tc>
        <w:tc>
          <w:tcPr>
            <w:tcW w:type="dxa" w:w="3345"/>
            <w:tcMar>
              <w:top w:w="90" w:type="dxa"/>
              <w:start w:w="90" w:type="dxa"/>
              <w:bottom w:w="90" w:type="dxa"/>
              <w:end w:w="90" w:type="dxa"/>
            </w:tcMar>
            <w:shd w:fill="FAFAFA"/>
          </w:tcPr>
          <w:p>
            <w:pPr>
              <w:spacing w:after="0"/>
            </w:pPr>
            <w:r>
              <w:rPr>
                <w:rFonts w:ascii="Aptos" w:hAnsi="Aptos" w:eastAsia="Aptos"/>
                <w:color w:val="404040"/>
                <w:sz w:val="18"/>
              </w:rPr>
              <w:t>Comment les constituants sont-ils arrangés ?</w:t>
            </w:r>
          </w:p>
        </w:tc>
      </w:tr>
      <w:tr>
        <w:trPr>
          <w:cantSplit/>
        </w:trPr>
        <w:tc>
          <w:tcPr>
            <w:tcW w:type="dxa" w:w="1871"/>
            <w:tcMar>
              <w:top w:w="90" w:type="dxa"/>
              <w:start w:w="90" w:type="dxa"/>
              <w:bottom w:w="90" w:type="dxa"/>
              <w:end w:w="90" w:type="dxa"/>
            </w:tcMar>
          </w:tcPr>
          <w:p>
            <w:pPr>
              <w:spacing w:after="0"/>
            </w:pPr>
            <w:r>
              <w:rPr>
                <w:rFonts w:ascii="Aptos" w:hAnsi="Aptos" w:eastAsia="Aptos"/>
                <w:color w:val="404040"/>
                <w:sz w:val="18"/>
              </w:rPr>
              <w:t>Interactions (I)</w:t>
            </w:r>
          </w:p>
        </w:tc>
        <w:tc>
          <w:tcPr>
            <w:tcW w:type="dxa" w:w="4082"/>
            <w:tcMar>
              <w:top w:w="90" w:type="dxa"/>
              <w:start w:w="90" w:type="dxa"/>
              <w:bottom w:w="90" w:type="dxa"/>
              <w:end w:w="90" w:type="dxa"/>
            </w:tcMar>
          </w:tcPr>
          <w:p>
            <w:pPr>
              <w:spacing w:after="0"/>
            </w:pPr>
            <w:r>
              <w:rPr>
                <w:rFonts w:ascii="Aptos" w:hAnsi="Aptos" w:eastAsia="Aptos"/>
                <w:color w:val="404040"/>
                <w:sz w:val="18"/>
              </w:rPr>
              <w:t>Transformations, échanges, couplages et régulations.</w:t>
            </w:r>
          </w:p>
        </w:tc>
        <w:tc>
          <w:tcPr>
            <w:tcW w:type="dxa" w:w="3345"/>
            <w:tcMar>
              <w:top w:w="90" w:type="dxa"/>
              <w:start w:w="90" w:type="dxa"/>
              <w:bottom w:w="90" w:type="dxa"/>
              <w:end w:w="90" w:type="dxa"/>
            </w:tcMar>
          </w:tcPr>
          <w:p>
            <w:pPr>
              <w:spacing w:after="0"/>
            </w:pPr>
            <w:r>
              <w:rPr>
                <w:rFonts w:ascii="Aptos" w:hAnsi="Aptos" w:eastAsia="Aptos"/>
                <w:color w:val="404040"/>
                <w:sz w:val="18"/>
              </w:rPr>
              <w:t>Que font les éléments les uns avec les autres ?</w:t>
            </w:r>
          </w:p>
        </w:tc>
      </w:tr>
      <w:tr>
        <w:trPr>
          <w:cantSplit/>
        </w:trPr>
        <w:tc>
          <w:tcPr>
            <w:tcW w:type="dxa" w:w="1871"/>
            <w:tcMar>
              <w:top w:w="90" w:type="dxa"/>
              <w:start w:w="90" w:type="dxa"/>
              <w:bottom w:w="90" w:type="dxa"/>
              <w:end w:w="90" w:type="dxa"/>
            </w:tcMar>
            <w:shd w:fill="FAFAFA"/>
          </w:tcPr>
          <w:p>
            <w:pPr>
              <w:spacing w:after="0"/>
            </w:pPr>
            <w:r>
              <w:rPr>
                <w:rFonts w:ascii="Aptos" w:hAnsi="Aptos" w:eastAsia="Aptos"/>
                <w:color w:val="404040"/>
                <w:sz w:val="18"/>
              </w:rPr>
              <w:t>Environnement (E)</w:t>
            </w:r>
          </w:p>
        </w:tc>
        <w:tc>
          <w:tcPr>
            <w:tcW w:type="dxa" w:w="4082"/>
            <w:tcMar>
              <w:top w:w="90" w:type="dxa"/>
              <w:start w:w="90" w:type="dxa"/>
              <w:bottom w:w="90" w:type="dxa"/>
              <w:end w:w="90" w:type="dxa"/>
            </w:tcMar>
            <w:shd w:fill="FAFAFA"/>
          </w:tcPr>
          <w:p>
            <w:pPr>
              <w:spacing w:after="0"/>
            </w:pPr>
            <w:r>
              <w:rPr>
                <w:rFonts w:ascii="Aptos" w:hAnsi="Aptos" w:eastAsia="Aptos"/>
                <w:color w:val="404040"/>
                <w:sz w:val="18"/>
              </w:rPr>
              <w:t>Conditions externes et flux traversant la frontière du système.</w:t>
            </w:r>
          </w:p>
        </w:tc>
        <w:tc>
          <w:tcPr>
            <w:tcW w:type="dxa" w:w="3345"/>
            <w:tcMar>
              <w:top w:w="90" w:type="dxa"/>
              <w:start w:w="90" w:type="dxa"/>
              <w:bottom w:w="90" w:type="dxa"/>
              <w:end w:w="90" w:type="dxa"/>
            </w:tcMar>
            <w:shd w:fill="FAFAFA"/>
          </w:tcPr>
          <w:p>
            <w:pPr>
              <w:spacing w:after="0"/>
            </w:pPr>
            <w:r>
              <w:rPr>
                <w:rFonts w:ascii="Aptos" w:hAnsi="Aptos" w:eastAsia="Aptos"/>
                <w:color w:val="404040"/>
                <w:sz w:val="18"/>
              </w:rPr>
              <w:t>Dans quel milieu le système fonctionne-t-il ?</w:t>
            </w:r>
          </w:p>
        </w:tc>
      </w:tr>
      <w:tr>
        <w:trPr>
          <w:cantSplit/>
        </w:trPr>
        <w:tc>
          <w:tcPr>
            <w:tcW w:type="dxa" w:w="1871"/>
            <w:tcMar>
              <w:top w:w="90" w:type="dxa"/>
              <w:start w:w="90" w:type="dxa"/>
              <w:bottom w:w="90" w:type="dxa"/>
              <w:end w:w="90" w:type="dxa"/>
            </w:tcMar>
          </w:tcPr>
          <w:p>
            <w:pPr>
              <w:spacing w:after="0"/>
            </w:pPr>
            <w:r>
              <w:rPr>
                <w:rFonts w:ascii="Aptos" w:hAnsi="Aptos" w:eastAsia="Aptos"/>
                <w:color w:val="404040"/>
                <w:sz w:val="18"/>
              </w:rPr>
              <w:t>Persistance (Π)</w:t>
            </w:r>
          </w:p>
        </w:tc>
        <w:tc>
          <w:tcPr>
            <w:tcW w:type="dxa" w:w="4082"/>
            <w:tcMar>
              <w:top w:w="90" w:type="dxa"/>
              <w:start w:w="90" w:type="dxa"/>
              <w:bottom w:w="90" w:type="dxa"/>
              <w:end w:w="90" w:type="dxa"/>
            </w:tcMar>
          </w:tcPr>
          <w:p>
            <w:pPr>
              <w:spacing w:after="0"/>
            </w:pPr>
            <w:r>
              <w:rPr>
                <w:rFonts w:ascii="Aptos" w:hAnsi="Aptos" w:eastAsia="Aptos"/>
                <w:color w:val="404040"/>
                <w:sz w:val="18"/>
              </w:rPr>
              <w:t>Processus qui maintiennent une organisation ou une lignée dans le temps.</w:t>
            </w:r>
          </w:p>
        </w:tc>
        <w:tc>
          <w:tcPr>
            <w:tcW w:type="dxa" w:w="3345"/>
            <w:tcMar>
              <w:top w:w="90" w:type="dxa"/>
              <w:start w:w="90" w:type="dxa"/>
              <w:bottom w:w="90" w:type="dxa"/>
              <w:end w:w="90" w:type="dxa"/>
            </w:tcMar>
          </w:tcPr>
          <w:p>
            <w:pPr>
              <w:spacing w:after="0"/>
            </w:pPr>
            <w:r>
              <w:rPr>
                <w:rFonts w:ascii="Aptos" w:hAnsi="Aptos" w:eastAsia="Aptos"/>
                <w:color w:val="404040"/>
                <w:sz w:val="18"/>
              </w:rPr>
              <w:t>Comment la continuité est-elle produite ?</w:t>
            </w:r>
          </w:p>
        </w:tc>
      </w:tr>
      <w:tr>
        <w:trPr>
          <w:cantSplit/>
        </w:trPr>
        <w:tc>
          <w:tcPr>
            <w:tcW w:type="dxa" w:w="1871"/>
            <w:tcMar>
              <w:top w:w="90" w:type="dxa"/>
              <w:start w:w="90" w:type="dxa"/>
              <w:bottom w:w="90" w:type="dxa"/>
              <w:end w:w="90" w:type="dxa"/>
            </w:tcMar>
            <w:shd w:fill="FAFAFA"/>
          </w:tcPr>
          <w:p>
            <w:pPr>
              <w:spacing w:after="0"/>
            </w:pPr>
            <w:r>
              <w:rPr>
                <w:rFonts w:ascii="Aptos" w:hAnsi="Aptos" w:eastAsia="Aptos"/>
                <w:color w:val="404040"/>
                <w:sz w:val="18"/>
              </w:rPr>
              <w:t>Histoire (H)</w:t>
            </w:r>
          </w:p>
        </w:tc>
        <w:tc>
          <w:tcPr>
            <w:tcW w:type="dxa" w:w="4082"/>
            <w:tcMar>
              <w:top w:w="90" w:type="dxa"/>
              <w:start w:w="90" w:type="dxa"/>
              <w:bottom w:w="90" w:type="dxa"/>
              <w:end w:w="90" w:type="dxa"/>
            </w:tcMar>
            <w:shd w:fill="FAFAFA"/>
          </w:tcPr>
          <w:p>
            <w:pPr>
              <w:spacing w:after="0"/>
            </w:pPr>
            <w:r>
              <w:rPr>
                <w:rFonts w:ascii="Aptos" w:hAnsi="Aptos" w:eastAsia="Aptos"/>
                <w:color w:val="404040"/>
                <w:sz w:val="18"/>
              </w:rPr>
              <w:t>Transformations antérieures inscrites dans l’état présent.</w:t>
            </w:r>
          </w:p>
        </w:tc>
        <w:tc>
          <w:tcPr>
            <w:tcW w:type="dxa" w:w="3345"/>
            <w:tcMar>
              <w:top w:w="90" w:type="dxa"/>
              <w:start w:w="90" w:type="dxa"/>
              <w:bottom w:w="90" w:type="dxa"/>
              <w:end w:w="90" w:type="dxa"/>
            </w:tcMar>
            <w:shd w:fill="FAFAFA"/>
          </w:tcPr>
          <w:p>
            <w:pPr>
              <w:spacing w:after="0"/>
            </w:pPr>
            <w:r>
              <w:rPr>
                <w:rFonts w:ascii="Aptos" w:hAnsi="Aptos" w:eastAsia="Aptos"/>
                <w:color w:val="404040"/>
                <w:sz w:val="18"/>
              </w:rPr>
              <w:t>Quels héritages ont rendu cette organisation possible ?</w:t>
            </w:r>
          </w:p>
        </w:tc>
      </w:tr>
    </w:tbl>
    <w:p>
      <w:pPr>
        <w:spacing w:after="0"/>
      </w:pPr>
    </w:p>
    <w:p>
      <w:pPr>
        <w:pStyle w:val="Heading2"/>
      </w:pPr>
      <w:r>
        <w:t>2.2. Les liens utilisés dans les trois actes</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1134"/>
            <w:shd w:fill="17365D"/>
            <w:tcMar>
              <w:top w:w="100" w:type="dxa"/>
              <w:start w:w="90" w:type="dxa"/>
              <w:bottom w:w="100" w:type="dxa"/>
              <w:end w:w="90" w:type="dxa"/>
            </w:tcMar>
          </w:tcPr>
          <w:p>
            <w:pPr>
              <w:jc w:val="left"/>
            </w:pPr>
            <w:r>
              <w:rPr>
                <w:rFonts w:ascii="Aptos" w:hAnsi="Aptos" w:eastAsia="Aptos"/>
                <w:b/>
                <w:color w:val="FFFFFF"/>
                <w:sz w:val="18"/>
              </w:rPr>
              <w:t>Code</w:t>
            </w:r>
          </w:p>
        </w:tc>
        <w:tc>
          <w:tcPr>
            <w:tcW w:type="dxa" w:w="4139"/>
            <w:shd w:fill="17365D"/>
            <w:tcMar>
              <w:top w:w="100" w:type="dxa"/>
              <w:start w:w="90" w:type="dxa"/>
              <w:bottom w:w="100" w:type="dxa"/>
              <w:end w:w="90" w:type="dxa"/>
            </w:tcMar>
          </w:tcPr>
          <w:p>
            <w:pPr>
              <w:jc w:val="left"/>
            </w:pPr>
            <w:r>
              <w:rPr>
                <w:rFonts w:ascii="Aptos" w:hAnsi="Aptos" w:eastAsia="Aptos"/>
                <w:b/>
                <w:color w:val="FFFFFF"/>
                <w:sz w:val="18"/>
              </w:rPr>
              <w:t>Usage dans ce document</w:t>
            </w:r>
          </w:p>
        </w:tc>
        <w:tc>
          <w:tcPr>
            <w:tcW w:type="dxa" w:w="4025"/>
            <w:shd w:fill="17365D"/>
            <w:tcMar>
              <w:top w:w="100" w:type="dxa"/>
              <w:start w:w="90" w:type="dxa"/>
              <w:bottom w:w="100" w:type="dxa"/>
              <w:end w:w="90" w:type="dxa"/>
            </w:tcMar>
          </w:tcPr>
          <w:p>
            <w:pPr>
              <w:jc w:val="left"/>
            </w:pPr>
            <w:r>
              <w:rPr>
                <w:rFonts w:ascii="Aptos" w:hAnsi="Aptos" w:eastAsia="Aptos"/>
                <w:b/>
                <w:color w:val="FFFFFF"/>
                <w:sz w:val="18"/>
              </w:rPr>
              <w:t>Précaution</w:t>
            </w:r>
          </w:p>
        </w:tc>
      </w:tr>
      <w:tr>
        <w:trPr>
          <w:cantSplit/>
        </w:trPr>
        <w:tc>
          <w:tcPr>
            <w:tcW w:type="dxa" w:w="1134"/>
            <w:tcMar>
              <w:top w:w="90" w:type="dxa"/>
              <w:start w:w="90" w:type="dxa"/>
              <w:bottom w:w="90" w:type="dxa"/>
              <w:end w:w="90" w:type="dxa"/>
            </w:tcMar>
          </w:tcPr>
          <w:p>
            <w:pPr>
              <w:spacing w:after="0"/>
            </w:pPr>
            <w:r>
              <w:rPr>
                <w:rFonts w:ascii="Aptos" w:hAnsi="Aptos" w:eastAsia="Aptos"/>
                <w:color w:val="404040"/>
                <w:sz w:val="18"/>
              </w:rPr>
              <w:t>DESC</w:t>
            </w:r>
          </w:p>
        </w:tc>
        <w:tc>
          <w:tcPr>
            <w:tcW w:type="dxa" w:w="4139"/>
            <w:tcMar>
              <w:top w:w="90" w:type="dxa"/>
              <w:start w:w="90" w:type="dxa"/>
              <w:bottom w:w="90" w:type="dxa"/>
              <w:end w:w="90" w:type="dxa"/>
            </w:tcMar>
          </w:tcPr>
          <w:p>
            <w:pPr>
              <w:spacing w:after="0"/>
            </w:pPr>
            <w:r>
              <w:rPr>
                <w:rFonts w:ascii="Aptos" w:hAnsi="Aptos" w:eastAsia="Aptos"/>
                <w:color w:val="404040"/>
                <w:sz w:val="18"/>
              </w:rPr>
              <w:t>Relation d’ascendance entre lignées ou entités reproductives.</w:t>
            </w:r>
          </w:p>
        </w:tc>
        <w:tc>
          <w:tcPr>
            <w:tcW w:type="dxa" w:w="4025"/>
            <w:tcMar>
              <w:top w:w="90" w:type="dxa"/>
              <w:start w:w="90" w:type="dxa"/>
              <w:bottom w:w="90" w:type="dxa"/>
              <w:end w:w="90" w:type="dxa"/>
            </w:tcMar>
          </w:tcPr>
          <w:p>
            <w:pPr>
              <w:spacing w:after="0"/>
            </w:pPr>
            <w:r>
              <w:rPr>
                <w:rFonts w:ascii="Aptos" w:hAnsi="Aptos" w:eastAsia="Aptos"/>
                <w:color w:val="404040"/>
                <w:sz w:val="18"/>
              </w:rPr>
              <w:t>Ne doit pas relier directement un ancêtre à un événement de fusion.</w:t>
            </w:r>
          </w:p>
        </w:tc>
      </w:tr>
      <w:tr>
        <w:trPr>
          <w:cantSplit/>
        </w:trPr>
        <w:tc>
          <w:tcPr>
            <w:tcW w:type="dxa" w:w="1134"/>
            <w:tcMar>
              <w:top w:w="90" w:type="dxa"/>
              <w:start w:w="90" w:type="dxa"/>
              <w:bottom w:w="90" w:type="dxa"/>
              <w:end w:w="90" w:type="dxa"/>
            </w:tcMar>
            <w:shd w:fill="FAFAFA"/>
          </w:tcPr>
          <w:p>
            <w:pPr>
              <w:spacing w:after="0"/>
            </w:pPr>
            <w:r>
              <w:rPr>
                <w:rFonts w:ascii="Aptos" w:hAnsi="Aptos" w:eastAsia="Aptos"/>
                <w:color w:val="404040"/>
                <w:sz w:val="18"/>
              </w:rPr>
              <w:t>MATR</w:t>
            </w:r>
          </w:p>
        </w:tc>
        <w:tc>
          <w:tcPr>
            <w:tcW w:type="dxa" w:w="4139"/>
            <w:tcMar>
              <w:top w:w="90" w:type="dxa"/>
              <w:start w:w="90" w:type="dxa"/>
              <w:bottom w:w="90" w:type="dxa"/>
              <w:end w:w="90" w:type="dxa"/>
            </w:tcMar>
            <w:shd w:fill="FAFAFA"/>
          </w:tcPr>
          <w:p>
            <w:pPr>
              <w:spacing w:after="0"/>
            </w:pPr>
            <w:r>
              <w:rPr>
                <w:rFonts w:ascii="Aptos" w:hAnsi="Aptos" w:eastAsia="Aptos"/>
                <w:color w:val="404040"/>
                <w:sz w:val="18"/>
              </w:rPr>
              <w:t>Fourniture de matière, d’énergie ou d’une capacité fonctionnelle.</w:t>
            </w:r>
          </w:p>
        </w:tc>
        <w:tc>
          <w:tcPr>
            <w:tcW w:type="dxa" w:w="4025"/>
            <w:tcMar>
              <w:top w:w="90" w:type="dxa"/>
              <w:start w:w="90" w:type="dxa"/>
              <w:bottom w:w="90" w:type="dxa"/>
              <w:end w:w="90" w:type="dxa"/>
            </w:tcMar>
            <w:shd w:fill="FAFAFA"/>
          </w:tcPr>
          <w:p>
            <w:pPr>
              <w:spacing w:after="0"/>
            </w:pPr>
            <w:r>
              <w:rPr>
                <w:rFonts w:ascii="Aptos" w:hAnsi="Aptos" w:eastAsia="Aptos"/>
                <w:color w:val="404040"/>
                <w:sz w:val="18"/>
              </w:rPr>
              <w:t>L’apport doit être précisé, mesurable et contextualisé.</w:t>
            </w:r>
          </w:p>
        </w:tc>
      </w:tr>
      <w:tr>
        <w:trPr>
          <w:cantSplit/>
        </w:trPr>
        <w:tc>
          <w:tcPr>
            <w:tcW w:type="dxa" w:w="1134"/>
            <w:tcMar>
              <w:top w:w="90" w:type="dxa"/>
              <w:start w:w="90" w:type="dxa"/>
              <w:bottom w:w="90" w:type="dxa"/>
              <w:end w:w="90" w:type="dxa"/>
            </w:tcMar>
          </w:tcPr>
          <w:p>
            <w:pPr>
              <w:spacing w:after="0"/>
            </w:pPr>
            <w:r>
              <w:rPr>
                <w:rFonts w:ascii="Aptos" w:hAnsi="Aptos" w:eastAsia="Aptos"/>
                <w:color w:val="404040"/>
                <w:sz w:val="18"/>
              </w:rPr>
              <w:t>ENVR</w:t>
            </w:r>
          </w:p>
        </w:tc>
        <w:tc>
          <w:tcPr>
            <w:tcW w:type="dxa" w:w="4139"/>
            <w:tcMar>
              <w:top w:w="90" w:type="dxa"/>
              <w:start w:w="90" w:type="dxa"/>
              <w:bottom w:w="90" w:type="dxa"/>
              <w:end w:w="90" w:type="dxa"/>
            </w:tcMar>
          </w:tcPr>
          <w:p>
            <w:pPr>
              <w:spacing w:after="0"/>
            </w:pPr>
            <w:r>
              <w:rPr>
                <w:rFonts w:ascii="Aptos" w:hAnsi="Aptos" w:eastAsia="Aptos"/>
                <w:color w:val="404040"/>
                <w:sz w:val="18"/>
              </w:rPr>
              <w:t>Transformation de l’environnement interne ou externe.</w:t>
            </w:r>
          </w:p>
        </w:tc>
        <w:tc>
          <w:tcPr>
            <w:tcW w:type="dxa" w:w="4025"/>
            <w:tcMar>
              <w:top w:w="90" w:type="dxa"/>
              <w:start w:w="90" w:type="dxa"/>
              <w:bottom w:w="90" w:type="dxa"/>
              <w:end w:w="90" w:type="dxa"/>
            </w:tcMar>
          </w:tcPr>
          <w:p>
            <w:pPr>
              <w:spacing w:after="0"/>
            </w:pPr>
            <w:r>
              <w:rPr>
                <w:rFonts w:ascii="Aptos" w:hAnsi="Aptos" w:eastAsia="Aptos"/>
                <w:color w:val="404040"/>
                <w:sz w:val="18"/>
              </w:rPr>
              <w:t>Le milieu transformé et l’échelle doivent être nommés.</w:t>
            </w:r>
          </w:p>
        </w:tc>
      </w:tr>
      <w:tr>
        <w:trPr>
          <w:cantSplit/>
        </w:trPr>
        <w:tc>
          <w:tcPr>
            <w:tcW w:type="dxa" w:w="1134"/>
            <w:tcMar>
              <w:top w:w="90" w:type="dxa"/>
              <w:start w:w="90" w:type="dxa"/>
              <w:bottom w:w="90" w:type="dxa"/>
              <w:end w:w="90" w:type="dxa"/>
            </w:tcMar>
            <w:shd w:fill="FAFAFA"/>
          </w:tcPr>
          <w:p>
            <w:pPr>
              <w:spacing w:after="0"/>
            </w:pPr>
            <w:r>
              <w:rPr>
                <w:rFonts w:ascii="Aptos" w:hAnsi="Aptos" w:eastAsia="Aptos"/>
                <w:color w:val="404040"/>
                <w:sz w:val="18"/>
              </w:rPr>
              <w:t>ENBL</w:t>
            </w:r>
          </w:p>
        </w:tc>
        <w:tc>
          <w:tcPr>
            <w:tcW w:type="dxa" w:w="4139"/>
            <w:tcMar>
              <w:top w:w="90" w:type="dxa"/>
              <w:start w:w="90" w:type="dxa"/>
              <w:bottom w:w="90" w:type="dxa"/>
              <w:end w:w="90" w:type="dxa"/>
            </w:tcMar>
            <w:shd w:fill="FAFAFA"/>
          </w:tcPr>
          <w:p>
            <w:pPr>
              <w:spacing w:after="0"/>
            </w:pPr>
            <w:r>
              <w:rPr>
                <w:rFonts w:ascii="Aptos" w:hAnsi="Aptos" w:eastAsia="Aptos"/>
                <w:color w:val="404040"/>
                <w:sz w:val="18"/>
              </w:rPr>
              <w:t>Ouverture d’états ou de trajectoires auparavant inaccessibles.</w:t>
            </w:r>
          </w:p>
        </w:tc>
        <w:tc>
          <w:tcPr>
            <w:tcW w:type="dxa" w:w="4025"/>
            <w:tcMar>
              <w:top w:w="90" w:type="dxa"/>
              <w:start w:w="90" w:type="dxa"/>
              <w:bottom w:w="90" w:type="dxa"/>
              <w:end w:w="90" w:type="dxa"/>
            </w:tcMar>
            <w:shd w:fill="FAFAFA"/>
          </w:tcPr>
          <w:p>
            <w:pPr>
              <w:spacing w:after="0"/>
            </w:pPr>
            <w:r>
              <w:rPr>
                <w:rFonts w:ascii="Aptos" w:hAnsi="Aptos" w:eastAsia="Aptos"/>
                <w:color w:val="404040"/>
                <w:sz w:val="18"/>
              </w:rPr>
              <w:t>Une ouverture n’implique ni nécessité universelle ni causalité exclusive.</w:t>
            </w:r>
          </w:p>
        </w:tc>
      </w:tr>
      <w:tr>
        <w:trPr>
          <w:cantSplit/>
        </w:trPr>
        <w:tc>
          <w:tcPr>
            <w:tcW w:type="dxa" w:w="1134"/>
            <w:tcMar>
              <w:top w:w="90" w:type="dxa"/>
              <w:start w:w="90" w:type="dxa"/>
              <w:bottom w:w="90" w:type="dxa"/>
              <w:end w:w="90" w:type="dxa"/>
            </w:tcMar>
          </w:tcPr>
          <w:p>
            <w:pPr>
              <w:spacing w:after="0"/>
            </w:pPr>
            <w:r>
              <w:rPr>
                <w:rFonts w:ascii="Aptos" w:hAnsi="Aptos" w:eastAsia="Aptos"/>
                <w:color w:val="404040"/>
                <w:sz w:val="18"/>
              </w:rPr>
              <w:t>CNST</w:t>
            </w:r>
          </w:p>
        </w:tc>
        <w:tc>
          <w:tcPr>
            <w:tcW w:type="dxa" w:w="4139"/>
            <w:tcMar>
              <w:top w:w="90" w:type="dxa"/>
              <w:start w:w="90" w:type="dxa"/>
              <w:bottom w:w="90" w:type="dxa"/>
              <w:end w:w="90" w:type="dxa"/>
            </w:tcMar>
          </w:tcPr>
          <w:p>
            <w:pPr>
              <w:spacing w:after="0"/>
            </w:pPr>
            <w:r>
              <w:rPr>
                <w:rFonts w:ascii="Aptos" w:hAnsi="Aptos" w:eastAsia="Aptos"/>
                <w:color w:val="404040"/>
                <w:sz w:val="18"/>
              </w:rPr>
              <w:t>Restriction des états compatibles avec la persistance.</w:t>
            </w:r>
          </w:p>
        </w:tc>
        <w:tc>
          <w:tcPr>
            <w:tcW w:type="dxa" w:w="4025"/>
            <w:tcMar>
              <w:top w:w="90" w:type="dxa"/>
              <w:start w:w="90" w:type="dxa"/>
              <w:bottom w:w="90" w:type="dxa"/>
              <w:end w:w="90" w:type="dxa"/>
            </w:tcMar>
          </w:tcPr>
          <w:p>
            <w:pPr>
              <w:spacing w:after="0"/>
            </w:pPr>
            <w:r>
              <w:rPr>
                <w:rFonts w:ascii="Aptos" w:hAnsi="Aptos" w:eastAsia="Aptos"/>
                <w:color w:val="404040"/>
                <w:sz w:val="18"/>
              </w:rPr>
              <w:t>La contrainte dépend du régime étudié.</w:t>
            </w:r>
          </w:p>
        </w:tc>
      </w:tr>
      <w:tr>
        <w:trPr>
          <w:cantSplit/>
        </w:trPr>
        <w:tc>
          <w:tcPr>
            <w:tcW w:type="dxa" w:w="1134"/>
            <w:tcMar>
              <w:top w:w="90" w:type="dxa"/>
              <w:start w:w="90" w:type="dxa"/>
              <w:bottom w:w="90" w:type="dxa"/>
              <w:end w:w="90" w:type="dxa"/>
            </w:tcMar>
            <w:shd w:fill="FAFAFA"/>
          </w:tcPr>
          <w:p>
            <w:pPr>
              <w:spacing w:after="0"/>
            </w:pPr>
            <w:r>
              <w:rPr>
                <w:rFonts w:ascii="Aptos" w:hAnsi="Aptos" w:eastAsia="Aptos"/>
                <w:color w:val="404040"/>
                <w:sz w:val="18"/>
              </w:rPr>
              <w:t>STAB</w:t>
            </w:r>
          </w:p>
        </w:tc>
        <w:tc>
          <w:tcPr>
            <w:tcW w:type="dxa" w:w="4139"/>
            <w:tcMar>
              <w:top w:w="90" w:type="dxa"/>
              <w:start w:w="90" w:type="dxa"/>
              <w:bottom w:w="90" w:type="dxa"/>
              <w:end w:w="90" w:type="dxa"/>
            </w:tcMar>
            <w:shd w:fill="FAFAFA"/>
          </w:tcPr>
          <w:p>
            <w:pPr>
              <w:spacing w:after="0"/>
            </w:pPr>
            <w:r>
              <w:rPr>
                <w:rFonts w:ascii="Aptos" w:hAnsi="Aptos" w:eastAsia="Aptos"/>
                <w:color w:val="404040"/>
                <w:sz w:val="18"/>
              </w:rPr>
              <w:t>Maintien ou augmentation durable d’un état dans un contexte défini.</w:t>
            </w:r>
          </w:p>
        </w:tc>
        <w:tc>
          <w:tcPr>
            <w:tcW w:type="dxa" w:w="4025"/>
            <w:tcMar>
              <w:top w:w="90" w:type="dxa"/>
              <w:start w:w="90" w:type="dxa"/>
              <w:bottom w:w="90" w:type="dxa"/>
              <w:end w:w="90" w:type="dxa"/>
            </w:tcMar>
            <w:shd w:fill="FAFAFA"/>
          </w:tcPr>
          <w:p>
            <w:pPr>
              <w:spacing w:after="0"/>
            </w:pPr>
            <w:r>
              <w:rPr>
                <w:rFonts w:ascii="Aptos" w:hAnsi="Aptos" w:eastAsia="Aptos"/>
                <w:color w:val="404040"/>
                <w:sz w:val="18"/>
              </w:rPr>
              <w:t>La stabilisation doit être distinguée d’une simple apparition temporaire.</w:t>
            </w:r>
          </w:p>
        </w:tc>
      </w:tr>
    </w:tbl>
    <w:p>
      <w:pPr>
        <w:spacing w:after="0"/>
      </w:pPr>
    </w:p>
    <w:tbl>
      <w:tblPr>
        <w:tblW w:type="auto" w:w="0"/>
        <w:jc w:val="center"/>
        <w:tblLook w:firstColumn="1" w:firstRow="1" w:lastColumn="0" w:lastRow="0" w:noHBand="0" w:noVBand="1" w:val="04A0"/>
      </w:tblPr>
      <w:tblGrid>
        <w:gridCol w:w="9688"/>
      </w:tblGrid>
      <w:tr>
        <w:tc>
          <w:tcPr>
            <w:tcW w:type="dxa" w:w="9688"/>
            <w:shd w:fill="FFF2CC"/>
            <w:tcMar>
              <w:top w:w="140" w:type="dxa"/>
              <w:start w:w="170" w:type="dxa"/>
              <w:bottom w:w="140" w:type="dxa"/>
              <w:end w:w="170" w:type="dxa"/>
            </w:tcMar>
            <w:tcBorders>
              <w:top w:val="single" w:sz="8" w:color="BF9000"/>
              <w:left w:val="single" w:sz="8" w:color="BF9000"/>
              <w:bottom w:val="single" w:sz="8" w:color="BF9000"/>
              <w:right w:val="single" w:sz="8" w:color="BF9000"/>
            </w:tcBorders>
          </w:tcPr>
          <w:p>
            <w:r>
              <w:rPr>
                <w:rFonts w:ascii="Aptos" w:hAnsi="Aptos" w:eastAsia="Aptos"/>
                <w:b/>
                <w:color w:val="17365D"/>
                <w:sz w:val="20"/>
              </w:rPr>
              <w:t>POINT À RÉSOUDRE DANS LE CODEBOOK</w:t>
            </w:r>
          </w:p>
          <w:p>
            <w:pPr>
              <w:spacing w:after="0"/>
            </w:pPr>
            <w:r>
              <w:rPr>
                <w:rFonts w:ascii="Aptos" w:hAnsi="Aptos" w:eastAsia="Aptos"/>
                <w:color w:val="404040"/>
                <w:sz w:val="19"/>
              </w:rPr>
              <w:t>L’endosymbiose est une association puis une intégration de lignées. DESC ne suffit pas à la représenter. Le codebook devrait prévoir un lien distinct pour les associations, intégrations ou fusions historiques, sans fixer son identifiant avant une révision globale de la typologie.</w:t>
            </w:r>
          </w:p>
        </w:tc>
      </w:tr>
    </w:tbl>
    <w:p>
      <w:pPr>
        <w:spacing w:after="0"/>
      </w:pPr>
    </w:p>
    <w:p>
      <w:r>
        <w:br w:type="page"/>
      </w:r>
    </w:p>
    <w:p>
      <w:pPr>
        <w:pStyle w:val="Heading1"/>
      </w:pPr>
      <w:r>
        <w:t>3. Acte 1 : la cellule eucaryote comme architecture matérielle</w:t>
      </w:r>
    </w:p>
    <w:p>
      <w:r>
        <w:rPr>
          <w:rFonts w:ascii="Aptos" w:hAnsi="Aptos" w:eastAsia="Aptos"/>
        </w:rPr>
        <w:t>L’objectif du premier acte est d’évaluer la capacité descriptive des six dimensions sur un système biologique familier. Le cas retenu est une cellule eucaryote aérobie typique. Cette précision évite de présenter comme universelles des caractéristiques absentes de certaines cellules spécialisées ou de lignées vivant dans des environnements pauvres en oxygène.</w:t>
      </w:r>
    </w:p>
    <w:p>
      <w:pPr>
        <w:pStyle w:val="Heading2"/>
      </w:pPr>
      <w:r>
        <w:t>3.1. Schéma conceptuel des six dimensions</w:t>
      </w:r>
    </w:p>
    <w:tbl>
      <w:tblPr>
        <w:tblW w:type="auto" w:w="0"/>
        <w:jc w:val="center"/>
        <w:tblLayout w:type="fixed"/>
        <w:tblLook w:firstColumn="1" w:firstRow="1" w:lastColumn="0" w:lastRow="0" w:noHBand="0" w:noVBand="1" w:val="04A0"/>
      </w:tblPr>
      <w:tblGrid>
        <w:gridCol w:w="3229"/>
        <w:gridCol w:w="3229"/>
        <w:gridCol w:w="3229"/>
      </w:tblGrid>
      <w:tr>
        <w:tc>
          <w:tcPr>
            <w:tcW w:type="dxa" w:w="2948"/>
            <w:shd w:fill="DCE6F1"/>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Composition (n)</w:t>
            </w:r>
          </w:p>
        </w:tc>
        <w:tc>
          <w:tcPr>
            <w:tcW w:type="dxa" w:w="2948"/>
            <w:shd w:fill="DDEBF7"/>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Configuration (G)</w:t>
            </w:r>
          </w:p>
        </w:tc>
        <w:tc>
          <w:tcPr>
            <w:tcW w:type="dxa" w:w="2948"/>
            <w:shd w:fill="E2F0D9"/>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Interactions (I)</w:t>
            </w:r>
          </w:p>
        </w:tc>
      </w:tr>
      <w:tr>
        <w:tc>
          <w:tcPr>
            <w:tcW w:type="dxa" w:w="2948"/>
            <w:shd w:fill="FFF2CC"/>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Environnement (E)</w:t>
            </w:r>
          </w:p>
        </w:tc>
        <w:tc>
          <w:tcPr>
            <w:tcW w:type="dxa" w:w="2948"/>
            <w:shd w:fill="17365D"/>
            <w:tcBorders>
              <w:top w:val="single" w:sz="6" w:color="FFFFFF"/>
              <w:left w:val="single" w:sz="6" w:color="FFFFFF"/>
              <w:bottom w:val="single" w:sz="6" w:color="FFFFFF"/>
              <w:right w:val="single" w:sz="6" w:color="FFFFFF"/>
            </w:tcBorders>
            <w:tcMar>
              <w:top w:w="170" w:type="dxa"/>
              <w:start w:w="100" w:type="dxa"/>
              <w:bottom w:w="170" w:type="dxa"/>
              <w:end w:w="100" w:type="dxa"/>
            </w:tcMar>
            <w:vAlign w:val="center"/>
          </w:tcPr>
          <w:p>
            <w:pPr>
              <w:jc w:val="center"/>
            </w:pPr>
            <w:r>
              <w:rPr>
                <w:rFonts w:ascii="Aptos" w:hAnsi="Aptos" w:eastAsia="Aptos"/>
                <w:b/>
                <w:color w:val="FFFFFF"/>
                <w:sz w:val="20"/>
              </w:rPr>
              <w:t>CELLULE</w:t>
              <w:br/>
              <w:t>EUCARYOTE</w:t>
            </w:r>
          </w:p>
        </w:tc>
        <w:tc>
          <w:tcPr>
            <w:tcW w:type="dxa" w:w="2948"/>
            <w:shd w:fill="FCE4D6"/>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Persistance (Π)</w:t>
            </w:r>
          </w:p>
        </w:tc>
      </w:tr>
      <w:tr>
        <w:tc>
          <w:tcPr>
            <w:tcW w:type="dxa" w:w="2948"/>
            <w:shd w:fill="D9E1F2"/>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Histoire (H)</w:t>
            </w:r>
          </w:p>
        </w:tc>
        <w:tc>
          <w:tcPr>
            <w:tcW w:type="dxa" w:w="2948"/>
            <w:shd w:fill="F2F2F2"/>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Organisation dynamique</w:t>
            </w:r>
          </w:p>
        </w:tc>
        <w:tc>
          <w:tcPr>
            <w:tcW w:type="dxa" w:w="2948"/>
            <w:shd w:fill="EDEDED"/>
            <w:tcBorders>
              <w:top w:val="single" w:sz="6" w:color="A6A6A6"/>
              <w:left w:val="single" w:sz="6" w:color="A6A6A6"/>
              <w:bottom w:val="single" w:sz="6" w:color="A6A6A6"/>
              <w:right w:val="single" w:sz="6" w:color="A6A6A6"/>
            </w:tcBorders>
            <w:tcMar>
              <w:top w:w="170" w:type="dxa"/>
              <w:start w:w="100" w:type="dxa"/>
              <w:bottom w:w="170" w:type="dxa"/>
              <w:end w:w="100" w:type="dxa"/>
            </w:tcMar>
            <w:vAlign w:val="center"/>
          </w:tcPr>
          <w:p>
            <w:pPr>
              <w:jc w:val="center"/>
            </w:pPr>
            <w:r>
              <w:rPr>
                <w:rFonts w:ascii="Aptos" w:hAnsi="Aptos" w:eastAsia="Aptos"/>
                <w:b/>
                <w:color w:val="404040"/>
                <w:sz w:val="20"/>
              </w:rPr>
              <w:t>Flux et héritages</w:t>
            </w:r>
          </w:p>
        </w:tc>
      </w:tr>
    </w:tbl>
    <w:p>
      <w:pPr>
        <w:pStyle w:val="Small"/>
        <w:jc w:val="center"/>
      </w:pPr>
      <w:r>
        <w:rPr>
          <w:rFonts w:ascii="Aptos" w:hAnsi="Aptos" w:eastAsia="Aptos"/>
        </w:rPr>
        <w:t>Figure 1. La cellule est décrite par des dimensions complémentaires. Aucune dimension isolée ne suffit à caractériser son fonctionnement.</w:t>
      </w:r>
    </w:p>
    <w:p>
      <w:pPr>
        <w:pStyle w:val="Heading2"/>
      </w:pPr>
      <w:r>
        <w:t>3.2. Composition (n)</w:t>
      </w:r>
    </w:p>
    <w:p>
      <w:r>
        <w:rPr>
          <w:rFonts w:ascii="Aptos" w:hAnsi="Aptos" w:eastAsia="Aptos"/>
        </w:rPr>
        <w:t>Une cellule eucaryote contient de l’eau, des ions, des métabolites, des protéines, des lipides, des glucides, de l’ARN et de l’ADN. Cette liste est nécessaire, mais elle ne détermine pas à elle seule les propriétés de la cellule. Des catégories moléculaires similaires peuvent participer à des fonctions différentes selon leur localisation, leur concentration, leur état chimique et les partenaires avec lesquels elles interagissent [1].</w:t>
      </w:r>
    </w:p>
    <w:p>
      <w:pPr>
        <w:pStyle w:val="Heading2"/>
      </w:pPr>
      <w:r>
        <w:t>3.3. Configuration (G)</w:t>
      </w:r>
    </w:p>
    <w:p>
      <w:r>
        <w:rPr>
          <w:rFonts w:ascii="Aptos" w:hAnsi="Aptos" w:eastAsia="Aptos"/>
        </w:rPr>
        <w:t>La configuration comprend la membrane plasmique, le noyau, les mitochondries, le réticulum endoplasmique, l’appareil de Golgi, les compartiments de dégradation, le cytosquelette et l’organisation spatiale des complexes moléculaires. La cellule eucaryote associe ainsi une forte compartimentation à des réseaux de transport et de régulation. Les analyses phylogénomiques indiquent un héritage composite, avec une contribution archéenne majeure à de nombreux systèmes conservés et une contribution bactérienne essentielle, notamment par l’ancêtre des mitochondries [2–5].</w:t>
      </w:r>
    </w:p>
    <w:p>
      <w:pPr>
        <w:pStyle w:val="Heading2"/>
      </w:pPr>
      <w:r>
        <w:t>3.4. Interactions (I)</w:t>
      </w:r>
    </w:p>
    <w:p>
      <w:r>
        <w:rPr>
          <w:rFonts w:ascii="Aptos" w:hAnsi="Aptos" w:eastAsia="Aptos"/>
        </w:rPr>
        <w:t>Les interactions regroupent les réactions métaboliques catalysées, l’expression génétique, la signalisation, le transport membranaire, le trafic vésiculaire, les échanges entre organites, le contrôle du cycle cellulaire et la dégradation sélective des composants endommagés. La cellule apparaît alors comme un ensemble de processus couplés, et non comme un assemblage statique de compartiments.</w:t>
      </w:r>
    </w:p>
    <w:p>
      <w:pPr>
        <w:pStyle w:val="Heading2"/>
      </w:pPr>
      <w:r>
        <w:t>3.5. Environnement (E)</w:t>
      </w:r>
    </w:p>
    <w:p>
      <w:r>
        <w:rPr>
          <w:rFonts w:ascii="Aptos" w:hAnsi="Aptos" w:eastAsia="Aptos"/>
        </w:rPr>
        <w:t>L’environnement comprend le milieu aqueux, les nutriments, les gradients ioniques, le pH, la température, la pression osmotique, les molécules de signalisation et, dans le cas retenu, l’oxygène disponible. L’oxygène ne constitue pas une condition universelle de la vie eucaryote. Certaines lignées possèdent des mitochondries modifiées, des hydrogénosomes ou des mitosomes adaptés à des environnements pauvres en oxygène [2].</w:t>
      </w:r>
    </w:p>
    <w:p>
      <w:pPr>
        <w:pStyle w:val="Heading2"/>
      </w:pPr>
      <w:r>
        <w:t>3.6. Persistance (Π)</w:t>
      </w:r>
    </w:p>
    <w:p>
      <w:r>
        <w:rPr>
          <w:rFonts w:ascii="Aptos" w:hAnsi="Aptos" w:eastAsia="Aptos"/>
        </w:rPr>
        <w:t>La persistance cellulaire repose sur le maintien des gradients, le renouvellement des protéines et des membranes, la réparation de l’ADN, le contrôle de qualité des organites et la régulation métabolique. La division cellulaire prolonge une lignée, mais elle ne maintient pas l’identité de la cellule individuelle. La sélection naturelle agit principalement sur des différences héréditaires entre populations et lignées. Elle ne doit donc pas être classée parmi les mécanismes internes d’entretien d’une cellule isolée.</w:t>
      </w:r>
    </w:p>
    <w:p>
      <w:pPr>
        <w:pStyle w:val="Heading2"/>
      </w:pPr>
      <w:r>
        <w:t>3.7. Histoire (H)</w:t>
      </w:r>
    </w:p>
    <w:p>
      <w:r>
        <w:rPr>
          <w:rFonts w:ascii="Aptos" w:hAnsi="Aptos" w:eastAsia="Aptos"/>
        </w:rPr>
        <w:t>L’état présent de la cellule porte l’empreinte d’une histoire composée. De nombreux systèmes liés au traitement de l’information ont des affinités archéennes, tandis qu’une part importante du métabolisme eucaryote porte des contributions bactériennes. L’endosymbiose mitochondriale, les transferts de gènes vers le noyau, les duplications et les réorganisations successives ont contribué à produire l’organisation actuelle [2–5]. La nature précise de l’hôte et l’ordre d’apparition de plusieurs caractères eucaryotes restent discutés.</w:t>
      </w:r>
    </w:p>
    <w:p>
      <w:pPr>
        <w:pStyle w:val="QuoteORI"/>
        <w:pBdr>
          <w:left w:val="single" w:sz="18" w:space="8" w:color="2F6F73"/>
        </w:pBdr>
      </w:pPr>
      <w:r>
        <w:rPr>
          <w:rFonts w:ascii="Aptos" w:hAnsi="Aptos" w:eastAsia="Aptos"/>
          <w:i/>
          <w:color w:val="17365D"/>
          <w:sz w:val="23"/>
        </w:rPr>
        <w:t>Une cellule ne se laisse pas définir par la seule liste de ses constituants. Ses propriétés dépendent de leur organisation, de leurs interactions, des flux entretenus avec le milieu et de l’histoire qui a produit cette organisation.</w:t>
      </w:r>
    </w:p>
    <w:p>
      <w:pPr>
        <w:pStyle w:val="Heading2"/>
      </w:pPr>
      <w:r>
        <w:t>3.8. Comparaison avec des architectures non vivantes</w:t>
      </w:r>
    </w:p>
    <w:tbl>
      <w:tblPr>
        <w:tblStyle w:val="TableGrid"/>
        <w:tblW w:type="auto" w:w="0"/>
        <w:jc w:val="center"/>
        <w:tblLayout w:type="fixed"/>
        <w:tblLook w:firstColumn="1" w:firstRow="1" w:lastColumn="0" w:lastRow="0" w:noHBand="0" w:noVBand="1" w:val="04A0"/>
      </w:tblPr>
      <w:tblGrid>
        <w:gridCol w:w="2422"/>
        <w:gridCol w:w="2422"/>
        <w:gridCol w:w="2422"/>
        <w:gridCol w:w="2422"/>
      </w:tblGrid>
      <w:tr>
        <w:trPr>
          <w:tblHeader w:val="true"/>
        </w:trPr>
        <w:tc>
          <w:tcPr>
            <w:tcW w:type="dxa" w:w="1417"/>
            <w:shd w:fill="17365D"/>
            <w:tcMar>
              <w:top w:w="100" w:type="dxa"/>
              <w:start w:w="90" w:type="dxa"/>
              <w:bottom w:w="100" w:type="dxa"/>
              <w:end w:w="90" w:type="dxa"/>
            </w:tcMar>
          </w:tcPr>
          <w:p>
            <w:pPr>
              <w:jc w:val="left"/>
            </w:pPr>
            <w:r>
              <w:rPr>
                <w:rFonts w:ascii="Aptos" w:hAnsi="Aptos" w:eastAsia="Aptos"/>
                <w:b/>
                <w:color w:val="FFFFFF"/>
                <w:sz w:val="17"/>
              </w:rPr>
              <w:t>Dimension</w:t>
            </w:r>
          </w:p>
        </w:tc>
        <w:tc>
          <w:tcPr>
            <w:tcW w:type="dxa" w:w="2665"/>
            <w:shd w:fill="17365D"/>
            <w:tcMar>
              <w:top w:w="100" w:type="dxa"/>
              <w:start w:w="90" w:type="dxa"/>
              <w:bottom w:w="100" w:type="dxa"/>
              <w:end w:w="90" w:type="dxa"/>
            </w:tcMar>
          </w:tcPr>
          <w:p>
            <w:pPr>
              <w:jc w:val="left"/>
            </w:pPr>
            <w:r>
              <w:rPr>
                <w:rFonts w:ascii="Aptos" w:hAnsi="Aptos" w:eastAsia="Aptos"/>
                <w:b/>
                <w:color w:val="FFFFFF"/>
                <w:sz w:val="17"/>
              </w:rPr>
              <w:t>Cellule eucaryote</w:t>
            </w:r>
          </w:p>
        </w:tc>
        <w:tc>
          <w:tcPr>
            <w:tcW w:type="dxa" w:w="2665"/>
            <w:shd w:fill="17365D"/>
            <w:tcMar>
              <w:top w:w="100" w:type="dxa"/>
              <w:start w:w="90" w:type="dxa"/>
              <w:bottom w:w="100" w:type="dxa"/>
              <w:end w:w="90" w:type="dxa"/>
            </w:tcMar>
          </w:tcPr>
          <w:p>
            <w:pPr>
              <w:jc w:val="left"/>
            </w:pPr>
            <w:r>
              <w:rPr>
                <w:rFonts w:ascii="Aptos" w:hAnsi="Aptos" w:eastAsia="Aptos"/>
                <w:b/>
                <w:color w:val="FFFFFF"/>
                <w:sz w:val="17"/>
              </w:rPr>
              <w:t>Étoile</w:t>
            </w:r>
          </w:p>
        </w:tc>
        <w:tc>
          <w:tcPr>
            <w:tcW w:type="dxa" w:w="2665"/>
            <w:shd w:fill="17365D"/>
            <w:tcMar>
              <w:top w:w="100" w:type="dxa"/>
              <w:start w:w="90" w:type="dxa"/>
              <w:bottom w:w="100" w:type="dxa"/>
              <w:end w:w="90" w:type="dxa"/>
            </w:tcMar>
          </w:tcPr>
          <w:p>
            <w:pPr>
              <w:jc w:val="left"/>
            </w:pPr>
            <w:r>
              <w:rPr>
                <w:rFonts w:ascii="Aptos" w:hAnsi="Aptos" w:eastAsia="Aptos"/>
                <w:b/>
                <w:color w:val="FFFFFF"/>
                <w:sz w:val="17"/>
              </w:rPr>
              <w:t>Cristal</w:t>
            </w:r>
          </w:p>
        </w:tc>
      </w:tr>
      <w:tr>
        <w:trPr>
          <w:cantSplit/>
        </w:trPr>
        <w:tc>
          <w:tcPr>
            <w:tcW w:type="dxa" w:w="1417"/>
            <w:tcMar>
              <w:top w:w="90" w:type="dxa"/>
              <w:start w:w="90" w:type="dxa"/>
              <w:bottom w:w="90" w:type="dxa"/>
              <w:end w:w="90" w:type="dxa"/>
            </w:tcMar>
          </w:tcPr>
          <w:p>
            <w:pPr>
              <w:spacing w:after="0"/>
            </w:pPr>
            <w:r>
              <w:rPr>
                <w:rFonts w:ascii="Aptos" w:hAnsi="Aptos" w:eastAsia="Aptos"/>
                <w:color w:val="404040"/>
                <w:sz w:val="17"/>
              </w:rPr>
              <w:t>Composition</w:t>
            </w:r>
          </w:p>
        </w:tc>
        <w:tc>
          <w:tcPr>
            <w:tcW w:type="dxa" w:w="2665"/>
            <w:tcMar>
              <w:top w:w="90" w:type="dxa"/>
              <w:start w:w="90" w:type="dxa"/>
              <w:bottom w:w="90" w:type="dxa"/>
              <w:end w:w="90" w:type="dxa"/>
            </w:tcMar>
          </w:tcPr>
          <w:p>
            <w:pPr>
              <w:spacing w:after="0"/>
            </w:pPr>
            <w:r>
              <w:rPr>
                <w:rFonts w:ascii="Aptos" w:hAnsi="Aptos" w:eastAsia="Aptos"/>
                <w:color w:val="404040"/>
                <w:sz w:val="17"/>
              </w:rPr>
              <w:t>Molécules, ions, eau, macromolécules.</w:t>
            </w:r>
          </w:p>
        </w:tc>
        <w:tc>
          <w:tcPr>
            <w:tcW w:type="dxa" w:w="2665"/>
            <w:tcMar>
              <w:top w:w="90" w:type="dxa"/>
              <w:start w:w="90" w:type="dxa"/>
              <w:bottom w:w="90" w:type="dxa"/>
              <w:end w:w="90" w:type="dxa"/>
            </w:tcMar>
          </w:tcPr>
          <w:p>
            <w:pPr>
              <w:spacing w:after="0"/>
            </w:pPr>
            <w:r>
              <w:rPr>
                <w:rFonts w:ascii="Aptos" w:hAnsi="Aptos" w:eastAsia="Aptos"/>
                <w:color w:val="404040"/>
                <w:sz w:val="17"/>
              </w:rPr>
              <w:t>Plasma, éléments chimiques, particules.</w:t>
            </w:r>
          </w:p>
        </w:tc>
        <w:tc>
          <w:tcPr>
            <w:tcW w:type="dxa" w:w="2665"/>
            <w:tcMar>
              <w:top w:w="90" w:type="dxa"/>
              <w:start w:w="90" w:type="dxa"/>
              <w:bottom w:w="90" w:type="dxa"/>
              <w:end w:w="90" w:type="dxa"/>
            </w:tcMar>
          </w:tcPr>
          <w:p>
            <w:pPr>
              <w:spacing w:after="0"/>
            </w:pPr>
            <w:r>
              <w:rPr>
                <w:rFonts w:ascii="Aptos" w:hAnsi="Aptos" w:eastAsia="Aptos"/>
                <w:color w:val="404040"/>
                <w:sz w:val="17"/>
              </w:rPr>
              <w:t>Atomes, ions ou molécules constitutives.</w:t>
            </w:r>
          </w:p>
        </w:tc>
      </w:tr>
      <w:tr>
        <w:trPr>
          <w:cantSplit/>
        </w:trPr>
        <w:tc>
          <w:tcPr>
            <w:tcW w:type="dxa" w:w="1417"/>
            <w:tcMar>
              <w:top w:w="90" w:type="dxa"/>
              <w:start w:w="90" w:type="dxa"/>
              <w:bottom w:w="90" w:type="dxa"/>
              <w:end w:w="90" w:type="dxa"/>
            </w:tcMar>
            <w:shd w:fill="FAFAFA"/>
          </w:tcPr>
          <w:p>
            <w:pPr>
              <w:spacing w:after="0"/>
            </w:pPr>
            <w:r>
              <w:rPr>
                <w:rFonts w:ascii="Aptos" w:hAnsi="Aptos" w:eastAsia="Aptos"/>
                <w:color w:val="404040"/>
                <w:sz w:val="17"/>
              </w:rPr>
              <w:t>Configuration</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Membranes, organites, cytosquelette.</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Stratification, cœur, zones radiatives ou convectives.</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Réseau cristallin, défauts, interfaces.</w:t>
            </w:r>
          </w:p>
        </w:tc>
      </w:tr>
      <w:tr>
        <w:trPr>
          <w:cantSplit/>
        </w:trPr>
        <w:tc>
          <w:tcPr>
            <w:tcW w:type="dxa" w:w="1417"/>
            <w:tcMar>
              <w:top w:w="90" w:type="dxa"/>
              <w:start w:w="90" w:type="dxa"/>
              <w:bottom w:w="90" w:type="dxa"/>
              <w:end w:w="90" w:type="dxa"/>
            </w:tcMar>
          </w:tcPr>
          <w:p>
            <w:pPr>
              <w:spacing w:after="0"/>
            </w:pPr>
            <w:r>
              <w:rPr>
                <w:rFonts w:ascii="Aptos" w:hAnsi="Aptos" w:eastAsia="Aptos"/>
                <w:color w:val="404040"/>
                <w:sz w:val="17"/>
              </w:rPr>
              <w:t>Interactions</w:t>
            </w:r>
          </w:p>
        </w:tc>
        <w:tc>
          <w:tcPr>
            <w:tcW w:type="dxa" w:w="2665"/>
            <w:tcMar>
              <w:top w:w="90" w:type="dxa"/>
              <w:start w:w="90" w:type="dxa"/>
              <w:bottom w:w="90" w:type="dxa"/>
              <w:end w:w="90" w:type="dxa"/>
            </w:tcMar>
          </w:tcPr>
          <w:p>
            <w:pPr>
              <w:spacing w:after="0"/>
            </w:pPr>
            <w:r>
              <w:rPr>
                <w:rFonts w:ascii="Aptos" w:hAnsi="Aptos" w:eastAsia="Aptos"/>
                <w:color w:val="404040"/>
                <w:sz w:val="17"/>
              </w:rPr>
              <w:t>Métabolisme, signalisation, transport.</w:t>
            </w:r>
          </w:p>
        </w:tc>
        <w:tc>
          <w:tcPr>
            <w:tcW w:type="dxa" w:w="2665"/>
            <w:tcMar>
              <w:top w:w="90" w:type="dxa"/>
              <w:start w:w="90" w:type="dxa"/>
              <w:bottom w:w="90" w:type="dxa"/>
              <w:end w:w="90" w:type="dxa"/>
            </w:tcMar>
          </w:tcPr>
          <w:p>
            <w:pPr>
              <w:spacing w:after="0"/>
            </w:pPr>
            <w:r>
              <w:rPr>
                <w:rFonts w:ascii="Aptos" w:hAnsi="Aptos" w:eastAsia="Aptos"/>
                <w:color w:val="404040"/>
                <w:sz w:val="17"/>
              </w:rPr>
              <w:t>Gravitation, fusion, transport radiatif et convectif.</w:t>
            </w:r>
          </w:p>
        </w:tc>
        <w:tc>
          <w:tcPr>
            <w:tcW w:type="dxa" w:w="2665"/>
            <w:tcMar>
              <w:top w:w="90" w:type="dxa"/>
              <w:start w:w="90" w:type="dxa"/>
              <w:bottom w:w="90" w:type="dxa"/>
              <w:end w:w="90" w:type="dxa"/>
            </w:tcMar>
          </w:tcPr>
          <w:p>
            <w:pPr>
              <w:spacing w:after="0"/>
            </w:pPr>
            <w:r>
              <w:rPr>
                <w:rFonts w:ascii="Aptos" w:hAnsi="Aptos" w:eastAsia="Aptos"/>
                <w:color w:val="404040"/>
                <w:sz w:val="17"/>
              </w:rPr>
              <w:t>Liaisons, diffusion, contraintes mécaniques.</w:t>
            </w:r>
          </w:p>
        </w:tc>
      </w:tr>
      <w:tr>
        <w:trPr>
          <w:cantSplit/>
        </w:trPr>
        <w:tc>
          <w:tcPr>
            <w:tcW w:type="dxa" w:w="1417"/>
            <w:tcMar>
              <w:top w:w="90" w:type="dxa"/>
              <w:start w:w="90" w:type="dxa"/>
              <w:bottom w:w="90" w:type="dxa"/>
              <w:end w:w="90" w:type="dxa"/>
            </w:tcMar>
            <w:shd w:fill="FAFAFA"/>
          </w:tcPr>
          <w:p>
            <w:pPr>
              <w:spacing w:after="0"/>
            </w:pPr>
            <w:r>
              <w:rPr>
                <w:rFonts w:ascii="Aptos" w:hAnsi="Aptos" w:eastAsia="Aptos"/>
                <w:color w:val="404040"/>
                <w:sz w:val="17"/>
              </w:rPr>
              <w:t>Environnement</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Nutriments, température, signaux.</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Milieu interstellaire, compagnons, accrétion.</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Pression, température, solution ou matrice.</w:t>
            </w:r>
          </w:p>
        </w:tc>
      </w:tr>
      <w:tr>
        <w:trPr>
          <w:cantSplit/>
        </w:trPr>
        <w:tc>
          <w:tcPr>
            <w:tcW w:type="dxa" w:w="1417"/>
            <w:tcMar>
              <w:top w:w="90" w:type="dxa"/>
              <w:start w:w="90" w:type="dxa"/>
              <w:bottom w:w="90" w:type="dxa"/>
              <w:end w:w="90" w:type="dxa"/>
            </w:tcMar>
          </w:tcPr>
          <w:p>
            <w:pPr>
              <w:spacing w:after="0"/>
            </w:pPr>
            <w:r>
              <w:rPr>
                <w:rFonts w:ascii="Aptos" w:hAnsi="Aptos" w:eastAsia="Aptos"/>
                <w:color w:val="404040"/>
                <w:sz w:val="17"/>
              </w:rPr>
              <w:t>Persistance</w:t>
            </w:r>
          </w:p>
        </w:tc>
        <w:tc>
          <w:tcPr>
            <w:tcW w:type="dxa" w:w="2665"/>
            <w:tcMar>
              <w:top w:w="90" w:type="dxa"/>
              <w:start w:w="90" w:type="dxa"/>
              <w:bottom w:w="90" w:type="dxa"/>
              <w:end w:w="90" w:type="dxa"/>
            </w:tcMar>
          </w:tcPr>
          <w:p>
            <w:pPr>
              <w:spacing w:after="0"/>
            </w:pPr>
            <w:r>
              <w:rPr>
                <w:rFonts w:ascii="Aptos" w:hAnsi="Aptos" w:eastAsia="Aptos"/>
                <w:color w:val="404040"/>
                <w:sz w:val="17"/>
              </w:rPr>
              <w:t>Réparation, renouvellement, régulation.</w:t>
            </w:r>
          </w:p>
        </w:tc>
        <w:tc>
          <w:tcPr>
            <w:tcW w:type="dxa" w:w="2665"/>
            <w:tcMar>
              <w:top w:w="90" w:type="dxa"/>
              <w:start w:w="90" w:type="dxa"/>
              <w:bottom w:w="90" w:type="dxa"/>
              <w:end w:w="90" w:type="dxa"/>
            </w:tcMar>
          </w:tcPr>
          <w:p>
            <w:pPr>
              <w:spacing w:after="0"/>
            </w:pPr>
            <w:r>
              <w:rPr>
                <w:rFonts w:ascii="Aptos" w:hAnsi="Aptos" w:eastAsia="Aptos"/>
                <w:color w:val="404040"/>
                <w:sz w:val="17"/>
              </w:rPr>
              <w:t>Équilibres hydrostatiques et flux énergétiques.</w:t>
            </w:r>
          </w:p>
        </w:tc>
        <w:tc>
          <w:tcPr>
            <w:tcW w:type="dxa" w:w="2665"/>
            <w:tcMar>
              <w:top w:w="90" w:type="dxa"/>
              <w:start w:w="90" w:type="dxa"/>
              <w:bottom w:w="90" w:type="dxa"/>
              <w:end w:w="90" w:type="dxa"/>
            </w:tcMar>
          </w:tcPr>
          <w:p>
            <w:pPr>
              <w:spacing w:after="0"/>
            </w:pPr>
            <w:r>
              <w:rPr>
                <w:rFonts w:ascii="Aptos" w:hAnsi="Aptos" w:eastAsia="Aptos"/>
                <w:color w:val="404040"/>
                <w:sz w:val="17"/>
              </w:rPr>
              <w:t>Stabilité du réseau dans un domaine de conditions.</w:t>
            </w:r>
          </w:p>
        </w:tc>
      </w:tr>
      <w:tr>
        <w:trPr>
          <w:cantSplit/>
        </w:trPr>
        <w:tc>
          <w:tcPr>
            <w:tcW w:type="dxa" w:w="1417"/>
            <w:tcMar>
              <w:top w:w="90" w:type="dxa"/>
              <w:start w:w="90" w:type="dxa"/>
              <w:bottom w:w="90" w:type="dxa"/>
              <w:end w:w="90" w:type="dxa"/>
            </w:tcMar>
            <w:shd w:fill="FAFAFA"/>
          </w:tcPr>
          <w:p>
            <w:pPr>
              <w:spacing w:after="0"/>
            </w:pPr>
            <w:r>
              <w:rPr>
                <w:rFonts w:ascii="Aptos" w:hAnsi="Aptos" w:eastAsia="Aptos"/>
                <w:color w:val="404040"/>
                <w:sz w:val="17"/>
              </w:rPr>
              <w:t>Histoire</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Endosymbioses, héritages génétiques.</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Formation, évolution stellaire, nucléosynthèse.</w:t>
            </w:r>
          </w:p>
        </w:tc>
        <w:tc>
          <w:tcPr>
            <w:tcW w:type="dxa" w:w="2665"/>
            <w:tcMar>
              <w:top w:w="90" w:type="dxa"/>
              <w:start w:w="90" w:type="dxa"/>
              <w:bottom w:w="90" w:type="dxa"/>
              <w:end w:w="90" w:type="dxa"/>
            </w:tcMar>
            <w:shd w:fill="FAFAFA"/>
          </w:tcPr>
          <w:p>
            <w:pPr>
              <w:spacing w:after="0"/>
            </w:pPr>
            <w:r>
              <w:rPr>
                <w:rFonts w:ascii="Aptos" w:hAnsi="Aptos" w:eastAsia="Aptos"/>
                <w:color w:val="404040"/>
                <w:sz w:val="17"/>
              </w:rPr>
              <w:t>Nucléation, croissance, transformations de phase.</w:t>
            </w:r>
          </w:p>
        </w:tc>
      </w:tr>
    </w:tbl>
    <w:p>
      <w:pPr>
        <w:spacing w:after="0"/>
      </w:pPr>
    </w:p>
    <w:p>
      <w:r>
        <w:rPr>
          <w:rFonts w:ascii="Aptos" w:hAnsi="Aptos" w:eastAsia="Aptos"/>
        </w:rPr>
        <w:t>Cette comparaison montre que les six dimensions peuvent être transposées à des systèmes différents. Elle ne suffit pas à prouver leur universalité. Elle révèle aussi une différence centrale : les organismes maintiennent et transmettent leur organisation par des mécanismes de réparation, de reproduction et d’évolution darwinienne qui n’ont pas d’équivalent direct dans une étoile ou un cristal.</w:t>
      </w:r>
    </w:p>
    <w:p>
      <w:r>
        <w:br w:type="page"/>
      </w:r>
    </w:p>
    <w:p>
      <w:pPr>
        <w:pStyle w:val="Heading1"/>
      </w:pPr>
      <w:r>
        <w:t>4. Acte 2 : cartographier l’endosymbiose mitochondriale</w:t>
      </w:r>
    </w:p>
    <w:p>
      <w:r>
        <w:t>Le deuxième acte évalue les liens typés d’ORI-C sur une transition historique majeure. L’origine endosymbiotique des mitochondries et leur ascendance alphaprotéobactérienne sont solidement établies. La position précise de l’ancêtre mitochondrial parmi les Alphaprotéobactéries, l’identité fine de l’hôte, le contexte écologique initial et l’ordre relatif des innovations eucaryotes restent discutés [2–5].</w:t>
      </w:r>
    </w:p>
    <w:p>
      <w:pPr>
        <w:pStyle w:val="Heading2"/>
      </w:pPr>
      <w:r>
        <w:t>4.1. Contexte historique</w:t>
      </w:r>
    </w:p>
    <w:p>
      <w:r>
        <w:t>Le scénario général fait intervenir une lignée apparentée aux archées Asgard et une lignée alphaprotéobactérienne à l’origine de la mitochondrie. Les analyses phylogénomiques placent la branche nucléaire des eucaryotes au sein des Asgard, même si sa position fine varie selon les jeux de données et les modèles. Les mitochondries conservent, quant à elles, de multiples signatures de leur origine bactérienne. La distribution des mitochondries, des hydrogénosomes et des mitosomes indique que le dernier ancêtre commun des eucaryotes actuels, le LECA, possédait déjà un organite mitochondrial intégré [2–5].</w:t>
      </w:r>
    </w:p>
    <w:p>
      <w:pPr/>
      <w:r>
        <w:t>Une datation récente fondée sur des duplications géniques situe le début probable de l’intégration mitochondriale autour de 2,2 milliards d’années. Dans ce modèle, la lignée mitochondriale diverge de ses plus proches parents alphaprotéobactériens entre 2,37 et 2,13 milliards d’années, tandis que la radiation du LECA est estimée entre 1,80 et 1,67 milliard d’années. Ces valeurs reposent sur des horloges moléculaires et des calibrations. Elles encadrent l’événement sans constituer une datation directe. Des duplications bactériennes plus anciennes, parfois proches de 2,9 milliards d’années, ne datent donc pas à elles seules l’endosymbiose [5].</w:t>
      </w:r>
    </w:p>
    <w:tbl>
      <w:tblPr>
        <w:tblW w:type="auto" w:w="0"/>
        <w:jc w:val="center"/>
        <w:tblLayout w:type="fixed"/>
        <w:tblLook w:firstColumn="1" w:firstRow="1" w:lastColumn="0" w:lastRow="0" w:noHBand="0" w:noVBand="1" w:val="04A0"/>
      </w:tblPr>
      <w:tblGrid>
        <w:gridCol w:w="1938"/>
        <w:gridCol w:w="1938"/>
        <w:gridCol w:w="1938"/>
        <w:gridCol w:w="1938"/>
        <w:gridCol w:w="1938"/>
      </w:tblGrid>
      <w:tr>
        <w:tc>
          <w:tcPr>
            <w:tcW w:type="dxa" w:w="1814"/>
            <w:shd w:fill="DCE6F1"/>
            <w:vAlign w:val="center"/>
            <w:tcMar>
              <w:top w:w="150" w:type="dxa"/>
              <w:start w:w="70" w:type="dxa"/>
              <w:bottom w:w="150" w:type="dxa"/>
              <w:end w:w="70" w:type="dxa"/>
            </w:tcMar>
            <w:tcBorders>
              <w:top w:val="single" w:sz="6" w:color="A6A6A6"/>
              <w:left w:val="single" w:sz="6" w:color="A6A6A6"/>
              <w:bottom w:val="single" w:sz="6" w:color="A6A6A6"/>
              <w:right w:val="single" w:sz="6" w:color="A6A6A6"/>
            </w:tcBorders>
          </w:tcPr>
          <w:p>
            <w:pPr>
              <w:jc w:val="center"/>
            </w:pPr>
            <w:r>
              <w:rPr>
                <w:rFonts w:ascii="Aptos" w:hAnsi="Aptos" w:eastAsia="Aptos"/>
                <w:b/>
                <w:color w:val="404040"/>
                <w:sz w:val="19"/>
              </w:rPr>
              <w:t>Lignée</w:t>
              <w:br/>
              <w:t>Asgard</w:t>
            </w:r>
          </w:p>
        </w:tc>
        <w:tc>
          <w:tcPr>
            <w:tcW w:type="dxa" w:w="567"/>
            <w:shd w:fill="FFFFFF"/>
            <w:vAlign w:val="center"/>
            <w:tcMar>
              <w:top w:w="150" w:type="dxa"/>
              <w:start w:w="70" w:type="dxa"/>
              <w:bottom w:w="150" w:type="dxa"/>
              <w:end w:w="70" w:type="dxa"/>
            </w:tcMar>
            <w:tcBorders>
              <w:top w:val="single" w:sz="6" w:color="FFFFFF"/>
              <w:left w:val="single" w:sz="6" w:color="FFFFFF"/>
              <w:bottom w:val="single" w:sz="6" w:color="FFFFFF"/>
              <w:right w:val="single" w:sz="6" w:color="FFFFFF"/>
            </w:tcBorders>
          </w:tcPr>
          <w:p>
            <w:pPr>
              <w:jc w:val="center"/>
            </w:pPr>
            <w:r>
              <w:rPr>
                <w:rFonts w:ascii="Aptos" w:hAnsi="Aptos" w:eastAsia="Aptos"/>
                <w:b/>
                <w:color w:val="404040"/>
                <w:sz w:val="34"/>
              </w:rPr>
              <w:t>+</w:t>
            </w:r>
          </w:p>
        </w:tc>
        <w:tc>
          <w:tcPr>
            <w:tcW w:type="dxa" w:w="2551"/>
            <w:shd w:fill="FCE4D6"/>
            <w:vAlign w:val="center"/>
            <w:tcMar>
              <w:top w:w="150" w:type="dxa"/>
              <w:start w:w="70" w:type="dxa"/>
              <w:bottom w:w="150" w:type="dxa"/>
              <w:end w:w="70" w:type="dxa"/>
            </w:tcMar>
            <w:tcBorders>
              <w:top w:val="single" w:sz="6" w:color="A6A6A6"/>
              <w:left w:val="single" w:sz="6" w:color="A6A6A6"/>
              <w:bottom w:val="single" w:sz="6" w:color="A6A6A6"/>
              <w:right w:val="single" w:sz="6" w:color="A6A6A6"/>
            </w:tcBorders>
          </w:tcPr>
          <w:p>
            <w:pPr>
              <w:jc w:val="center"/>
            </w:pPr>
            <w:r>
              <w:rPr>
                <w:rFonts w:ascii="Aptos" w:hAnsi="Aptos" w:eastAsia="Aptos"/>
                <w:b/>
                <w:color w:val="404040"/>
                <w:sz w:val="19"/>
              </w:rPr>
              <w:t>Lignée</w:t>
              <w:br/>
              <w:t>alphaprotéobactérienne</w:t>
            </w:r>
          </w:p>
        </w:tc>
        <w:tc>
          <w:tcPr>
            <w:tcW w:type="dxa" w:w="567"/>
            <w:shd w:fill="FFFFFF"/>
            <w:vAlign w:val="center"/>
            <w:tcMar>
              <w:top w:w="150" w:type="dxa"/>
              <w:start w:w="70" w:type="dxa"/>
              <w:bottom w:w="150" w:type="dxa"/>
              <w:end w:w="70" w:type="dxa"/>
            </w:tcMar>
            <w:tcBorders>
              <w:top w:val="single" w:sz="6" w:color="FFFFFF"/>
              <w:left w:val="single" w:sz="6" w:color="FFFFFF"/>
              <w:bottom w:val="single" w:sz="6" w:color="FFFFFF"/>
              <w:right w:val="single" w:sz="6" w:color="FFFFFF"/>
            </w:tcBorders>
          </w:tcPr>
          <w:p>
            <w:pPr>
              <w:jc w:val="center"/>
            </w:pPr>
            <w:r>
              <w:rPr>
                <w:rFonts w:ascii="Aptos" w:hAnsi="Aptos" w:eastAsia="Aptos"/>
                <w:b/>
                <w:color w:val="404040"/>
                <w:sz w:val="34"/>
              </w:rPr>
              <w:t>→</w:t>
            </w:r>
          </w:p>
        </w:tc>
        <w:tc>
          <w:tcPr>
            <w:tcW w:type="dxa" w:w="3402"/>
            <w:shd w:fill="17365D"/>
            <w:vAlign w:val="center"/>
            <w:tcMar>
              <w:top w:w="150" w:type="dxa"/>
              <w:start w:w="70" w:type="dxa"/>
              <w:bottom w:w="150" w:type="dxa"/>
              <w:end w:w="70" w:type="dxa"/>
            </w:tcMar>
            <w:tcBorders>
              <w:top w:val="single" w:sz="6" w:color="FFFFFF"/>
              <w:left w:val="single" w:sz="6" w:color="FFFFFF"/>
              <w:bottom w:val="single" w:sz="6" w:color="FFFFFF"/>
              <w:right w:val="single" w:sz="6" w:color="FFFFFF"/>
            </w:tcBorders>
          </w:tcPr>
          <w:p>
            <w:pPr>
              <w:jc w:val="center"/>
            </w:pPr>
            <w:r>
              <w:rPr>
                <w:rFonts w:ascii="Aptos" w:hAnsi="Aptos" w:eastAsia="Aptos"/>
                <w:b/>
                <w:color w:val="FFFFFF"/>
                <w:sz w:val="19"/>
              </w:rPr>
              <w:t>Association puis</w:t>
              <w:br/>
              <w:t>intégration mitochondriale</w:t>
            </w:r>
          </w:p>
        </w:tc>
      </w:tr>
    </w:tbl>
    <w:p>
      <w:pPr>
        <w:pStyle w:val="Small"/>
        <w:jc w:val="center"/>
      </w:pPr>
      <w:r>
        <w:rPr>
          <w:rFonts w:ascii="Aptos" w:hAnsi="Aptos" w:eastAsia="Aptos"/>
        </w:rPr>
        <w:t>Figure 2. L’endosymbiose est une association et une intégration de lignées, pas une simple relation de descendance.</w:t>
      </w:r>
    </w:p>
    <w:p>
      <w:pPr>
        <w:pStyle w:val="Heading2"/>
      </w:pPr>
      <w:r>
        <w:t>4.2. ENBL : ouverture de possibilités</w:t>
      </w:r>
    </w:p>
    <w:p>
      <w:r>
        <w:t>L’intégration mitochondriale a élargi les possibilités métaboliques et bioénergétiques des premiers eucaryotes et a participé à la construction de leur organisation cellulaire. Lane et Martin ont proposé que cette réorganisation énergétique ait permis une expansion majeure de la capacité génomique et favorisé la complexité eucaryote [6]. Cette interprétation reste débattue. Lynch et Marinov contestent l’idée d’un avantage énergétique général suffisant pour expliquer à lui seul la complexité eucaryote [7]. Les datations de duplications géniques publiées récemment suggèrent en outre que l’hôte possédait déjà un cytosquelette élaboré, un trafic membranaire, des endomembranes, une machinerie phagocytaire et une forme de compartimentation nucléaire avant l’intégration mitochondriale. La mitochondrie a donc renforcé et transformé une organisation en cours de complexification plutôt qu’engendré seule toute la compartimentation eucaryote [5].</w:t>
      </w:r>
    </w:p>
    <w:p>
      <w:r>
        <w:rPr>
          <w:rFonts w:ascii="Aptos" w:hAnsi="Aptos" w:eastAsia="Aptos"/>
        </w:rPr>
        <w:t>La multicellularité a évolué indépendamment dans de nombreuses lignées, y compris chez des bactéries dépourvues de mitochondries. La mitochondrie ne constitue donc pas un préalable universel à toute multicellularité. Une formulation rigoureuse est la suivante : l’endosymbiose mitochondriale a pu faciliter l’évolution ultérieure de certaines grandes cellules eucaryotes, de génomes étendus et de formes de multicellularité complexe, sans être établie comme cause exclusive ou condition nécessaire universelle [6–8].</w:t>
      </w:r>
    </w:p>
    <w:tbl>
      <w:tblPr>
        <w:tblW w:type="auto" w:w="0"/>
        <w:jc w:val="center"/>
        <w:tblLook w:firstColumn="1" w:firstRow="1" w:lastColumn="0" w:lastRow="0" w:noHBand="0" w:noVBand="1" w:val="04A0"/>
      </w:tblPr>
      <w:tblGrid>
        <w:gridCol w:w="9688"/>
      </w:tblGrid>
      <w:tr>
        <w:tc>
          <w:tcPr>
            <w:tcW w:type="dxa" w:w="9688"/>
            <w:shd w:fill="FFF2CC"/>
            <w:tcMar>
              <w:top w:w="140" w:type="dxa"/>
              <w:start w:w="170" w:type="dxa"/>
              <w:bottom w:w="140" w:type="dxa"/>
              <w:end w:w="170" w:type="dxa"/>
            </w:tcMar>
            <w:tcBorders>
              <w:top w:val="single" w:sz="8" w:color="BF9000"/>
              <w:left w:val="single" w:sz="8" w:color="BF9000"/>
              <w:bottom w:val="single" w:sz="8" w:color="BF9000"/>
              <w:right w:val="single" w:sz="8" w:color="BF9000"/>
            </w:tcBorders>
          </w:tcPr>
          <w:p>
            <w:r>
              <w:rPr>
                <w:rFonts w:ascii="Aptos" w:hAnsi="Aptos" w:eastAsia="Aptos"/>
                <w:b/>
                <w:color w:val="17365D"/>
                <w:sz w:val="20"/>
              </w:rPr>
              <w:t>STATUT DU LIEN ENBL</w:t>
            </w:r>
          </w:p>
          <w:p>
            <w:pPr>
              <w:spacing w:after="0"/>
            </w:pPr>
            <w:r>
              <w:rPr>
                <w:rFonts w:ascii="Aptos" w:hAnsi="Aptos" w:eastAsia="Aptos"/>
                <w:color w:val="404040"/>
                <w:sz w:val="19"/>
              </w:rPr>
              <w:t>Ouverture bioénergétique et métabolique : fortement soutenue. Rôle nécessaire dans toute complexité eucaryote : débattu. Rôle nécessaire dans toute multicellularité : non soutenu.</w:t>
            </w:r>
          </w:p>
        </w:tc>
      </w:tr>
    </w:tbl>
    <w:p>
      <w:pPr>
        <w:spacing w:after="0"/>
      </w:pPr>
    </w:p>
    <w:p>
      <w:pPr>
        <w:pStyle w:val="Heading2"/>
      </w:pPr>
      <w:r>
        <w:t>4.3. DESC : corriger une erreur de catégorie</w:t>
      </w:r>
    </w:p>
    <w:p>
      <w:r>
        <w:rPr>
          <w:rFonts w:ascii="Aptos" w:hAnsi="Aptos" w:eastAsia="Aptos"/>
        </w:rPr>
        <w:t>LUCA peut être considéré comme un ancêtre très ancien des branches bactérienne et archéenne impliquées dans l’eucaryogenèse. L’endosymbiose elle-même est un événement produit par l’interaction de lignées descendantes. La relation « LUCA → DESC → endosymbiose » confond donc une ascendance avec un événement d’association.</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3969"/>
            <w:shd w:fill="17365D"/>
            <w:tcMar>
              <w:top w:w="100" w:type="dxa"/>
              <w:start w:w="90" w:type="dxa"/>
              <w:bottom w:w="100" w:type="dxa"/>
              <w:end w:w="90" w:type="dxa"/>
            </w:tcMar>
          </w:tcPr>
          <w:p>
            <w:pPr>
              <w:jc w:val="left"/>
            </w:pPr>
            <w:r>
              <w:rPr>
                <w:rFonts w:ascii="Aptos" w:hAnsi="Aptos" w:eastAsia="Aptos"/>
                <w:b/>
                <w:color w:val="FFFFFF"/>
                <w:sz w:val="18"/>
              </w:rPr>
              <w:t>Relation correcte</w:t>
            </w:r>
          </w:p>
        </w:tc>
        <w:tc>
          <w:tcPr>
            <w:tcW w:type="dxa" w:w="5329"/>
            <w:shd w:fill="17365D"/>
            <w:tcMar>
              <w:top w:w="100" w:type="dxa"/>
              <w:start w:w="90" w:type="dxa"/>
              <w:bottom w:w="100" w:type="dxa"/>
              <w:end w:w="90" w:type="dxa"/>
            </w:tcMar>
          </w:tcPr>
          <w:p>
            <w:pPr>
              <w:jc w:val="left"/>
            </w:pPr>
            <w:r>
              <w:rPr>
                <w:rFonts w:ascii="Aptos" w:hAnsi="Aptos" w:eastAsia="Aptos"/>
                <w:b/>
                <w:color w:val="FFFFFF"/>
                <w:sz w:val="18"/>
              </w:rPr>
              <w:t>Interprétation</w:t>
            </w:r>
          </w:p>
        </w:tc>
      </w:tr>
      <w:tr>
        <w:trPr>
          <w:cantSplit/>
        </w:trPr>
        <w:tc>
          <w:tcPr>
            <w:tcW w:type="dxa" w:w="3969"/>
            <w:tcMar>
              <w:top w:w="90" w:type="dxa"/>
              <w:start w:w="90" w:type="dxa"/>
              <w:bottom w:w="90" w:type="dxa"/>
              <w:end w:w="90" w:type="dxa"/>
            </w:tcMar>
          </w:tcPr>
          <w:p>
            <w:pPr>
              <w:spacing w:after="0"/>
            </w:pPr>
            <w:r>
              <w:rPr>
                <w:rFonts w:ascii="Aptos" w:hAnsi="Aptos" w:eastAsia="Aptos"/>
                <w:color w:val="404040"/>
                <w:sz w:val="18"/>
              </w:rPr>
              <w:t>LUCA → DESC → branche bactérienne</w:t>
            </w:r>
          </w:p>
        </w:tc>
        <w:tc>
          <w:tcPr>
            <w:tcW w:type="dxa" w:w="5329"/>
            <w:tcMar>
              <w:top w:w="90" w:type="dxa"/>
              <w:start w:w="90" w:type="dxa"/>
              <w:bottom w:w="90" w:type="dxa"/>
              <w:end w:w="90" w:type="dxa"/>
            </w:tcMar>
          </w:tcPr>
          <w:p>
            <w:pPr>
              <w:spacing w:after="0"/>
            </w:pPr>
            <w:r>
              <w:rPr>
                <w:rFonts w:ascii="Aptos" w:hAnsi="Aptos" w:eastAsia="Aptos"/>
                <w:color w:val="404040"/>
                <w:sz w:val="18"/>
              </w:rPr>
              <w:t>Ascendance profonde de la lignée à l’origine de l’endosymbionte.</w:t>
            </w:r>
          </w:p>
        </w:tc>
      </w:tr>
      <w:tr>
        <w:trPr>
          <w:cantSplit/>
        </w:trPr>
        <w:tc>
          <w:tcPr>
            <w:tcW w:type="dxa" w:w="3969"/>
            <w:tcMar>
              <w:top w:w="90" w:type="dxa"/>
              <w:start w:w="90" w:type="dxa"/>
              <w:bottom w:w="90" w:type="dxa"/>
              <w:end w:w="90" w:type="dxa"/>
            </w:tcMar>
            <w:shd w:fill="FAFAFA"/>
          </w:tcPr>
          <w:p>
            <w:pPr>
              <w:spacing w:after="0"/>
            </w:pPr>
            <w:r>
              <w:rPr>
                <w:rFonts w:ascii="Aptos" w:hAnsi="Aptos" w:eastAsia="Aptos"/>
                <w:color w:val="404040"/>
                <w:sz w:val="18"/>
              </w:rPr>
              <w:t>LUCA → DESC → branche archéenne</w:t>
            </w:r>
          </w:p>
        </w:tc>
        <w:tc>
          <w:tcPr>
            <w:tcW w:type="dxa" w:w="5329"/>
            <w:tcMar>
              <w:top w:w="90" w:type="dxa"/>
              <w:start w:w="90" w:type="dxa"/>
              <w:bottom w:w="90" w:type="dxa"/>
              <w:end w:w="90" w:type="dxa"/>
            </w:tcMar>
            <w:shd w:fill="FAFAFA"/>
          </w:tcPr>
          <w:p>
            <w:pPr>
              <w:spacing w:after="0"/>
            </w:pPr>
            <w:r>
              <w:rPr>
                <w:rFonts w:ascii="Aptos" w:hAnsi="Aptos" w:eastAsia="Aptos"/>
                <w:color w:val="404040"/>
                <w:sz w:val="18"/>
              </w:rPr>
              <w:t>Ascendance profonde de la lignée apparentée à l’hôte.</w:t>
            </w:r>
          </w:p>
        </w:tc>
      </w:tr>
      <w:tr>
        <w:trPr>
          <w:cantSplit/>
        </w:trPr>
        <w:tc>
          <w:tcPr>
            <w:tcW w:type="dxa" w:w="3969"/>
            <w:tcMar>
              <w:top w:w="90" w:type="dxa"/>
              <w:start w:w="90" w:type="dxa"/>
              <w:bottom w:w="90" w:type="dxa"/>
              <w:end w:w="90" w:type="dxa"/>
            </w:tcMar>
          </w:tcPr>
          <w:p>
            <w:pPr>
              <w:spacing w:after="0"/>
            </w:pPr>
            <w:r>
              <w:rPr>
                <w:rFonts w:ascii="Aptos" w:hAnsi="Aptos" w:eastAsia="Aptos"/>
                <w:color w:val="404040"/>
                <w:sz w:val="18"/>
              </w:rPr>
              <w:t>Branche alphaprotéobactérienne + branche Asgard → association/intégration</w:t>
            </w:r>
          </w:p>
        </w:tc>
        <w:tc>
          <w:tcPr>
            <w:tcW w:type="dxa" w:w="5329"/>
            <w:tcMar>
              <w:top w:w="90" w:type="dxa"/>
              <w:start w:w="90" w:type="dxa"/>
              <w:bottom w:w="90" w:type="dxa"/>
              <w:end w:w="90" w:type="dxa"/>
            </w:tcMar>
          </w:tcPr>
          <w:p>
            <w:pPr>
              <w:spacing w:after="0"/>
            </w:pPr>
            <w:r>
              <w:rPr>
                <w:rFonts w:ascii="Aptos" w:hAnsi="Aptos" w:eastAsia="Aptos"/>
                <w:color w:val="404040"/>
                <w:sz w:val="18"/>
              </w:rPr>
              <w:t>Événement réticulaire qui demande un code distinct de DESC.</w:t>
            </w:r>
          </w:p>
        </w:tc>
      </w:tr>
    </w:tbl>
    <w:p>
      <w:pPr>
        <w:spacing w:after="0"/>
      </w:pPr>
    </w:p>
    <w:p>
      <w:pPr>
        <w:pStyle w:val="Heading2"/>
      </w:pPr>
      <w:r>
        <w:t>4.4. MATR : apport énergétique et fonctions mitochondriales</w:t>
      </w:r>
    </w:p>
    <w:p>
      <w:r>
        <w:rPr>
          <w:rFonts w:ascii="Aptos" w:hAnsi="Aptos" w:eastAsia="Aptos"/>
        </w:rPr>
        <w:t>La mitochondrie participe à la production d’ATP par phosphorylation oxydative dans les cellules aérobies. Elle contribue aussi au métabolisme du carbone, à l’équilibre rédox, à la biosynthèse de métabolites, à l’assemblage de centres fer-soufre et à plusieurs voies de signalisation. MATR énergétique est donc recevable, à condition de ne pas réduire la mitochondrie à une centrale ATP. Les organites mitochondriaux apparentés n’assurent pas tous une respiration aérobie classique [1–2].</w:t>
      </w:r>
    </w:p>
    <w:p>
      <w:pPr>
        <w:pStyle w:val="Heading2"/>
      </w:pPr>
      <w:r>
        <w:t>4.5. ENVR : transformation de l’écologie intracellulaire</w:t>
      </w:r>
    </w:p>
    <w:p>
      <w:r>
        <w:rPr>
          <w:rFonts w:ascii="Aptos" w:hAnsi="Aptos" w:eastAsia="Aptos"/>
        </w:rPr>
        <w:t>L’endosymbiose a transformé l’environnement intérieur de l’hôte en introduisant de nouvelles membranes, de nouveaux échanges rédox, une compartimentation métabolique et des transferts de gènes vers le noyau. Il est plus précis de parler de transformation de l’écologie intracellulaire que d’apparition d’un mode de vie aérobie, puisque la respiration aérobie existait déjà chez des bactéries avant l’origine des eucaryotes.</w:t>
      </w:r>
    </w:p>
    <w:p>
      <w:pPr>
        <w:pStyle w:val="Heading2"/>
      </w:pPr>
      <w:r>
        <w:t>4.6. Statut des affirmations</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cantSplit/>
        </w:trPr>
        <w:tc>
          <w:tcPr>
            <w:tcW w:type="dxa" w:w="3231"/>
            <w:shd w:fill="17365D"/>
            <w:tcMar>
              <w:top w:w="100" w:type="dxa"/>
              <w:start w:w="90" w:type="dxa"/>
              <w:bottom w:w="100" w:type="dxa"/>
              <w:end w:w="90" w:type="dxa"/>
            </w:tcMar>
          </w:tcPr>
          <w:p>
            <w:pPr>
              <w:jc w:val="left"/>
            </w:pPr>
            <w:r>
              <w:rPr>
                <w:rFonts w:ascii="Aptos" w:hAnsi="Aptos" w:eastAsia="Aptos"/>
                <w:b/>
                <w:color w:val="FFFFFF"/>
                <w:sz w:val="17"/>
              </w:rPr>
              <w:t>Affirmation</w:t>
            </w:r>
          </w:p>
        </w:tc>
        <w:tc>
          <w:tcPr>
            <w:tcW w:type="dxa" w:w="2154"/>
            <w:shd w:fill="17365D"/>
            <w:tcMar>
              <w:top w:w="100" w:type="dxa"/>
              <w:start w:w="90" w:type="dxa"/>
              <w:bottom w:w="100" w:type="dxa"/>
              <w:end w:w="90" w:type="dxa"/>
            </w:tcMar>
          </w:tcPr>
          <w:p>
            <w:pPr>
              <w:jc w:val="left"/>
            </w:pPr>
            <w:r>
              <w:rPr>
                <w:rFonts w:ascii="Aptos" w:hAnsi="Aptos" w:eastAsia="Aptos"/>
                <w:b/>
                <w:color w:val="FFFFFF"/>
                <w:sz w:val="17"/>
              </w:rPr>
              <w:t>Statut recommandé</w:t>
            </w:r>
          </w:p>
        </w:tc>
        <w:tc>
          <w:tcPr>
            <w:tcW w:type="dxa" w:w="3912"/>
            <w:shd w:fill="17365D"/>
            <w:tcMar>
              <w:top w:w="100" w:type="dxa"/>
              <w:start w:w="90" w:type="dxa"/>
              <w:bottom w:w="100" w:type="dxa"/>
              <w:end w:w="90" w:type="dxa"/>
            </w:tcMar>
          </w:tcPr>
          <w:p>
            <w:pPr>
              <w:jc w:val="left"/>
            </w:pPr>
            <w:r>
              <w:rPr>
                <w:rFonts w:ascii="Aptos" w:hAnsi="Aptos" w:eastAsia="Aptos"/>
                <w:b/>
                <w:color w:val="FFFFFF"/>
                <w:sz w:val="17"/>
              </w:rPr>
              <w:t>Base principale</w:t>
            </w:r>
          </w:p>
        </w:tc>
      </w:tr>
      <w:tr>
        <w:trPr>
          <w:cantSplit/>
        </w:trPr>
        <w:tc>
          <w:tcPr>
            <w:tcW w:type="dxa" w:w="3231"/>
            <w:tcMar>
              <w:top w:w="90" w:type="dxa"/>
              <w:start w:w="90" w:type="dxa"/>
              <w:bottom w:w="90" w:type="dxa"/>
              <w:end w:w="90" w:type="dxa"/>
            </w:tcMar>
          </w:tcPr>
          <w:p>
            <w:pPr>
              <w:spacing w:after="0"/>
            </w:pPr>
            <w:r>
              <w:rPr>
                <w:rFonts w:ascii="Aptos" w:hAnsi="Aptos" w:eastAsia="Aptos"/>
                <w:color w:val="404040"/>
                <w:sz w:val="17"/>
              </w:rPr>
              <w:t>Origine endosymbiotique des mitochondries</w:t>
            </w:r>
          </w:p>
        </w:tc>
        <w:tc>
          <w:tcPr>
            <w:tcW w:type="dxa" w:w="2154"/>
            <w:tcMar>
              <w:top w:w="90" w:type="dxa"/>
              <w:start w:w="90" w:type="dxa"/>
              <w:bottom w:w="90" w:type="dxa"/>
              <w:end w:w="90" w:type="dxa"/>
            </w:tcMar>
          </w:tcPr>
          <w:p>
            <w:pPr>
              <w:spacing w:after="0"/>
            </w:pPr>
            <w:r>
              <w:rPr>
                <w:rFonts w:ascii="Aptos" w:hAnsi="Aptos" w:eastAsia="Aptos"/>
                <w:color w:val="404040"/>
                <w:sz w:val="17"/>
              </w:rPr>
              <w:t>Établi</w:t>
            </w:r>
          </w:p>
        </w:tc>
        <w:tc>
          <w:tcPr>
            <w:tcW w:type="dxa" w:w="3912"/>
            <w:tcMar>
              <w:top w:w="90" w:type="dxa"/>
              <w:start w:w="90" w:type="dxa"/>
              <w:bottom w:w="90" w:type="dxa"/>
              <w:end w:w="90" w:type="dxa"/>
            </w:tcMar>
          </w:tcPr>
          <w:p>
            <w:pPr>
              <w:spacing w:after="0"/>
            </w:pPr>
            <w:r>
              <w:rPr>
                <w:rFonts w:ascii="Aptos" w:hAnsi="Aptos" w:eastAsia="Aptos"/>
                <w:color w:val="404040"/>
                <w:sz w:val="17"/>
              </w:rPr>
              <w:t>Convergence de la phylogénie, de la génomique et de la biologie cellulaire.</w:t>
            </w:r>
          </w:p>
        </w:tc>
      </w:tr>
      <w:tr>
        <w:trPr>
          <w:cantSplit/>
        </w:trPr>
        <w:tc>
          <w:tcPr>
            <w:tcW w:type="dxa" w:w="3231"/>
            <w:tcMar>
              <w:top w:w="90" w:type="dxa"/>
              <w:start w:w="90" w:type="dxa"/>
              <w:bottom w:w="90" w:type="dxa"/>
              <w:end w:w="90" w:type="dxa"/>
            </w:tcMar>
            <w:shd w:fill="FAFAFA"/>
          </w:tcPr>
          <w:p>
            <w:pPr>
              <w:spacing w:after="0"/>
            </w:pPr>
            <w:r>
              <w:rPr>
                <w:rFonts w:ascii="Aptos" w:hAnsi="Aptos" w:eastAsia="Aptos"/>
                <w:color w:val="404040"/>
                <w:sz w:val="17"/>
              </w:rPr>
              <w:t>Ascendance alphaprotéobactérienne</w:t>
            </w:r>
          </w:p>
        </w:tc>
        <w:tc>
          <w:tcPr>
            <w:tcW w:type="dxa" w:w="2154"/>
            <w:tcMar>
              <w:top w:w="90" w:type="dxa"/>
              <w:start w:w="90" w:type="dxa"/>
              <w:bottom w:w="90" w:type="dxa"/>
              <w:end w:w="90" w:type="dxa"/>
            </w:tcMar>
            <w:shd w:fill="FAFAFA"/>
          </w:tcPr>
          <w:p>
            <w:pPr>
              <w:spacing w:after="0"/>
            </w:pPr>
            <w:r>
              <w:rPr>
                <w:rFonts w:ascii="Aptos" w:hAnsi="Aptos" w:eastAsia="Aptos"/>
                <w:color w:val="404040"/>
                <w:sz w:val="17"/>
              </w:rPr>
              <w:t>Établi</w:t>
            </w:r>
          </w:p>
        </w:tc>
        <w:tc>
          <w:tcPr>
            <w:tcW w:type="dxa" w:w="3912"/>
            <w:tcMar>
              <w:top w:w="90" w:type="dxa"/>
              <w:start w:w="90" w:type="dxa"/>
              <w:bottom w:w="90" w:type="dxa"/>
              <w:end w:w="90" w:type="dxa"/>
            </w:tcMar>
            <w:shd w:fill="FAFAFA"/>
          </w:tcPr>
          <w:p>
            <w:pPr>
              <w:spacing w:after="0"/>
            </w:pPr>
            <w:r>
              <w:rPr>
                <w:rFonts w:ascii="Aptos" w:hAnsi="Aptos" w:eastAsia="Aptos"/>
                <w:color w:val="404040"/>
                <w:sz w:val="17"/>
              </w:rPr>
              <w:t>Phylogénies et homologies moléculaires.</w:t>
            </w:r>
          </w:p>
        </w:tc>
      </w:tr>
      <w:tr>
        <w:trPr>
          <w:cantSplit/>
        </w:trPr>
        <w:tc>
          <w:tcPr>
            <w:tcW w:type="dxa" w:w="3231"/>
            <w:tcMar>
              <w:top w:w="90" w:type="dxa"/>
              <w:start w:w="90" w:type="dxa"/>
              <w:bottom w:w="90" w:type="dxa"/>
              <w:end w:w="90" w:type="dxa"/>
            </w:tcMar>
          </w:tcPr>
          <w:p>
            <w:pPr>
              <w:spacing w:after="0"/>
            </w:pPr>
            <w:r>
              <w:rPr>
                <w:rFonts w:ascii="Aptos" w:hAnsi="Aptos" w:eastAsia="Aptos"/>
                <w:color w:val="404040"/>
                <w:sz w:val="17"/>
              </w:rPr>
              <w:t>Parenté de la branche archéenne avec les Asgard</w:t>
            </w:r>
          </w:p>
        </w:tc>
        <w:tc>
          <w:tcPr>
            <w:tcW w:type="dxa" w:w="2154"/>
            <w:tcMar>
              <w:top w:w="90" w:type="dxa"/>
              <w:start w:w="90" w:type="dxa"/>
              <w:bottom w:w="90" w:type="dxa"/>
              <w:end w:w="90" w:type="dxa"/>
            </w:tcMar>
          </w:tcPr>
          <w:p>
            <w:pPr>
              <w:spacing w:after="0"/>
            </w:pPr>
            <w:r>
              <w:rPr>
                <w:rFonts w:ascii="Aptos" w:hAnsi="Aptos" w:eastAsia="Aptos"/>
                <w:color w:val="404040"/>
                <w:sz w:val="17"/>
              </w:rPr>
              <w:t>Fortement soutenu</w:t>
            </w:r>
          </w:p>
        </w:tc>
        <w:tc>
          <w:tcPr>
            <w:tcW w:type="dxa" w:w="3912"/>
            <w:tcMar>
              <w:top w:w="90" w:type="dxa"/>
              <w:start w:w="90" w:type="dxa"/>
              <w:bottom w:w="90" w:type="dxa"/>
              <w:end w:w="90" w:type="dxa"/>
            </w:tcMar>
          </w:tcPr>
          <w:p>
            <w:pPr>
              <w:spacing w:after="0"/>
            </w:pPr>
            <w:r>
              <w:rPr>
                <w:rFonts w:ascii="Aptos" w:hAnsi="Aptos" w:eastAsia="Aptos"/>
                <w:color w:val="404040"/>
                <w:sz w:val="17"/>
              </w:rPr>
              <w:t>Phylogénomique sur des jeux de marqueurs et des génomes élargis.</w:t>
            </w:r>
          </w:p>
        </w:tc>
      </w:tr>
      <w:tr>
        <w:trPr>
          <w:cantSplit/>
        </w:trPr>
        <w:tc>
          <w:tcPr>
            <w:tcW w:type="dxa" w:w="3231"/>
            <w:tcMar>
              <w:top w:w="90" w:type="dxa"/>
              <w:start w:w="90" w:type="dxa"/>
              <w:bottom w:w="90" w:type="dxa"/>
              <w:end w:w="90" w:type="dxa"/>
            </w:tcMar>
            <w:shd w:fill="FAFAFA"/>
          </w:tcPr>
          <w:p>
            <w:pPr>
              <w:spacing w:after="0"/>
            </w:pPr>
            <w:r>
              <w:rPr>
                <w:rFonts w:ascii="Aptos" w:hAnsi="Aptos" w:eastAsia="Aptos"/>
                <w:color w:val="404040"/>
                <w:sz w:val="17"/>
              </w:rPr>
              <w:t>Identité exacte de l’hôte</w:t>
            </w:r>
          </w:p>
        </w:tc>
        <w:tc>
          <w:tcPr>
            <w:tcW w:type="dxa" w:w="2154"/>
            <w:tcMar>
              <w:top w:w="90" w:type="dxa"/>
              <w:start w:w="90" w:type="dxa"/>
              <w:bottom w:w="90" w:type="dxa"/>
              <w:end w:w="90" w:type="dxa"/>
            </w:tcMar>
            <w:shd w:fill="FAFAFA"/>
          </w:tcPr>
          <w:p>
            <w:pPr>
              <w:spacing w:after="0"/>
            </w:pPr>
            <w:r>
              <w:rPr>
                <w:rFonts w:ascii="Aptos" w:hAnsi="Aptos" w:eastAsia="Aptos"/>
                <w:color w:val="404040"/>
                <w:sz w:val="17"/>
              </w:rPr>
              <w:t>Fortement inféré à incertain</w:t>
            </w:r>
          </w:p>
        </w:tc>
        <w:tc>
          <w:tcPr>
            <w:tcW w:type="dxa" w:w="3912"/>
            <w:tcMar>
              <w:top w:w="90" w:type="dxa"/>
              <w:start w:w="90" w:type="dxa"/>
              <w:bottom w:w="90" w:type="dxa"/>
              <w:end w:w="90" w:type="dxa"/>
            </w:tcMar>
            <w:shd w:fill="FAFAFA"/>
          </w:tcPr>
          <w:p>
            <w:pPr>
              <w:spacing w:after="0"/>
            </w:pPr>
            <w:r>
              <w:rPr>
                <w:rFonts w:ascii="Aptos" w:hAnsi="Aptos" w:eastAsia="Aptos"/>
                <w:color w:val="404040"/>
                <w:sz w:val="17"/>
              </w:rPr>
              <w:t>Les positions fines varient selon les modèles et les échantillonnages.</w:t>
            </w:r>
          </w:p>
        </w:tc>
      </w:tr>
      <w:tr>
        <w:trPr>
          <w:cantSplit/>
        </w:trPr>
        <w:tc>
          <w:tcPr>
            <w:tcW w:type="dxa" w:w="3231"/>
            <w:tcMar>
              <w:top w:w="90" w:type="dxa"/>
              <w:start w:w="90" w:type="dxa"/>
              <w:bottom w:w="90" w:type="dxa"/>
              <w:end w:w="90" w:type="dxa"/>
            </w:tcMar>
          </w:tcPr>
          <w:p>
            <w:pPr>
              <w:spacing w:after="0"/>
            </w:pPr>
            <w:r>
              <w:rPr>
                <w:rFonts w:ascii="Aptos" w:hAnsi="Aptos" w:eastAsia="Aptos"/>
                <w:color w:val="404040"/>
                <w:sz w:val="17"/>
              </w:rPr>
              <w:t>Mécanisme initial de l’association</w:t>
            </w:r>
          </w:p>
        </w:tc>
        <w:tc>
          <w:tcPr>
            <w:tcW w:type="dxa" w:w="2154"/>
            <w:tcMar>
              <w:top w:w="90" w:type="dxa"/>
              <w:start w:w="90" w:type="dxa"/>
              <w:bottom w:w="90" w:type="dxa"/>
              <w:end w:w="90" w:type="dxa"/>
            </w:tcMar>
          </w:tcPr>
          <w:p>
            <w:pPr>
              <w:spacing w:after="0"/>
            </w:pPr>
            <w:r>
              <w:rPr>
                <w:rFonts w:ascii="Aptos" w:hAnsi="Aptos" w:eastAsia="Aptos"/>
                <w:color w:val="404040"/>
                <w:sz w:val="17"/>
              </w:rPr>
              <w:t>Hypothétique</w:t>
            </w:r>
          </w:p>
        </w:tc>
        <w:tc>
          <w:tcPr>
            <w:tcW w:type="dxa" w:w="3912"/>
            <w:tcMar>
              <w:top w:w="90" w:type="dxa"/>
              <w:start w:w="90" w:type="dxa"/>
              <w:bottom w:w="90" w:type="dxa"/>
              <w:end w:w="90" w:type="dxa"/>
            </w:tcMar>
          </w:tcPr>
          <w:p>
            <w:pPr>
              <w:spacing w:after="0"/>
            </w:pPr>
            <w:r>
              <w:rPr>
                <w:rFonts w:ascii="Aptos" w:hAnsi="Aptos" w:eastAsia="Aptos"/>
                <w:color w:val="404040"/>
                <w:sz w:val="17"/>
              </w:rPr>
              <w:t>Reconstruction à partir d’organismes actuels et de contraintes biochimiques.</w:t>
            </w:r>
          </w:p>
        </w:tc>
      </w:tr>
      <w:tr>
        <w:trPr>
          <w:cantSplit/>
        </w:trPr>
        <w:tc>
          <w:tcPr>
            <w:tcW w:type="dxa" w:w="3231"/>
            <w:tcMar>
              <w:top w:w="90" w:type="dxa"/>
              <w:start w:w="90" w:type="dxa"/>
              <w:bottom w:w="90" w:type="dxa"/>
              <w:end w:w="90" w:type="dxa"/>
            </w:tcMar>
            <w:shd w:fill="FAFAFA"/>
          </w:tcPr>
          <w:p>
            <w:pPr>
              <w:spacing w:after="0"/>
            </w:pPr>
            <w:r>
              <w:rPr>
                <w:rFonts w:ascii="Aptos" w:hAnsi="Aptos" w:eastAsia="Aptos"/>
                <w:color w:val="404040"/>
                <w:sz w:val="17"/>
              </w:rPr>
              <w:t>Rôle dans la construction de la cellule eucaryote</w:t>
            </w:r>
          </w:p>
        </w:tc>
        <w:tc>
          <w:tcPr>
            <w:tcW w:type="dxa" w:w="2154"/>
            <w:tcMar>
              <w:top w:w="90" w:type="dxa"/>
              <w:start w:w="90" w:type="dxa"/>
              <w:bottom w:w="90" w:type="dxa"/>
              <w:end w:w="90" w:type="dxa"/>
            </w:tcMar>
            <w:shd w:fill="FAFAFA"/>
          </w:tcPr>
          <w:p>
            <w:pPr>
              <w:spacing w:after="0"/>
            </w:pPr>
            <w:r>
              <w:rPr>
                <w:rFonts w:ascii="Aptos" w:hAnsi="Aptos" w:eastAsia="Aptos"/>
                <w:color w:val="404040"/>
                <w:sz w:val="17"/>
              </w:rPr>
              <w:t>Fortement soutenu</w:t>
            </w:r>
          </w:p>
        </w:tc>
        <w:tc>
          <w:tcPr>
            <w:tcW w:type="dxa" w:w="3912"/>
            <w:tcMar>
              <w:top w:w="90" w:type="dxa"/>
              <w:start w:w="90" w:type="dxa"/>
              <w:bottom w:w="90" w:type="dxa"/>
              <w:end w:w="90" w:type="dxa"/>
            </w:tcMar>
            <w:shd w:fill="FAFAFA"/>
          </w:tcPr>
          <w:p>
            <w:pPr>
              <w:spacing w:after="0"/>
            </w:pPr>
            <w:r>
              <w:rPr>
                <w:rFonts w:ascii="Aptos" w:hAnsi="Aptos" w:eastAsia="Aptos"/>
                <w:color w:val="404040"/>
                <w:sz w:val="17"/>
              </w:rPr>
              <w:t>Intégration génétique, métabolique et structurale.</w:t>
            </w:r>
          </w:p>
        </w:tc>
      </w:tr>
      <w:tr>
        <w:trPr>
          <w:cantSplit/>
        </w:trPr>
        <w:tc>
          <w:tcPr>
            <w:tcW w:type="dxa" w:w="3231"/>
            <w:tcMar>
              <w:top w:w="90" w:type="dxa"/>
              <w:start w:w="90" w:type="dxa"/>
              <w:bottom w:w="90" w:type="dxa"/>
              <w:end w:w="90" w:type="dxa"/>
            </w:tcMar>
          </w:tcPr>
          <w:p>
            <w:pPr>
              <w:spacing w:after="0"/>
            </w:pPr>
            <w:r>
              <w:rPr>
                <w:rFonts w:ascii="Aptos" w:hAnsi="Aptos" w:eastAsia="Aptos"/>
                <w:color w:val="404040"/>
                <w:sz w:val="17"/>
              </w:rPr>
              <w:t>Nécessité énergétique pour la multicellularité complexe</w:t>
            </w:r>
          </w:p>
        </w:tc>
        <w:tc>
          <w:tcPr>
            <w:tcW w:type="dxa" w:w="2154"/>
            <w:tcMar>
              <w:top w:w="90" w:type="dxa"/>
              <w:start w:w="90" w:type="dxa"/>
              <w:bottom w:w="90" w:type="dxa"/>
              <w:end w:w="90" w:type="dxa"/>
            </w:tcMar>
          </w:tcPr>
          <w:p>
            <w:pPr>
              <w:spacing w:after="0"/>
            </w:pPr>
            <w:r>
              <w:rPr>
                <w:rFonts w:ascii="Aptos" w:hAnsi="Aptos" w:eastAsia="Aptos"/>
                <w:color w:val="404040"/>
                <w:sz w:val="17"/>
              </w:rPr>
              <w:t>Débattu</w:t>
            </w:r>
          </w:p>
        </w:tc>
        <w:tc>
          <w:tcPr>
            <w:tcW w:type="dxa" w:w="3912"/>
            <w:tcMar>
              <w:top w:w="90" w:type="dxa"/>
              <w:start w:w="90" w:type="dxa"/>
              <w:bottom w:w="90" w:type="dxa"/>
              <w:end w:w="90" w:type="dxa"/>
            </w:tcMar>
          </w:tcPr>
          <w:p>
            <w:pPr>
              <w:spacing w:after="0"/>
            </w:pPr>
            <w:r>
              <w:rPr>
                <w:rFonts w:ascii="Aptos" w:hAnsi="Aptos" w:eastAsia="Aptos"/>
                <w:color w:val="404040"/>
                <w:sz w:val="17"/>
              </w:rPr>
              <w:t>Hypothèse bioénergétique et critiques quantitatives.</w:t>
            </w:r>
          </w:p>
        </w:tc>
      </w:tr>
      <w:tr>
        <w:trPr>
          <w:cantSplit/>
        </w:trPr>
        <w:tc>
          <w:tcPr>
            <w:tcW w:type="dxa" w:w="3231"/>
            <w:tcMar>
              <w:top w:w="90" w:type="dxa"/>
              <w:start w:w="90" w:type="dxa"/>
              <w:bottom w:w="90" w:type="dxa"/>
              <w:end w:w="90" w:type="dxa"/>
            </w:tcMar>
            <w:shd w:fill="FAFAFA"/>
          </w:tcPr>
          <w:p>
            <w:pPr>
              <w:spacing w:after="0"/>
            </w:pPr>
            <w:r>
              <w:rPr>
                <w:rFonts w:ascii="Aptos" w:hAnsi="Aptos" w:eastAsia="Aptos"/>
                <w:color w:val="404040"/>
                <w:sz w:val="17"/>
              </w:rPr>
              <w:t>Nécessité pour toute multicellularité</w:t>
            </w:r>
          </w:p>
        </w:tc>
        <w:tc>
          <w:tcPr>
            <w:tcW w:type="dxa" w:w="2154"/>
            <w:tcMar>
              <w:top w:w="90" w:type="dxa"/>
              <w:start w:w="90" w:type="dxa"/>
              <w:bottom w:w="90" w:type="dxa"/>
              <w:end w:w="90" w:type="dxa"/>
            </w:tcMar>
            <w:shd w:fill="FAFAFA"/>
          </w:tcPr>
          <w:p>
            <w:pPr>
              <w:spacing w:after="0"/>
            </w:pPr>
            <w:r>
              <w:rPr>
                <w:rFonts w:ascii="Aptos" w:hAnsi="Aptos" w:eastAsia="Aptos"/>
                <w:color w:val="404040"/>
                <w:sz w:val="17"/>
              </w:rPr>
              <w:t>Non soutenu</w:t>
            </w:r>
          </w:p>
        </w:tc>
        <w:tc>
          <w:tcPr>
            <w:tcW w:type="dxa" w:w="3912"/>
            <w:tcMar>
              <w:top w:w="90" w:type="dxa"/>
              <w:start w:w="90" w:type="dxa"/>
              <w:bottom w:w="90" w:type="dxa"/>
              <w:end w:w="90" w:type="dxa"/>
            </w:tcMar>
            <w:shd w:fill="FAFAFA"/>
          </w:tcPr>
          <w:p>
            <w:pPr>
              <w:spacing w:after="0"/>
            </w:pPr>
            <w:r>
              <w:rPr>
                <w:rFonts w:ascii="Aptos" w:hAnsi="Aptos" w:eastAsia="Aptos"/>
                <w:color w:val="404040"/>
                <w:sz w:val="17"/>
              </w:rPr>
              <w:t>Origines indépendantes chez des lignées sans mitochondries.</w:t>
            </w:r>
          </w:p>
        </w:tc>
      </w:tr>
      <w:tr>
        <w:trPr>
          <w:cantSplit/>
        </w:trPr>
        <w:tc>
          <w:tcPr>
            <w:tcW w:type="dxa" w:w="3229"/>
            <w:vAlign w:val="center"/>
          </w:tcPr>
          <w:p>
            <w:r>
              <w:t>Position exacte de l’ancêtre mitochondrial parmi les Alphaprotéobactéries</w:t>
            </w:r>
          </w:p>
        </w:tc>
        <w:tc>
          <w:tcPr>
            <w:tcW w:type="dxa" w:w="3229"/>
            <w:vAlign w:val="center"/>
          </w:tcPr>
          <w:p>
            <w:r>
              <w:t>Incertain</w:t>
            </w:r>
          </w:p>
        </w:tc>
        <w:tc>
          <w:tcPr>
            <w:tcW w:type="dxa" w:w="3229"/>
            <w:vAlign w:val="center"/>
          </w:tcPr>
          <w:p>
            <w:r>
              <w:t>Les topologies fines varient selon les marqueurs, les modèles et l’échantillonnage.</w:t>
            </w:r>
          </w:p>
        </w:tc>
      </w:tr>
      <w:tr>
        <w:trPr>
          <w:cantSplit/>
        </w:trPr>
        <w:tc>
          <w:tcPr>
            <w:tcW w:type="dxa" w:w="3229"/>
            <w:vAlign w:val="center"/>
          </w:tcPr>
          <w:p>
            <w:r>
              <w:t>Présence d’un organite mitochondrial chez le LECA</w:t>
            </w:r>
          </w:p>
        </w:tc>
        <w:tc>
          <w:tcPr>
            <w:tcW w:type="dxa" w:w="3229"/>
            <w:vAlign w:val="center"/>
          </w:tcPr>
          <w:p>
            <w:r>
              <w:t>Fortement soutenu</w:t>
            </w:r>
          </w:p>
        </w:tc>
        <w:tc>
          <w:tcPr>
            <w:tcW w:type="dxa" w:w="3229"/>
            <w:vAlign w:val="center"/>
          </w:tcPr>
          <w:p>
            <w:r>
              <w:t>Distribution des mitochondries et de leurs organites dérivés dans les lignées eucaryotes.</w:t>
            </w:r>
          </w:p>
        </w:tc>
      </w:tr>
      <w:tr>
        <w:trPr>
          <w:cantSplit/>
        </w:trPr>
        <w:tc>
          <w:tcPr>
            <w:tcW w:type="dxa" w:w="3229"/>
            <w:vAlign w:val="center"/>
          </w:tcPr>
          <w:p>
            <w:pPr>
              <w:spacing w:after="0"/>
            </w:pPr>
            <w:r>
              <w:t>Début probable de l’intégration vers 2,2 Ga</w:t>
            </w:r>
          </w:p>
        </w:tc>
        <w:tc>
          <w:tcPr>
            <w:tcW w:type="dxa" w:w="3229"/>
            <w:vAlign w:val="center"/>
          </w:tcPr>
          <w:p>
            <w:pPr>
              <w:spacing w:after="0"/>
            </w:pPr>
            <w:r>
              <w:t>Fortement inféré</w:t>
            </w:r>
          </w:p>
        </w:tc>
        <w:tc>
          <w:tcPr>
            <w:tcW w:type="dxa" w:w="3229"/>
            <w:vAlign w:val="center"/>
          </w:tcPr>
          <w:p>
            <w:pPr>
              <w:spacing w:after="0"/>
            </w:pPr>
            <w:r>
              <w:t>Horloges moléculaires et duplications géniques, sans observation directe.</w:t>
            </w:r>
          </w:p>
        </w:tc>
      </w:tr>
    </w:tbl>
    <w:p>
      <w:pPr>
        <w:spacing w:after="0"/>
      </w:pPr>
    </w:p>
    <w:p>
      <w:pPr>
        <w:pStyle w:val="Heading2"/>
      </w:pPr>
      <w:r>
        <w:t>4.7. Modes de preuve</w:t>
      </w:r>
    </w:p>
    <w:p>
      <w:r>
        <w:rPr>
          <w:rFonts w:ascii="Aptos" w:hAnsi="Aptos" w:eastAsia="Aptos"/>
        </w:rPr>
        <w:t>L’événement originel n’a pas été directement observé. Sa reconstruction repose sur la convergence des phylogénies, de la génomique comparée, des génomes mitochondriaux résiduels, des transferts de gènes vers le noyau, des homologies biochimiques et de la comparaison entre mitochondries, hydrogénosomes et mitosomes. Les mitochondries actuelles conservent des traces de l’événement, mais elles ne constituent pas une observation directe de son déroulement.</w:t>
      </w:r>
    </w:p>
    <w:p>
      <w:pPr>
        <w:pStyle w:val="Heading2"/>
      </w:pPr>
      <w:r>
        <w:t>4.8. Axes de recherche récents</w:t>
      </w:r>
    </w:p>
    <w:p>
      <w:pPr/>
      <w:r>
        <w:t>Les génomes d’archées Asgard précisent progressivement l’écologie et les capacités fonctionnelles des lignées apparentées à l’hôte eucaryote. Des analyses métagénomiques récentes identifient chez plusieurs Heimdallarchaeia des composants de respiration utilisant l’oxygène, de biosynthèse de l’hème et de détoxification des espèces réactives de l’oxygène. Elles rendent plausible une tolérance ou une utilisation de l’oxygène dans certaines lignées, sans démontrer directement le métabolisme de l’ancêtre ni le scénario de l’association initiale [15].</w:t>
      </w:r>
    </w:p>
    <w:p>
      <w:pPr/>
      <w:r>
        <w:t>La reconstruction d’une protéine ancestrale EF-1A suggère également un ancêtre Asgard modérément thermophile, avec une température optimale estimée autour de 53 °C. Cette valeur constitue un proxy expérimental fondé sur une protéine reconstruite, pas une mesure de l’organisme ancestral [17]. D’autres travaux montrent que des systèmes Asgard apparentés aux viperines et aux Argonautes ont pu contribuer à l’histoire profonde des défenses antivirales eucaryotes [16]. Ces résultats éclairent l’héritage fonctionnel de l’hôte, mais ils ne démontrent ni une origine virale du noyau ni l’intervention d’une lignée virale comme composante établie de l’eucaryogenèse.</w:t>
      </w:r>
    </w:p>
    <w:p>
      <w:pPr>
        <w:pStyle w:val="QuoteORI"/>
        <w:pBdr>
          <w:left w:val="single" w:sz="18" w:space="8" w:color="2F6F73"/>
        </w:pBdr>
      </w:pPr>
      <w:r>
        <w:rPr>
          <w:rFonts w:ascii="Aptos" w:hAnsi="Aptos" w:eastAsia="Aptos"/>
          <w:i/>
          <w:color w:val="17365D"/>
          <w:sz w:val="23"/>
        </w:rPr>
        <w:t>Un lien ORI-C n’est scientifiquement utile que s’il précise la nature de la relation, son contexte, son échelle et le type de preuve qui le soutient.</w:t>
      </w:r>
    </w:p>
    <w:p>
      <w:r>
        <w:br w:type="page"/>
      </w:r>
    </w:p>
    <w:p>
      <w:pPr>
        <w:pStyle w:val="Heading1"/>
      </w:pPr>
      <w:r>
        <w:t>5. Acte 3 : tester une dynamique d’ouverture et de contraction</w:t>
      </w:r>
    </w:p>
    <w:p>
      <w:r>
        <w:t>Le troisième acte déplace l’analyse vers un phénomène contemporain et expérimental : l’évolution de populations bactériennes exposées à un antibiotique. Ce cas permet de suivre des changements de fréquence génétique, des transferts horizontaux, des compromis fonctionnels et des modifications du domaine de viabilité. Les expériences d’évolution en laboratoire montrent que des résistances cliniquement pertinentes peuvent apparaître rapidement par plusieurs voies, notamment des modifications de cible, de perméabilité, d’efflux, d’inactivation ou de régulation [10,18]. Il s’agit ici d’un protocole proposé, pas d’une expérience ORI-C déjà exécutée.</w:t>
      </w:r>
    </w:p>
    <w:p>
      <w:pPr>
        <w:pStyle w:val="Heading2"/>
      </w:pPr>
      <w:r>
        <w:t>5.1. Chaîne hypothétique</w:t>
      </w:r>
    </w:p>
    <w:tbl>
      <w:tblPr>
        <w:tblW w:type="auto" w:w="0"/>
        <w:jc w:val="center"/>
        <w:tblLayout w:type="fixed"/>
        <w:tblLook w:firstColumn="1" w:firstRow="1" w:lastColumn="0" w:lastRow="0" w:noHBand="0" w:noVBand="1" w:val="04A0"/>
      </w:tblPr>
      <w:tblGrid>
        <w:gridCol w:w="1384"/>
        <w:gridCol w:w="1384"/>
        <w:gridCol w:w="1384"/>
        <w:gridCol w:w="1384"/>
        <w:gridCol w:w="1384"/>
        <w:gridCol w:w="1384"/>
        <w:gridCol w:w="1384"/>
      </w:tblGrid>
      <w:tr>
        <w:tc>
          <w:tcPr>
            <w:tcW w:type="dxa" w:w="1134"/>
            <w:shd w:fill="17365D"/>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FFFFFF"/>
                <w:sz w:val="19"/>
              </w:rPr>
              <w:t>ENVR</w:t>
            </w:r>
          </w:p>
        </w:tc>
        <w:tc>
          <w:tcPr>
            <w:tcW w:type="dxa" w:w="369"/>
            <w:shd w:fill="FFFFFF"/>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404040"/>
                <w:sz w:val="32"/>
              </w:rPr>
              <w:t>→</w:t>
            </w:r>
          </w:p>
        </w:tc>
        <w:tc>
          <w:tcPr>
            <w:tcW w:type="dxa" w:w="1134"/>
            <w:shd w:fill="2F5597"/>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FFFFFF"/>
                <w:sz w:val="19"/>
              </w:rPr>
              <w:t>CNST</w:t>
            </w:r>
          </w:p>
        </w:tc>
        <w:tc>
          <w:tcPr>
            <w:tcW w:type="dxa" w:w="369"/>
            <w:shd w:fill="FFFFFF"/>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404040"/>
                <w:sz w:val="32"/>
              </w:rPr>
              <w:t>→</w:t>
            </w:r>
          </w:p>
        </w:tc>
        <w:tc>
          <w:tcPr>
            <w:tcW w:type="dxa" w:w="2891"/>
            <w:shd w:fill="2F6F73"/>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FFFFFF"/>
                <w:sz w:val="19"/>
              </w:rPr>
              <w:t>Sélection</w:t>
            </w:r>
          </w:p>
        </w:tc>
        <w:tc>
          <w:tcPr>
            <w:tcW w:type="dxa" w:w="369"/>
            <w:shd w:fill="FFFFFF"/>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404040"/>
                <w:sz w:val="32"/>
              </w:rPr>
              <w:t>→</w:t>
            </w:r>
          </w:p>
        </w:tc>
        <w:tc>
          <w:tcPr>
            <w:tcW w:type="dxa" w:w="1134"/>
            <w:shd w:fill="548235"/>
            <w:tcMar>
              <w:top w:w="130" w:type="dxa"/>
              <w:start w:w="65" w:type="dxa"/>
              <w:bottom w:w="130" w:type="dxa"/>
              <w:end w:w="65" w:type="dxa"/>
            </w:tcMar>
            <w:vAlign w:val="center"/>
            <w:tcBorders>
              <w:top w:val="single" w:sz="4" w:color="FFFFFF"/>
              <w:left w:val="single" w:sz="4" w:color="FFFFFF"/>
              <w:bottom w:val="single" w:sz="4" w:color="FFFFFF"/>
              <w:right w:val="single" w:sz="4" w:color="FFFFFF"/>
            </w:tcBorders>
          </w:tcPr>
          <w:p>
            <w:pPr>
              <w:jc w:val="center"/>
            </w:pPr>
            <w:r>
              <w:rPr>
                <w:rFonts w:ascii="Aptos" w:hAnsi="Aptos" w:eastAsia="Aptos"/>
                <w:b/>
                <w:color w:val="FFFFFF"/>
                <w:sz w:val="19"/>
              </w:rPr>
              <w:t>STAB</w:t>
            </w:r>
          </w:p>
        </w:tc>
      </w:tr>
    </w:tbl>
    <w:p>
      <w:pPr>
        <w:pStyle w:val="Small"/>
        <w:jc w:val="center"/>
      </w:pPr>
      <w:r>
        <w:rPr>
          <w:rFonts w:ascii="Aptos" w:hAnsi="Aptos" w:eastAsia="Aptos"/>
        </w:rPr>
        <w:t>Figure 3. Chaîne ORI-C à transformer en hypothèse quantitative.</w:t>
      </w:r>
    </w:p>
    <w:p>
      <w:r>
        <w:rPr>
          <w:rFonts w:ascii="Aptos" w:hAnsi="Aptos" w:eastAsia="Aptos"/>
        </w:rPr>
        <w:t>Une branche supplémentaire peut être ajoutée lorsque la résistance est acquise par transfert horizontal : « acquisition d’un plasmide → ENBL ». La chaîne doit rester une hypothèse, car les trajectoires peuvent aussi inclure une tolérance accrue, une persistance phénotypique, une perte du plasmide, une évolution compensatoire ou l’extinction de la population.</w:t>
      </w:r>
    </w:p>
    <w:p>
      <w:pPr>
        <w:pStyle w:val="Heading2"/>
      </w:pPr>
      <w:r>
        <w:t>5.2. ENVR : transformation du régime de sélection</w:t>
      </w:r>
    </w:p>
    <w:p>
      <w:r>
        <w:rPr>
          <w:rFonts w:ascii="Aptos" w:hAnsi="Aptos" w:eastAsia="Aptos"/>
        </w:rPr>
        <w:t>L’antibiotique modifie l’environnement en changeant les probabilités de croissance, de reproduction et de mortalité des différents phénotypes. L’effet dépend de la molécule, de la concentration, de la durée d’exposition, du régime de transfert, de la densité de population et du milieu nutritif.</w:t>
      </w:r>
    </w:p>
    <w:p>
      <w:pPr>
        <w:pStyle w:val="Heading2"/>
      </w:pPr>
      <w:r>
        <w:t>5.3. CNST : contraction des états viables</w:t>
      </w:r>
    </w:p>
    <w:p>
      <w:r>
        <w:rPr>
          <w:rFonts w:ascii="Aptos" w:hAnsi="Aptos" w:eastAsia="Aptos"/>
        </w:rPr>
        <w:t>Sous une concentration donnée, certaines fonctions cellulaires deviennent incompatibles avec la croissance ou la survie. La phrase « seules les bactéries possédant un gène de résistance survivent » est incorrecte. La résistance peut provenir de gènes acquis, de mutations, de changements de régulation, d’une diminution de perméabilité ou d’un efflux accru. Des bactéries génétiquement sensibles peuvent aussi survivre temporairement par tolérance ou persistance [9].</w:t>
      </w:r>
    </w:p>
    <w:p>
      <w:pPr>
        <w:pStyle w:val="Heading2"/>
      </w:pPr>
      <w:r>
        <w:t>5.4. Résistance, tolérance et persistance</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1531"/>
            <w:shd w:fill="17365D"/>
            <w:tcMar>
              <w:top w:w="100" w:type="dxa"/>
              <w:start w:w="90" w:type="dxa"/>
              <w:bottom w:w="100" w:type="dxa"/>
              <w:end w:w="90" w:type="dxa"/>
            </w:tcMar>
          </w:tcPr>
          <w:p>
            <w:pPr>
              <w:jc w:val="left"/>
            </w:pPr>
            <w:r>
              <w:rPr>
                <w:rFonts w:ascii="Aptos" w:hAnsi="Aptos" w:eastAsia="Aptos"/>
                <w:b/>
                <w:color w:val="FFFFFF"/>
                <w:sz w:val="18"/>
              </w:rPr>
              <w:t>Phénomène</w:t>
            </w:r>
          </w:p>
        </w:tc>
        <w:tc>
          <w:tcPr>
            <w:tcW w:type="dxa" w:w="4762"/>
            <w:shd w:fill="17365D"/>
            <w:tcMar>
              <w:top w:w="100" w:type="dxa"/>
              <w:start w:w="90" w:type="dxa"/>
              <w:bottom w:w="100" w:type="dxa"/>
              <w:end w:w="90" w:type="dxa"/>
            </w:tcMar>
          </w:tcPr>
          <w:p>
            <w:pPr>
              <w:jc w:val="left"/>
            </w:pPr>
            <w:r>
              <w:rPr>
                <w:rFonts w:ascii="Aptos" w:hAnsi="Aptos" w:eastAsia="Aptos"/>
                <w:b/>
                <w:color w:val="FFFFFF"/>
                <w:sz w:val="18"/>
              </w:rPr>
              <w:t>Définition opérationnelle</w:t>
            </w:r>
          </w:p>
        </w:tc>
        <w:tc>
          <w:tcPr>
            <w:tcW w:type="dxa" w:w="3005"/>
            <w:shd w:fill="17365D"/>
            <w:tcMar>
              <w:top w:w="100" w:type="dxa"/>
              <w:start w:w="90" w:type="dxa"/>
              <w:bottom w:w="100" w:type="dxa"/>
              <w:end w:w="90" w:type="dxa"/>
            </w:tcMar>
          </w:tcPr>
          <w:p>
            <w:pPr>
              <w:jc w:val="left"/>
            </w:pPr>
            <w:r>
              <w:rPr>
                <w:rFonts w:ascii="Aptos" w:hAnsi="Aptos" w:eastAsia="Aptos"/>
                <w:b/>
                <w:color w:val="FFFFFF"/>
                <w:sz w:val="18"/>
              </w:rPr>
              <w:t>Mesure principale</w:t>
            </w:r>
          </w:p>
        </w:tc>
      </w:tr>
      <w:tr>
        <w:trPr>
          <w:cantSplit/>
        </w:trPr>
        <w:tc>
          <w:tcPr>
            <w:tcW w:type="dxa" w:w="1531"/>
            <w:tcMar>
              <w:top w:w="90" w:type="dxa"/>
              <w:start w:w="90" w:type="dxa"/>
              <w:bottom w:w="90" w:type="dxa"/>
              <w:end w:w="90" w:type="dxa"/>
            </w:tcMar>
          </w:tcPr>
          <w:p>
            <w:pPr>
              <w:spacing w:after="0"/>
            </w:pPr>
            <w:r>
              <w:rPr>
                <w:rFonts w:ascii="Aptos" w:hAnsi="Aptos" w:eastAsia="Aptos"/>
                <w:color w:val="404040"/>
                <w:sz w:val="18"/>
              </w:rPr>
              <w:t>Résistance</w:t>
            </w:r>
          </w:p>
        </w:tc>
        <w:tc>
          <w:tcPr>
            <w:tcW w:type="dxa" w:w="4762"/>
            <w:tcMar>
              <w:top w:w="90" w:type="dxa"/>
              <w:start w:w="90" w:type="dxa"/>
              <w:bottom w:w="90" w:type="dxa"/>
              <w:end w:w="90" w:type="dxa"/>
            </w:tcMar>
          </w:tcPr>
          <w:p>
            <w:pPr>
              <w:spacing w:after="0"/>
            </w:pPr>
            <w:r>
              <w:rPr>
                <w:rFonts w:ascii="Aptos" w:hAnsi="Aptos" w:eastAsia="Aptos"/>
                <w:color w:val="404040"/>
                <w:sz w:val="18"/>
              </w:rPr>
              <w:t>Capacité héréditaire de croître à une concentration plus élevée d’antibiotique.</w:t>
            </w:r>
          </w:p>
        </w:tc>
        <w:tc>
          <w:tcPr>
            <w:tcW w:type="dxa" w:w="3005"/>
            <w:tcMar>
              <w:top w:w="90" w:type="dxa"/>
              <w:start w:w="90" w:type="dxa"/>
              <w:bottom w:w="90" w:type="dxa"/>
              <w:end w:w="90" w:type="dxa"/>
            </w:tcMar>
          </w:tcPr>
          <w:p>
            <w:pPr>
              <w:spacing w:after="0"/>
            </w:pPr>
            <w:r>
              <w:rPr>
                <w:rFonts w:ascii="Aptos" w:hAnsi="Aptos" w:eastAsia="Aptos"/>
                <w:color w:val="404040"/>
                <w:sz w:val="18"/>
              </w:rPr>
              <w:t>Augmentation de la concentration minimale inhibitrice, MIC.</w:t>
            </w:r>
          </w:p>
        </w:tc>
      </w:tr>
      <w:tr>
        <w:trPr>
          <w:cantSplit/>
        </w:trPr>
        <w:tc>
          <w:tcPr>
            <w:tcW w:type="dxa" w:w="1531"/>
            <w:tcMar>
              <w:top w:w="90" w:type="dxa"/>
              <w:start w:w="90" w:type="dxa"/>
              <w:bottom w:w="90" w:type="dxa"/>
              <w:end w:w="90" w:type="dxa"/>
            </w:tcMar>
            <w:shd w:fill="FAFAFA"/>
          </w:tcPr>
          <w:p>
            <w:pPr>
              <w:spacing w:after="0"/>
            </w:pPr>
            <w:r>
              <w:rPr>
                <w:rFonts w:ascii="Aptos" w:hAnsi="Aptos" w:eastAsia="Aptos"/>
                <w:color w:val="404040"/>
                <w:sz w:val="18"/>
              </w:rPr>
              <w:t>Tolérance</w:t>
            </w:r>
          </w:p>
        </w:tc>
        <w:tc>
          <w:tcPr>
            <w:tcW w:type="dxa" w:w="4762"/>
            <w:tcMar>
              <w:top w:w="90" w:type="dxa"/>
              <w:start w:w="90" w:type="dxa"/>
              <w:bottom w:w="90" w:type="dxa"/>
              <w:end w:w="90" w:type="dxa"/>
            </w:tcMar>
            <w:shd w:fill="FAFAFA"/>
          </w:tcPr>
          <w:p>
            <w:pPr>
              <w:spacing w:after="0"/>
            </w:pPr>
            <w:r>
              <w:rPr>
                <w:rFonts w:ascii="Aptos" w:hAnsi="Aptos" w:eastAsia="Aptos"/>
                <w:color w:val="404040"/>
                <w:sz w:val="18"/>
              </w:rPr>
              <w:t>Survie prolongée d’une population sans augmentation de la MIC.</w:t>
            </w:r>
          </w:p>
        </w:tc>
        <w:tc>
          <w:tcPr>
            <w:tcW w:type="dxa" w:w="3005"/>
            <w:tcMar>
              <w:top w:w="90" w:type="dxa"/>
              <w:start w:w="90" w:type="dxa"/>
              <w:bottom w:w="90" w:type="dxa"/>
              <w:end w:w="90" w:type="dxa"/>
            </w:tcMar>
            <w:shd w:fill="FAFAFA"/>
          </w:tcPr>
          <w:p>
            <w:pPr>
              <w:spacing w:after="0"/>
            </w:pPr>
            <w:r>
              <w:rPr>
                <w:rFonts w:ascii="Aptos" w:hAnsi="Aptos" w:eastAsia="Aptos"/>
                <w:color w:val="404040"/>
                <w:sz w:val="18"/>
              </w:rPr>
              <w:t>Durée minimale nécessaire pour tuer une fraction définie, par exemple MDK99.</w:t>
            </w:r>
          </w:p>
        </w:tc>
      </w:tr>
      <w:tr>
        <w:trPr>
          <w:cantSplit/>
        </w:trPr>
        <w:tc>
          <w:tcPr>
            <w:tcW w:type="dxa" w:w="1531"/>
            <w:tcMar>
              <w:top w:w="90" w:type="dxa"/>
              <w:start w:w="90" w:type="dxa"/>
              <w:bottom w:w="90" w:type="dxa"/>
              <w:end w:w="90" w:type="dxa"/>
            </w:tcMar>
          </w:tcPr>
          <w:p>
            <w:pPr>
              <w:spacing w:after="0"/>
            </w:pPr>
            <w:r>
              <w:rPr>
                <w:rFonts w:ascii="Aptos" w:hAnsi="Aptos" w:eastAsia="Aptos"/>
                <w:color w:val="404040"/>
                <w:sz w:val="18"/>
              </w:rPr>
              <w:t>Persistance</w:t>
            </w:r>
          </w:p>
        </w:tc>
        <w:tc>
          <w:tcPr>
            <w:tcW w:type="dxa" w:w="4762"/>
            <w:tcMar>
              <w:top w:w="90" w:type="dxa"/>
              <w:start w:w="90" w:type="dxa"/>
              <w:bottom w:w="90" w:type="dxa"/>
              <w:end w:w="90" w:type="dxa"/>
            </w:tcMar>
          </w:tcPr>
          <w:p>
            <w:pPr>
              <w:spacing w:after="0"/>
            </w:pPr>
            <w:r>
              <w:rPr>
                <w:rFonts w:ascii="Aptos" w:hAnsi="Aptos" w:eastAsia="Aptos"/>
                <w:color w:val="404040"/>
                <w:sz w:val="18"/>
              </w:rPr>
              <w:t>Survie d’une sous-population lors d’une exposition à un antibiotique bactéricide.</w:t>
            </w:r>
          </w:p>
        </w:tc>
        <w:tc>
          <w:tcPr>
            <w:tcW w:type="dxa" w:w="3005"/>
            <w:tcMar>
              <w:top w:w="90" w:type="dxa"/>
              <w:start w:w="90" w:type="dxa"/>
              <w:bottom w:w="90" w:type="dxa"/>
              <w:end w:w="90" w:type="dxa"/>
            </w:tcMar>
          </w:tcPr>
          <w:p>
            <w:pPr>
              <w:spacing w:after="0"/>
            </w:pPr>
            <w:r>
              <w:rPr>
                <w:rFonts w:ascii="Aptos" w:hAnsi="Aptos" w:eastAsia="Aptos"/>
                <w:color w:val="404040"/>
                <w:sz w:val="18"/>
              </w:rPr>
              <w:t>Courbe de mortalité biphasique et MDK99,99 élevé.</w:t>
            </w:r>
          </w:p>
        </w:tc>
      </w:tr>
    </w:tbl>
    <w:p>
      <w:pPr>
        <w:spacing w:after="0"/>
      </w:pPr>
    </w:p>
    <w:p>
      <w:r>
        <w:t>Ces distinctions sont nécessaires pour éviter qu’une augmentation de survie soit automatiquement interprétée comme une résistance génétique. Les recommandations de Balaban et ses collaborateurs fournissent un cadre de mesure standardisé [9]. Des mutations peuvent augmenter la fréquence ou la durée des états persistants, mais ce phénotype reste défini par une dynamique de survie sans hausse nécessaire de la MIC. La persistance peut offrir un réservoir de cellules survivantes favorisant ensuite l’évolution d’une résistance, sans constituer elle-même une résistance [19].</w:t>
      </w:r>
    </w:p>
    <w:p>
      <w:pPr>
        <w:pStyle w:val="Heading2"/>
      </w:pPr>
      <w:r>
        <w:t>5.5. STAB : augmentation et maintien d’une variante</w:t>
      </w:r>
    </w:p>
    <w:p>
      <w:r>
        <w:rPr>
          <w:rFonts w:ascii="Aptos" w:hAnsi="Aptos" w:eastAsia="Aptos"/>
        </w:rPr>
        <w:t>Un déterminant de résistance peut augmenter en fréquence lorsqu’il procure un avantage net sous antibiotique. Son maintien dépend du coût de résistance, de la pression de sélection, des transferts horizontaux, du fond génétique et des mutations compensatoires. Une mutation n’est donc pas stabilisée par sa seule apparition. Des expériences montrent que le fond génétique peut ouvrir ou bloquer certaines trajectoires de résistance, tandis que des mutations compensatoires peuvent réduire un coût sans supprimer la résistance [10–12].</w:t>
      </w:r>
    </w:p>
    <w:p>
      <w:pPr>
        <w:pStyle w:val="Heading2"/>
      </w:pPr>
      <w:r>
        <w:t>5.6. ENBL : accès à de nouveaux états viables</w:t>
      </w:r>
    </w:p>
    <w:p>
      <w:r>
        <w:rPr>
          <w:rFonts w:ascii="Aptos" w:hAnsi="Aptos" w:eastAsia="Aptos"/>
        </w:rPr>
        <w:t>L’acquisition d’un plasmide peut rendre accessible un phénotype de résistance et permettre sa transmission horizontale. Un même plasmide peut porter plusieurs déterminants, de sorte qu’une pression donnée sélectionne indirectement d’autres résistances liées. Cette co-sélection n’implique pas nécessairement l’apparition de nouvelles résistances. Elle peut maintenir ou amplifier des déterminants déjà présents. Le coût d’un plasmide varie selon les gènes portés et leurs interactions avec la cellule hôte [11].</w:t>
      </w:r>
    </w:p>
    <w:p>
      <w:pPr>
        <w:pStyle w:val="Heading2"/>
      </w:pPr>
      <w:r>
        <w:t>5.7. Contraction conditionnelle du domaine de viabilité</w:t>
      </w:r>
    </w:p>
    <w:p>
      <w:r>
        <w:t>Sous antibiotique, l’espace des états permettant la croissance des bactéries sensibles se contracte. Hors antibiotique, certains mécanismes de résistance réduisent la vitesse de croissance ou perturbent d’autres fonctions. Ce coût n’est ni universel ni irréversible. Il varie selon le mécanisme, la souche et l’environnement, et peut être réduit par évolution compensatoire [11–12]. Il est donc plus rigoureux de parler de contraction conditionnelle du domaine de viabilité que de fermeture générale des voies métaboliques.</w:t>
      </w:r>
    </w:p>
    <w:p>
      <w:pPr/>
      <w:r>
        <w:t>La sensibilité collatérale fournit un exemple particulièrement net d’ouverture et de contraction simultanées. Une adaptation qui rend une lignée viable face à un premier antibiotique peut accroître sa sensibilité à un second. Cette relation dépend toutefois du mécanisme de résistance, du fond génétique et du régime de sélection. Une même paire de molécules peut donc produire une sensibilité collatérale dans certaines lignées, une résistance croisée dans d’autres ou aucun effet détectable. Elle doit être mesurée plutôt que supposée [14].</w:t>
      </w:r>
    </w:p>
    <w:p>
      <w:r>
        <w:br w:type="page"/>
      </w:r>
    </w:p>
    <w:p>
      <w:pPr>
        <w:pStyle w:val="Heading2"/>
      </w:pPr>
      <w:r>
        <w:t>5.8. Protocole expérimental proposé</w:t>
      </w:r>
    </w:p>
    <w:p>
      <w:pPr>
        <w:spacing w:after="60"/>
        <w:ind w:left="369" w:hanging="369"/>
      </w:pPr>
      <w:r>
        <w:rPr>
          <w:rFonts w:ascii="Aptos" w:hAnsi="Aptos" w:eastAsia="Aptos"/>
          <w:b/>
          <w:color w:val="17365D"/>
        </w:rPr>
        <w:t xml:space="preserve">1. </w:t>
      </w:r>
      <w:r>
        <w:rPr>
          <w:rFonts w:ascii="Aptos" w:hAnsi="Aptos" w:eastAsia="Aptos"/>
        </w:rPr>
        <w:t>Constituer plusieurs populations indépendantes à partir du même ancêtre et conserver des populations témoins sans antibiotique.</w:t>
      </w:r>
    </w:p>
    <w:p>
      <w:pPr>
        <w:spacing w:after="60"/>
        <w:ind w:left="369" w:hanging="369"/>
      </w:pPr>
      <w:r>
        <w:rPr>
          <w:rFonts w:ascii="Aptos" w:hAnsi="Aptos" w:eastAsia="Aptos"/>
          <w:b/>
          <w:color w:val="17365D"/>
        </w:rPr>
        <w:t xml:space="preserve">2. </w:t>
      </w:r>
      <w:r>
        <w:rPr>
          <w:rFonts w:ascii="Aptos" w:hAnsi="Aptos" w:eastAsia="Aptos"/>
        </w:rPr>
        <w:t>Choisir une souche, un antibiotique, un milieu, un régime de transfert et une durée définis avant l’expérience.</w:t>
      </w:r>
    </w:p>
    <w:p>
      <w:pPr>
        <w:spacing w:after="60"/>
        <w:ind w:left="369" w:hanging="369"/>
      </w:pPr>
      <w:r>
        <w:rPr>
          <w:rFonts w:ascii="Aptos" w:hAnsi="Aptos" w:eastAsia="Aptos"/>
          <w:b/>
          <w:color w:val="17365D"/>
        </w:rPr>
        <w:t xml:space="preserve">3. </w:t>
      </w:r>
      <w:r>
        <w:rPr>
          <w:rFonts w:ascii="Aptos" w:hAnsi="Aptos" w:eastAsia="Aptos"/>
        </w:rPr>
        <w:t>Ajuster les concentrations relativement à la MIC initiale afin de comparer des pressions de sélection équivalentes.</w:t>
      </w:r>
    </w:p>
    <w:p>
      <w:pPr>
        <w:spacing w:after="60"/>
        <w:ind w:left="369" w:hanging="369"/>
      </w:pPr>
      <w:r>
        <w:rPr>
          <w:rFonts w:ascii="Aptos" w:hAnsi="Aptos" w:eastAsia="Aptos"/>
          <w:b/>
          <w:color w:val="17365D"/>
        </w:rPr>
        <w:t xml:space="preserve">4. </w:t>
      </w:r>
      <w:r>
        <w:rPr>
          <w:rFonts w:ascii="Aptos" w:hAnsi="Aptos" w:eastAsia="Aptos"/>
        </w:rPr>
        <w:t>Mesurer séparément la résistance par la MIC, la tolérance par un indicateur de durée de mortalité et la persistance par la forme de la courbe de survie.</w:t>
      </w:r>
    </w:p>
    <w:p>
      <w:pPr>
        <w:spacing w:after="60"/>
        <w:ind w:left="369" w:hanging="369"/>
      </w:pPr>
      <w:r>
        <w:rPr>
          <w:rFonts w:ascii="Aptos" w:hAnsi="Aptos" w:eastAsia="Aptos"/>
          <w:b/>
          <w:color w:val="17365D"/>
        </w:rPr>
        <w:t xml:space="preserve">5. </w:t>
      </w:r>
      <w:r>
        <w:rPr>
          <w:rFonts w:ascii="Aptos" w:hAnsi="Aptos" w:eastAsia="Aptos"/>
        </w:rPr>
        <w:t>Échantillonner les populations à plusieurs moments et quantifier l’abondance, la croissance, la fréquence des variants résistants et les coûts de fitness avec et sans antibiotique.</w:t>
      </w:r>
    </w:p>
    <w:p>
      <w:pPr>
        <w:spacing w:after="60"/>
        <w:ind w:left="369" w:hanging="369"/>
      </w:pPr>
      <w:r>
        <w:rPr>
          <w:rFonts w:ascii="Aptos" w:hAnsi="Aptos" w:eastAsia="Aptos"/>
          <w:b/>
          <w:color w:val="17365D"/>
        </w:rPr>
        <w:t xml:space="preserve">6. </w:t>
      </w:r>
      <w:r>
        <w:rPr>
          <w:rFonts w:ascii="Aptos" w:hAnsi="Aptos" w:eastAsia="Aptos"/>
        </w:rPr>
        <w:t>Utiliser le séquençage, le suivi de lignées ou des codes-barres génétiques pour distinguer la sélection d’une variation préexistante, l’apparition de mutations et le transfert horizontal.</w:t>
      </w:r>
    </w:p>
    <w:p>
      <w:pPr>
        <w:spacing w:after="60"/>
        <w:ind w:left="369" w:hanging="369"/>
      </w:pPr>
      <w:r>
        <w:rPr>
          <w:rFonts w:ascii="Aptos" w:hAnsi="Aptos" w:eastAsia="Aptos"/>
          <w:b/>
          <w:color w:val="17365D"/>
        </w:rPr>
        <w:t xml:space="preserve">7. </w:t>
      </w:r>
      <w:r>
        <w:rPr>
          <w:rFonts w:ascii="Aptos" w:hAnsi="Aptos" w:eastAsia="Aptos"/>
        </w:rPr>
        <w:t>Tester la reproductibilité sur des populations indépendantes et réserver certaines conditions à la validation hors échantillon.</w:t>
      </w:r>
    </w:p>
    <w:p>
      <w:pPr>
        <w:spacing w:after="60"/>
        <w:ind w:left="369" w:hanging="369"/>
      </w:pPr>
      <w:r>
        <w:rPr>
          <w:rFonts w:ascii="Aptos" w:hAnsi="Aptos" w:eastAsia="Aptos"/>
          <w:b/>
          <w:color w:val="17365D"/>
        </w:rPr>
        <w:t xml:space="preserve">8. </w:t>
      </w:r>
      <w:r>
        <w:rPr>
          <w:rFonts w:ascii="Aptos" w:hAnsi="Aptos" w:eastAsia="Aptos"/>
        </w:rPr>
        <w:t>Comparer les prédictions ORI-C à celles d’un modèle évolutif de référence utilisant les mêmes données d’entrée.</w:t>
      </w:r>
    </w:p>
    <w:p>
      <w:pPr/>
      <w:r>
        <w:t>9. Mesurer la sensibilité des lignées évoluées à un panel restreint d’antibiotiques secondaires afin de distinguer résistance croisée, neutralité et sensibilité collatérale, puis relier chaque réponse au mécanisme génétique observé.</w:t>
      </w:r>
    </w:p>
    <w:tbl>
      <w:tblPr>
        <w:tblW w:type="auto" w:w="0"/>
        <w:jc w:val="center"/>
        <w:tblLook w:firstColumn="1" w:firstRow="1" w:lastColumn="0" w:lastRow="0" w:noHBand="0" w:noVBand="1" w:val="04A0"/>
      </w:tblPr>
      <w:tblGrid>
        <w:gridCol w:w="9688"/>
      </w:tblGrid>
      <w:tr>
        <w:tc>
          <w:tcPr>
            <w:tcW w:type="dxa" w:w="9688"/>
            <w:shd w:fill="F4CCCC"/>
            <w:tcMar>
              <w:top w:w="140" w:type="dxa"/>
              <w:start w:w="170" w:type="dxa"/>
              <w:bottom w:w="140" w:type="dxa"/>
              <w:end w:w="170" w:type="dxa"/>
            </w:tcMar>
            <w:tcBorders>
              <w:top w:val="single" w:sz="8" w:color="A61C00"/>
              <w:left w:val="single" w:sz="8" w:color="A61C00"/>
              <w:bottom w:val="single" w:sz="8" w:color="A61C00"/>
              <w:right w:val="single" w:sz="8" w:color="A61C00"/>
            </w:tcBorders>
          </w:tcPr>
          <w:p>
            <w:r>
              <w:rPr>
                <w:rFonts w:ascii="Aptos" w:hAnsi="Aptos" w:eastAsia="Aptos"/>
                <w:b/>
                <w:color w:val="17365D"/>
                <w:sz w:val="20"/>
              </w:rPr>
              <w:t>SÉCURITÉ ET FAISABILITÉ</w:t>
            </w:r>
          </w:p>
          <w:p>
            <w:pPr>
              <w:spacing w:after="0"/>
            </w:pPr>
            <w:r>
              <w:rPr>
                <w:rFonts w:ascii="Aptos" w:hAnsi="Aptos" w:eastAsia="Aptos"/>
                <w:color w:val="404040"/>
                <w:sz w:val="19"/>
              </w:rPr>
              <w:t>Toute expérience sur l’évolution de la résistance doit être conçue et réalisée dans une structure de microbiologie disposant des autorisations, du confinement et des procédures de gestion des déchets adaptés. Le présent document décrit un programme scientifique général et ne remplace pas un protocole de biosécurité.</w:t>
            </w:r>
          </w:p>
        </w:tc>
      </w:tr>
    </w:tbl>
    <w:p>
      <w:pPr>
        <w:spacing w:after="0"/>
      </w:pPr>
    </w:p>
    <w:p>
      <w:pPr>
        <w:pStyle w:val="Heading2"/>
      </w:pPr>
      <w:r>
        <w:t>5.9. Définition opérationnelle de l’ouverture et de la contraction</w:t>
      </w:r>
    </w:p>
    <w:p>
      <w:r>
        <w:rPr>
          <w:rFonts w:ascii="Aptos" w:hAnsi="Aptos" w:eastAsia="Aptos"/>
        </w:rPr>
        <w:t>L’ouverture peut être définie comme une augmentation du nombre ou de l’accessibilité des états héréditaires permettant la croissance dans le régime étudié. La contraction correspond à une diminution du nombre, de la fréquence ou de l’accessibilité des états capables de se maintenir dans ce même régime. La simple apparition de mutations ne mesure pas une ouverture, car une mutation peut être neutre, délétère ou sans relation avec la résistance. Inversement, un plasmide peut ouvrir un état viable sans mutation nouvelle.</w:t>
      </w:r>
    </w:p>
    <w:p>
      <w:pPr>
        <w:pStyle w:val="Heading2"/>
      </w:pPr>
      <w:r>
        <w:t>5.10. Le problème de Ω</w:t>
      </w:r>
    </w:p>
    <w:p>
      <w:r>
        <w:rPr>
          <w:rFonts w:ascii="Aptos" w:hAnsi="Aptos" w:eastAsia="Aptos"/>
        </w:rPr>
        <w:t>Ω ne peut pas être assimilé directement au nombre de génotypes observés, à la diversité phénotypique, au taux de mutation ou au nombre de variants résistants. Ces quantités décrivent des dimensions différentes et dépendent de la profondeur d’échantillonnage, de la taille de population, des seuils de détection et de la méthode de mesure.</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2494"/>
            <w:shd w:fill="17365D"/>
            <w:tcMar>
              <w:top w:w="100" w:type="dxa"/>
              <w:start w:w="90" w:type="dxa"/>
              <w:bottom w:w="100" w:type="dxa"/>
              <w:end w:w="90" w:type="dxa"/>
            </w:tcMar>
          </w:tcPr>
          <w:p>
            <w:pPr>
              <w:jc w:val="left"/>
            </w:pPr>
            <w:r>
              <w:rPr>
                <w:rFonts w:ascii="Aptos" w:hAnsi="Aptos" w:eastAsia="Aptos"/>
                <w:b/>
                <w:color w:val="FFFFFF"/>
                <w:sz w:val="17"/>
              </w:rPr>
              <w:t>Interprétation possible de Ω</w:t>
            </w:r>
          </w:p>
        </w:tc>
        <w:tc>
          <w:tcPr>
            <w:tcW w:type="dxa" w:w="2948"/>
            <w:shd w:fill="17365D"/>
            <w:tcMar>
              <w:top w:w="100" w:type="dxa"/>
              <w:start w:w="90" w:type="dxa"/>
              <w:bottom w:w="100" w:type="dxa"/>
              <w:end w:w="90" w:type="dxa"/>
            </w:tcMar>
          </w:tcPr>
          <w:p>
            <w:pPr>
              <w:jc w:val="left"/>
            </w:pPr>
            <w:r>
              <w:rPr>
                <w:rFonts w:ascii="Aptos" w:hAnsi="Aptos" w:eastAsia="Aptos"/>
                <w:b/>
                <w:color w:val="FFFFFF"/>
                <w:sz w:val="17"/>
              </w:rPr>
              <w:t>Avantage</w:t>
            </w:r>
          </w:p>
        </w:tc>
        <w:tc>
          <w:tcPr>
            <w:tcW w:type="dxa" w:w="3855"/>
            <w:shd w:fill="17365D"/>
            <w:tcMar>
              <w:top w:w="100" w:type="dxa"/>
              <w:start w:w="90" w:type="dxa"/>
              <w:bottom w:w="100" w:type="dxa"/>
              <w:end w:w="90" w:type="dxa"/>
            </w:tcMar>
          </w:tcPr>
          <w:p>
            <w:pPr>
              <w:jc w:val="left"/>
            </w:pPr>
            <w:r>
              <w:rPr>
                <w:rFonts w:ascii="Aptos" w:hAnsi="Aptos" w:eastAsia="Aptos"/>
                <w:b/>
                <w:color w:val="FFFFFF"/>
                <w:sz w:val="17"/>
              </w:rPr>
              <w:t>Limite principale</w:t>
            </w:r>
          </w:p>
        </w:tc>
      </w:tr>
      <w:tr>
        <w:trPr>
          <w:cantSplit/>
        </w:trPr>
        <w:tc>
          <w:tcPr>
            <w:tcW w:type="dxa" w:w="2494"/>
            <w:tcMar>
              <w:top w:w="90" w:type="dxa"/>
              <w:start w:w="90" w:type="dxa"/>
              <w:bottom w:w="90" w:type="dxa"/>
              <w:end w:w="90" w:type="dxa"/>
            </w:tcMar>
          </w:tcPr>
          <w:p>
            <w:pPr>
              <w:spacing w:after="0"/>
            </w:pPr>
            <w:r>
              <w:rPr>
                <w:rFonts w:ascii="Aptos" w:hAnsi="Aptos" w:eastAsia="Aptos"/>
                <w:color w:val="404040"/>
                <w:sz w:val="17"/>
              </w:rPr>
              <w:t>Richesse d’états viables</w:t>
            </w:r>
          </w:p>
        </w:tc>
        <w:tc>
          <w:tcPr>
            <w:tcW w:type="dxa" w:w="2948"/>
            <w:tcMar>
              <w:top w:w="90" w:type="dxa"/>
              <w:start w:w="90" w:type="dxa"/>
              <w:bottom w:w="90" w:type="dxa"/>
              <w:end w:w="90" w:type="dxa"/>
            </w:tcMar>
          </w:tcPr>
          <w:p>
            <w:pPr>
              <w:spacing w:after="0"/>
            </w:pPr>
            <w:r>
              <w:rPr>
                <w:rFonts w:ascii="Aptos" w:hAnsi="Aptos" w:eastAsia="Aptos"/>
                <w:color w:val="404040"/>
                <w:sz w:val="17"/>
              </w:rPr>
              <w:t>Simple à comprendre et à compter.</w:t>
            </w:r>
          </w:p>
        </w:tc>
        <w:tc>
          <w:tcPr>
            <w:tcW w:type="dxa" w:w="3855"/>
            <w:tcMar>
              <w:top w:w="90" w:type="dxa"/>
              <w:start w:w="90" w:type="dxa"/>
              <w:bottom w:w="90" w:type="dxa"/>
              <w:end w:w="90" w:type="dxa"/>
            </w:tcMar>
          </w:tcPr>
          <w:p>
            <w:pPr>
              <w:spacing w:after="0"/>
            </w:pPr>
            <w:r>
              <w:rPr>
                <w:rFonts w:ascii="Aptos" w:hAnsi="Aptos" w:eastAsia="Aptos"/>
                <w:color w:val="404040"/>
                <w:sz w:val="17"/>
              </w:rPr>
              <w:t>Très sensible à l’échantillonnage et à la définition d’un état.</w:t>
            </w:r>
          </w:p>
        </w:tc>
      </w:tr>
      <w:tr>
        <w:trPr>
          <w:cantSplit/>
        </w:trPr>
        <w:tc>
          <w:tcPr>
            <w:tcW w:type="dxa" w:w="2494"/>
            <w:tcMar>
              <w:top w:w="90" w:type="dxa"/>
              <w:start w:w="90" w:type="dxa"/>
              <w:bottom w:w="90" w:type="dxa"/>
              <w:end w:w="90" w:type="dxa"/>
            </w:tcMar>
            <w:shd w:fill="FAFAFA"/>
          </w:tcPr>
          <w:p>
            <w:pPr>
              <w:spacing w:after="0"/>
            </w:pPr>
            <w:r>
              <w:rPr>
                <w:rFonts w:ascii="Aptos" w:hAnsi="Aptos" w:eastAsia="Aptos"/>
                <w:color w:val="404040"/>
                <w:sz w:val="17"/>
              </w:rPr>
              <w:t>Diversité pondérée par les fréquences</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Tient compte de la distribution de la population.</w:t>
            </w:r>
          </w:p>
        </w:tc>
        <w:tc>
          <w:tcPr>
            <w:tcW w:type="dxa" w:w="3855"/>
            <w:tcMar>
              <w:top w:w="90" w:type="dxa"/>
              <w:start w:w="90" w:type="dxa"/>
              <w:bottom w:w="90" w:type="dxa"/>
              <w:end w:w="90" w:type="dxa"/>
            </w:tcMar>
            <w:shd w:fill="FAFAFA"/>
          </w:tcPr>
          <w:p>
            <w:pPr>
              <w:spacing w:after="0"/>
            </w:pPr>
            <w:r>
              <w:rPr>
                <w:rFonts w:ascii="Aptos" w:hAnsi="Aptos" w:eastAsia="Aptos"/>
                <w:color w:val="404040"/>
                <w:sz w:val="17"/>
              </w:rPr>
              <w:t>Peut masquer des états rares mais déterminants.</w:t>
            </w:r>
          </w:p>
        </w:tc>
      </w:tr>
      <w:tr>
        <w:trPr>
          <w:cantSplit/>
        </w:trPr>
        <w:tc>
          <w:tcPr>
            <w:tcW w:type="dxa" w:w="2494"/>
            <w:tcMar>
              <w:top w:w="90" w:type="dxa"/>
              <w:start w:w="90" w:type="dxa"/>
              <w:bottom w:w="90" w:type="dxa"/>
              <w:end w:w="90" w:type="dxa"/>
            </w:tcMar>
          </w:tcPr>
          <w:p>
            <w:pPr>
              <w:spacing w:after="0"/>
            </w:pPr>
            <w:r>
              <w:rPr>
                <w:rFonts w:ascii="Aptos" w:hAnsi="Aptos" w:eastAsia="Aptos"/>
                <w:color w:val="404040"/>
                <w:sz w:val="17"/>
              </w:rPr>
              <w:t>Volume dans un espace phénotypique</w:t>
            </w:r>
          </w:p>
        </w:tc>
        <w:tc>
          <w:tcPr>
            <w:tcW w:type="dxa" w:w="2948"/>
            <w:tcMar>
              <w:top w:w="90" w:type="dxa"/>
              <w:start w:w="90" w:type="dxa"/>
              <w:bottom w:w="90" w:type="dxa"/>
              <w:end w:w="90" w:type="dxa"/>
            </w:tcMar>
          </w:tcPr>
          <w:p>
            <w:pPr>
              <w:spacing w:after="0"/>
            </w:pPr>
            <w:r>
              <w:rPr>
                <w:rFonts w:ascii="Aptos" w:hAnsi="Aptos" w:eastAsia="Aptos"/>
                <w:color w:val="404040"/>
                <w:sz w:val="17"/>
              </w:rPr>
              <w:t>Représente plusieurs traits simultanément.</w:t>
            </w:r>
          </w:p>
        </w:tc>
        <w:tc>
          <w:tcPr>
            <w:tcW w:type="dxa" w:w="3855"/>
            <w:tcMar>
              <w:top w:w="90" w:type="dxa"/>
              <w:start w:w="90" w:type="dxa"/>
              <w:bottom w:w="90" w:type="dxa"/>
              <w:end w:w="90" w:type="dxa"/>
            </w:tcMar>
          </w:tcPr>
          <w:p>
            <w:pPr>
              <w:spacing w:after="0"/>
            </w:pPr>
            <w:r>
              <w:rPr>
                <w:rFonts w:ascii="Aptos" w:hAnsi="Aptos" w:eastAsia="Aptos"/>
                <w:color w:val="404040"/>
                <w:sz w:val="17"/>
              </w:rPr>
              <w:t>Dépend du choix des axes et de la métrique.</w:t>
            </w:r>
          </w:p>
        </w:tc>
      </w:tr>
      <w:tr>
        <w:trPr>
          <w:cantSplit/>
        </w:trPr>
        <w:tc>
          <w:tcPr>
            <w:tcW w:type="dxa" w:w="2494"/>
            <w:tcMar>
              <w:top w:w="90" w:type="dxa"/>
              <w:start w:w="90" w:type="dxa"/>
              <w:bottom w:w="90" w:type="dxa"/>
              <w:end w:w="90" w:type="dxa"/>
            </w:tcMar>
            <w:shd w:fill="FAFAFA"/>
          </w:tcPr>
          <w:p>
            <w:pPr>
              <w:spacing w:after="0"/>
            </w:pPr>
            <w:r>
              <w:rPr>
                <w:rFonts w:ascii="Aptos" w:hAnsi="Aptos" w:eastAsia="Aptos"/>
                <w:color w:val="404040"/>
                <w:sz w:val="17"/>
              </w:rPr>
              <w:t>Accessibilité évolutive</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Intègre les probabilités de transition.</w:t>
            </w:r>
          </w:p>
        </w:tc>
        <w:tc>
          <w:tcPr>
            <w:tcW w:type="dxa" w:w="3855"/>
            <w:tcMar>
              <w:top w:w="90" w:type="dxa"/>
              <w:start w:w="90" w:type="dxa"/>
              <w:bottom w:w="90" w:type="dxa"/>
              <w:end w:w="90" w:type="dxa"/>
            </w:tcMar>
            <w:shd w:fill="FAFAFA"/>
          </w:tcPr>
          <w:p>
            <w:pPr>
              <w:spacing w:after="0"/>
            </w:pPr>
            <w:r>
              <w:rPr>
                <w:rFonts w:ascii="Aptos" w:hAnsi="Aptos" w:eastAsia="Aptos"/>
                <w:color w:val="404040"/>
                <w:sz w:val="17"/>
              </w:rPr>
              <w:t>Demande un modèle explicite des mutations et de la sélection.</w:t>
            </w:r>
          </w:p>
        </w:tc>
      </w:tr>
      <w:tr>
        <w:trPr>
          <w:cantSplit/>
        </w:trPr>
        <w:tc>
          <w:tcPr>
            <w:tcW w:type="dxa" w:w="2494"/>
            <w:tcMar>
              <w:top w:w="90" w:type="dxa"/>
              <w:start w:w="90" w:type="dxa"/>
              <w:bottom w:w="90" w:type="dxa"/>
              <w:end w:w="90" w:type="dxa"/>
            </w:tcMar>
          </w:tcPr>
          <w:p>
            <w:pPr>
              <w:spacing w:after="0"/>
            </w:pPr>
            <w:r>
              <w:rPr>
                <w:rFonts w:ascii="Aptos" w:hAnsi="Aptos" w:eastAsia="Aptos"/>
                <w:color w:val="404040"/>
                <w:sz w:val="17"/>
              </w:rPr>
              <w:t>Probabilité de persistance</w:t>
            </w:r>
          </w:p>
        </w:tc>
        <w:tc>
          <w:tcPr>
            <w:tcW w:type="dxa" w:w="2948"/>
            <w:tcMar>
              <w:top w:w="90" w:type="dxa"/>
              <w:start w:w="90" w:type="dxa"/>
              <w:bottom w:w="90" w:type="dxa"/>
              <w:end w:w="90" w:type="dxa"/>
            </w:tcMar>
          </w:tcPr>
          <w:p>
            <w:pPr>
              <w:spacing w:after="0"/>
            </w:pPr>
            <w:r>
              <w:rPr>
                <w:rFonts w:ascii="Aptos" w:hAnsi="Aptos" w:eastAsia="Aptos"/>
                <w:color w:val="404040"/>
                <w:sz w:val="17"/>
              </w:rPr>
              <w:t>Relie directement l’état à la viabilité.</w:t>
            </w:r>
          </w:p>
        </w:tc>
        <w:tc>
          <w:tcPr>
            <w:tcW w:type="dxa" w:w="3855"/>
            <w:tcMar>
              <w:top w:w="90" w:type="dxa"/>
              <w:start w:w="90" w:type="dxa"/>
              <w:bottom w:w="90" w:type="dxa"/>
              <w:end w:w="90" w:type="dxa"/>
            </w:tcMar>
          </w:tcPr>
          <w:p>
            <w:pPr>
              <w:spacing w:after="0"/>
            </w:pPr>
            <w:r>
              <w:rPr>
                <w:rFonts w:ascii="Aptos" w:hAnsi="Aptos" w:eastAsia="Aptos"/>
                <w:color w:val="404040"/>
                <w:sz w:val="17"/>
              </w:rPr>
              <w:t>Dépend fortement du contexte et de l’horizon temporel.</w:t>
            </w:r>
          </w:p>
        </w:tc>
      </w:tr>
    </w:tbl>
    <w:p>
      <w:pPr>
        <w:spacing w:after="0"/>
      </w:pPr>
    </w:p>
    <w:p>
      <w:r>
        <w:rPr>
          <w:rFonts w:ascii="Aptos" w:hAnsi="Aptos" w:eastAsia="Aptos"/>
        </w:rPr>
        <w:t>La première étude ORI-C doit choisir une définition unique de Ω, une unité, un domaine de validité et une méthode de calcul. Une combinaison de plusieurs indicateurs peut être envisagée, mais elle doit être justifiée et annoncée avant l’analyse.</w:t>
      </w:r>
    </w:p>
    <w:p>
      <w:pPr>
        <w:pStyle w:val="Heading2"/>
      </w:pPr>
      <w:r>
        <w:t>5.11. Conditions d’un test prédictif</w:t>
      </w:r>
    </w:p>
    <w:p>
      <w:pPr>
        <w:pStyle w:val="ListBullet"/>
        <w:spacing w:after="60"/>
      </w:pPr>
      <w:r>
        <w:rPr>
          <w:rFonts w:ascii="Aptos" w:hAnsi="Aptos" w:eastAsia="Aptos"/>
        </w:rPr>
        <w:t>Formuler les prédictions avant l’expérience et les enregistrer avec leurs intervalles d’incertitude.</w:t>
      </w:r>
    </w:p>
    <w:p>
      <w:pPr>
        <w:pStyle w:val="ListBullet"/>
        <w:spacing w:after="60"/>
      </w:pPr>
      <w:r>
        <w:rPr>
          <w:rFonts w:ascii="Aptos" w:hAnsi="Aptos" w:eastAsia="Aptos"/>
        </w:rPr>
        <w:t>Utiliser une métrique de performance définie à l’avance.</w:t>
      </w:r>
    </w:p>
    <w:p>
      <w:pPr>
        <w:pStyle w:val="ListBullet"/>
        <w:spacing w:after="60"/>
      </w:pPr>
      <w:r>
        <w:rPr>
          <w:rFonts w:ascii="Aptos" w:hAnsi="Aptos" w:eastAsia="Aptos"/>
        </w:rPr>
        <w:t>Séparer les données d’ajustement des données de validation.</w:t>
      </w:r>
    </w:p>
    <w:p>
      <w:pPr>
        <w:pStyle w:val="ListBullet"/>
        <w:spacing w:after="60"/>
      </w:pPr>
      <w:r>
        <w:rPr>
          <w:rFonts w:ascii="Aptos" w:hAnsi="Aptos" w:eastAsia="Aptos"/>
        </w:rPr>
        <w:t>Comparer ORI-C à un modèle de référence plus simple.</w:t>
      </w:r>
    </w:p>
    <w:p>
      <w:pPr>
        <w:pStyle w:val="ListBullet"/>
        <w:spacing w:after="60"/>
      </w:pPr>
      <w:r>
        <w:rPr>
          <w:rFonts w:ascii="Aptos" w:hAnsi="Aptos" w:eastAsia="Aptos"/>
        </w:rPr>
        <w:t>Pénaliser la complexité supplémentaire et analyser la robustesse aux choix de paramètres.</w:t>
      </w:r>
    </w:p>
    <w:p>
      <w:pPr>
        <w:pStyle w:val="ListBullet"/>
        <w:spacing w:after="60"/>
      </w:pPr>
      <w:r>
        <w:rPr>
          <w:rFonts w:ascii="Aptos" w:hAnsi="Aptos" w:eastAsia="Aptos"/>
        </w:rPr>
        <w:t>Définir les observations qui compteraient contre la chaîne testée.</w:t>
      </w:r>
    </w:p>
    <w:p>
      <w:pPr>
        <w:pStyle w:val="QuoteORI"/>
        <w:pBdr>
          <w:left w:val="single" w:sz="18" w:space="8" w:color="2F6F73"/>
        </w:pBdr>
      </w:pPr>
      <w:r>
        <w:rPr>
          <w:rFonts w:ascii="Aptos" w:hAnsi="Aptos" w:eastAsia="Aptos"/>
          <w:i/>
          <w:color w:val="17365D"/>
          <w:sz w:val="23"/>
        </w:rPr>
        <w:t>L’Acte 3 rend ORI-C testable seulement lorsque les catégories deviennent des variables, que les règles de calcul sont fixées et que les résultats attendus sont annoncés avant l’observation.</w:t>
      </w:r>
    </w:p>
    <w:p>
      <w:r>
        <w:br w:type="page"/>
      </w:r>
    </w:p>
    <w:p>
      <w:pPr>
        <w:pStyle w:val="Heading1"/>
      </w:pPr>
      <w:r>
        <w:t>6. Ce que la démonstration établit et ce qu’elle laisse ouvert</w:t>
      </w:r>
    </w:p>
    <w:p>
      <w:pPr>
        <w:pStyle w:val="Heading2"/>
      </w:pPr>
      <w:r>
        <w:t>6.1. Acquis défendables</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2438"/>
            <w:shd w:fill="17365D"/>
            <w:tcMar>
              <w:top w:w="100" w:type="dxa"/>
              <w:start w:w="90" w:type="dxa"/>
              <w:bottom w:w="100" w:type="dxa"/>
              <w:end w:w="90" w:type="dxa"/>
            </w:tcMar>
          </w:tcPr>
          <w:p>
            <w:pPr>
              <w:jc w:val="left"/>
            </w:pPr>
            <w:r>
              <w:rPr>
                <w:rFonts w:ascii="Aptos" w:hAnsi="Aptos" w:eastAsia="Aptos"/>
                <w:b/>
                <w:color w:val="FFFFFF"/>
                <w:sz w:val="18"/>
              </w:rPr>
              <w:t>Point</w:t>
            </w:r>
          </w:p>
        </w:tc>
        <w:tc>
          <w:tcPr>
            <w:tcW w:type="dxa" w:w="6860"/>
            <w:shd w:fill="17365D"/>
            <w:tcMar>
              <w:top w:w="100" w:type="dxa"/>
              <w:start w:w="90" w:type="dxa"/>
              <w:bottom w:w="100" w:type="dxa"/>
              <w:end w:w="90" w:type="dxa"/>
            </w:tcMar>
          </w:tcPr>
          <w:p>
            <w:pPr>
              <w:jc w:val="left"/>
            </w:pPr>
            <w:r>
              <w:rPr>
                <w:rFonts w:ascii="Aptos" w:hAnsi="Aptos" w:eastAsia="Aptos"/>
                <w:b/>
                <w:color w:val="FFFFFF"/>
                <w:sz w:val="18"/>
              </w:rPr>
              <w:t>Conclusion rigoureuse</w:t>
            </w:r>
          </w:p>
        </w:tc>
      </w:tr>
      <w:tr>
        <w:trPr>
          <w:cantSplit/>
        </w:trPr>
        <w:tc>
          <w:tcPr>
            <w:tcW w:type="dxa" w:w="2438"/>
            <w:tcMar>
              <w:top w:w="90" w:type="dxa"/>
              <w:start w:w="90" w:type="dxa"/>
              <w:bottom w:w="90" w:type="dxa"/>
              <w:end w:w="90" w:type="dxa"/>
            </w:tcMar>
          </w:tcPr>
          <w:p>
            <w:pPr>
              <w:spacing w:after="0"/>
            </w:pPr>
            <w:r>
              <w:rPr>
                <w:rFonts w:ascii="Aptos" w:hAnsi="Aptos" w:eastAsia="Aptos"/>
                <w:color w:val="404040"/>
                <w:sz w:val="18"/>
              </w:rPr>
              <w:t>Architecture et composition</w:t>
            </w:r>
          </w:p>
        </w:tc>
        <w:tc>
          <w:tcPr>
            <w:tcW w:type="dxa" w:w="6860"/>
            <w:tcMar>
              <w:top w:w="90" w:type="dxa"/>
              <w:start w:w="90" w:type="dxa"/>
              <w:bottom w:w="90" w:type="dxa"/>
              <w:end w:w="90" w:type="dxa"/>
            </w:tcMar>
          </w:tcPr>
          <w:p>
            <w:pPr>
              <w:spacing w:after="0"/>
            </w:pPr>
            <w:r>
              <w:rPr>
                <w:rFonts w:ascii="Aptos" w:hAnsi="Aptos" w:eastAsia="Aptos"/>
                <w:color w:val="404040"/>
                <w:sz w:val="18"/>
              </w:rPr>
              <w:t>La composition seule ne suffit pas à caractériser le fonctionnement d’une cellule.</w:t>
            </w:r>
          </w:p>
        </w:tc>
      </w:tr>
      <w:tr>
        <w:trPr>
          <w:cantSplit/>
        </w:trPr>
        <w:tc>
          <w:tcPr>
            <w:tcW w:type="dxa" w:w="2438"/>
            <w:tcMar>
              <w:top w:w="90" w:type="dxa"/>
              <w:start w:w="90" w:type="dxa"/>
              <w:bottom w:w="90" w:type="dxa"/>
              <w:end w:w="90" w:type="dxa"/>
            </w:tcMar>
            <w:shd w:fill="FAFAFA"/>
          </w:tcPr>
          <w:p>
            <w:pPr>
              <w:spacing w:after="0"/>
            </w:pPr>
            <w:r>
              <w:rPr>
                <w:rFonts w:ascii="Aptos" w:hAnsi="Aptos" w:eastAsia="Aptos"/>
                <w:color w:val="404040"/>
                <w:sz w:val="18"/>
              </w:rPr>
              <w:t>Configuration</w:t>
            </w:r>
          </w:p>
        </w:tc>
        <w:tc>
          <w:tcPr>
            <w:tcW w:type="dxa" w:w="6860"/>
            <w:tcMar>
              <w:top w:w="90" w:type="dxa"/>
              <w:start w:w="90" w:type="dxa"/>
              <w:bottom w:w="90" w:type="dxa"/>
              <w:end w:w="90" w:type="dxa"/>
            </w:tcMar>
            <w:shd w:fill="FAFAFA"/>
          </w:tcPr>
          <w:p>
            <w:pPr>
              <w:spacing w:after="0"/>
            </w:pPr>
            <w:r>
              <w:rPr>
                <w:rFonts w:ascii="Aptos" w:hAnsi="Aptos" w:eastAsia="Aptos"/>
                <w:color w:val="404040"/>
                <w:sz w:val="18"/>
              </w:rPr>
              <w:t>La localisation, la compartimentation et l’organisation des composants modifient leurs propriétés fonctionnelles.</w:t>
            </w:r>
          </w:p>
        </w:tc>
      </w:tr>
      <w:tr>
        <w:trPr>
          <w:cantSplit/>
        </w:trPr>
        <w:tc>
          <w:tcPr>
            <w:tcW w:type="dxa" w:w="2438"/>
            <w:tcMar>
              <w:top w:w="90" w:type="dxa"/>
              <w:start w:w="90" w:type="dxa"/>
              <w:bottom w:w="90" w:type="dxa"/>
              <w:end w:w="90" w:type="dxa"/>
            </w:tcMar>
          </w:tcPr>
          <w:p>
            <w:pPr>
              <w:spacing w:after="0"/>
            </w:pPr>
            <w:r>
              <w:rPr>
                <w:rFonts w:ascii="Aptos" w:hAnsi="Aptos" w:eastAsia="Aptos"/>
                <w:color w:val="404040"/>
                <w:sz w:val="18"/>
              </w:rPr>
              <w:t>Liens typés</w:t>
            </w:r>
          </w:p>
        </w:tc>
        <w:tc>
          <w:tcPr>
            <w:tcW w:type="dxa" w:w="6860"/>
            <w:tcMar>
              <w:top w:w="90" w:type="dxa"/>
              <w:start w:w="90" w:type="dxa"/>
              <w:bottom w:w="90" w:type="dxa"/>
              <w:end w:w="90" w:type="dxa"/>
            </w:tcMar>
          </w:tcPr>
          <w:p>
            <w:pPr>
              <w:spacing w:after="0"/>
            </w:pPr>
            <w:r>
              <w:rPr>
                <w:rFonts w:ascii="Aptos" w:hAnsi="Aptos" w:eastAsia="Aptos"/>
                <w:color w:val="404040"/>
                <w:sz w:val="18"/>
              </w:rPr>
              <w:t>La distinction entre ascendance, apport matériel, transformation du milieu et ouverture évite plusieurs confusions conceptuelles.</w:t>
            </w:r>
          </w:p>
        </w:tc>
      </w:tr>
      <w:tr>
        <w:trPr>
          <w:cantSplit/>
        </w:trPr>
        <w:tc>
          <w:tcPr>
            <w:tcW w:type="dxa" w:w="2438"/>
            <w:tcMar>
              <w:top w:w="90" w:type="dxa"/>
              <w:start w:w="90" w:type="dxa"/>
              <w:bottom w:w="90" w:type="dxa"/>
              <w:end w:w="90" w:type="dxa"/>
            </w:tcMar>
            <w:shd w:fill="FAFAFA"/>
          </w:tcPr>
          <w:p>
            <w:pPr>
              <w:spacing w:after="0"/>
            </w:pPr>
            <w:r>
              <w:rPr>
                <w:rFonts w:ascii="Aptos" w:hAnsi="Aptos" w:eastAsia="Aptos"/>
                <w:color w:val="404040"/>
                <w:sz w:val="18"/>
              </w:rPr>
              <w:t>Statuts de preuve</w:t>
            </w:r>
          </w:p>
        </w:tc>
        <w:tc>
          <w:tcPr>
            <w:tcW w:type="dxa" w:w="6860"/>
            <w:tcMar>
              <w:top w:w="90" w:type="dxa"/>
              <w:start w:w="90" w:type="dxa"/>
              <w:bottom w:w="90" w:type="dxa"/>
              <w:end w:w="90" w:type="dxa"/>
            </w:tcMar>
            <w:shd w:fill="FAFAFA"/>
          </w:tcPr>
          <w:p>
            <w:pPr>
              <w:spacing w:after="0"/>
            </w:pPr>
            <w:r>
              <w:rPr>
                <w:rFonts w:ascii="Aptos" w:hAnsi="Aptos" w:eastAsia="Aptos"/>
                <w:color w:val="404040"/>
                <w:sz w:val="18"/>
              </w:rPr>
              <w:t>Une transition peut être décomposée en affirmations recevant chacune un statut distinct.</w:t>
            </w:r>
          </w:p>
        </w:tc>
      </w:tr>
      <w:tr>
        <w:trPr>
          <w:cantSplit/>
        </w:trPr>
        <w:tc>
          <w:tcPr>
            <w:tcW w:type="dxa" w:w="2438"/>
            <w:tcMar>
              <w:top w:w="90" w:type="dxa"/>
              <w:start w:w="90" w:type="dxa"/>
              <w:bottom w:w="90" w:type="dxa"/>
              <w:end w:w="90" w:type="dxa"/>
            </w:tcMar>
          </w:tcPr>
          <w:p>
            <w:pPr>
              <w:spacing w:after="0"/>
            </w:pPr>
            <w:r>
              <w:rPr>
                <w:rFonts w:ascii="Aptos" w:hAnsi="Aptos" w:eastAsia="Aptos"/>
                <w:color w:val="404040"/>
                <w:sz w:val="18"/>
              </w:rPr>
              <w:t>Dynamique temporelle</w:t>
            </w:r>
          </w:p>
        </w:tc>
        <w:tc>
          <w:tcPr>
            <w:tcW w:type="dxa" w:w="6860"/>
            <w:tcMar>
              <w:top w:w="90" w:type="dxa"/>
              <w:start w:w="90" w:type="dxa"/>
              <w:bottom w:w="90" w:type="dxa"/>
              <w:end w:w="90" w:type="dxa"/>
            </w:tcMar>
          </w:tcPr>
          <w:p>
            <w:pPr>
              <w:spacing w:after="0"/>
            </w:pPr>
            <w:r>
              <w:rPr>
                <w:rFonts w:ascii="Aptos" w:hAnsi="Aptos" w:eastAsia="Aptos"/>
                <w:color w:val="404040"/>
                <w:sz w:val="18"/>
              </w:rPr>
              <w:t>L’évolution expérimentale offre un terrain où suivre des contractions, des ouvertures et des rétroactions.</w:t>
            </w:r>
          </w:p>
        </w:tc>
      </w:tr>
      <w:tr>
        <w:trPr>
          <w:cantSplit/>
        </w:trPr>
        <w:tc>
          <w:tcPr>
            <w:tcW w:type="dxa" w:w="2438"/>
            <w:tcMar>
              <w:top w:w="90" w:type="dxa"/>
              <w:start w:w="90" w:type="dxa"/>
              <w:bottom w:w="90" w:type="dxa"/>
              <w:end w:w="90" w:type="dxa"/>
            </w:tcMar>
            <w:shd w:fill="FAFAFA"/>
          </w:tcPr>
          <w:p>
            <w:pPr>
              <w:spacing w:after="0"/>
            </w:pPr>
            <w:r>
              <w:rPr>
                <w:rFonts w:ascii="Aptos" w:hAnsi="Aptos" w:eastAsia="Aptos"/>
                <w:color w:val="404040"/>
                <w:sz w:val="18"/>
              </w:rPr>
              <w:t>Origines indépendantes</w:t>
            </w:r>
          </w:p>
        </w:tc>
        <w:tc>
          <w:tcPr>
            <w:tcW w:type="dxa" w:w="6860"/>
            <w:tcMar>
              <w:top w:w="90" w:type="dxa"/>
              <w:start w:w="90" w:type="dxa"/>
              <w:bottom w:w="90" w:type="dxa"/>
              <w:end w:w="90" w:type="dxa"/>
            </w:tcMar>
            <w:shd w:fill="FAFAFA"/>
          </w:tcPr>
          <w:p>
            <w:pPr>
              <w:spacing w:after="0"/>
            </w:pPr>
            <w:r>
              <w:rPr>
                <w:rFonts w:ascii="Aptos" w:hAnsi="Aptos" w:eastAsia="Aptos"/>
                <w:color w:val="404040"/>
                <w:sz w:val="18"/>
              </w:rPr>
              <w:t>La multicellularité est apparue à plusieurs reprises dans l’histoire du vivant [8].</w:t>
            </w:r>
          </w:p>
        </w:tc>
      </w:tr>
      <w:tr>
        <w:trPr>
          <w:cantSplit/>
        </w:trPr>
        <w:tc>
          <w:tcPr>
            <w:tcW w:type="dxa" w:w="2438"/>
            <w:tcMar>
              <w:top w:w="90" w:type="dxa"/>
              <w:start w:w="90" w:type="dxa"/>
              <w:bottom w:w="90" w:type="dxa"/>
              <w:end w:w="90" w:type="dxa"/>
            </w:tcMar>
          </w:tcPr>
          <w:p>
            <w:pPr>
              <w:spacing w:after="0"/>
            </w:pPr>
            <w:r>
              <w:rPr>
                <w:rFonts w:ascii="Aptos" w:hAnsi="Aptos" w:eastAsia="Aptos"/>
                <w:color w:val="404040"/>
                <w:sz w:val="18"/>
              </w:rPr>
              <w:t>Héritage</w:t>
            </w:r>
          </w:p>
        </w:tc>
        <w:tc>
          <w:tcPr>
            <w:tcW w:type="dxa" w:w="6860"/>
            <w:tcMar>
              <w:top w:w="90" w:type="dxa"/>
              <w:start w:w="90" w:type="dxa"/>
              <w:bottom w:w="90" w:type="dxa"/>
              <w:end w:w="90" w:type="dxa"/>
            </w:tcMar>
          </w:tcPr>
          <w:p>
            <w:pPr>
              <w:spacing w:after="0"/>
            </w:pPr>
            <w:r>
              <w:rPr>
                <w:rFonts w:ascii="Aptos" w:hAnsi="Aptos" w:eastAsia="Aptos"/>
                <w:color w:val="404040"/>
                <w:sz w:val="18"/>
              </w:rPr>
              <w:t>Le code génétique, presque universel avec des variantes connues, illustre un héritage ancien qui contraint et rend possibles des transformations ultérieures [13].</w:t>
            </w:r>
          </w:p>
        </w:tc>
      </w:tr>
    </w:tbl>
    <w:p>
      <w:pPr>
        <w:spacing w:after="0"/>
      </w:pPr>
    </w:p>
    <w:p>
      <w:pPr>
        <w:pStyle w:val="Heading2"/>
      </w:pPr>
      <w:r>
        <w:t>6.2. Limites actuelles</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3515"/>
            <w:shd w:fill="17365D"/>
            <w:tcMar>
              <w:top w:w="100" w:type="dxa"/>
              <w:start w:w="90" w:type="dxa"/>
              <w:bottom w:w="100" w:type="dxa"/>
              <w:end w:w="90" w:type="dxa"/>
            </w:tcMar>
          </w:tcPr>
          <w:p>
            <w:pPr>
              <w:jc w:val="left"/>
            </w:pPr>
            <w:r>
              <w:rPr>
                <w:rFonts w:ascii="Aptos" w:hAnsi="Aptos" w:eastAsia="Aptos"/>
                <w:b/>
                <w:color w:val="FFFFFF"/>
                <w:sz w:val="18"/>
              </w:rPr>
              <w:t>Question</w:t>
            </w:r>
          </w:p>
        </w:tc>
        <w:tc>
          <w:tcPr>
            <w:tcW w:type="dxa" w:w="5783"/>
            <w:shd w:fill="17365D"/>
            <w:tcMar>
              <w:top w:w="100" w:type="dxa"/>
              <w:start w:w="90" w:type="dxa"/>
              <w:bottom w:w="100" w:type="dxa"/>
              <w:end w:w="90" w:type="dxa"/>
            </w:tcMar>
          </w:tcPr>
          <w:p>
            <w:pPr>
              <w:jc w:val="left"/>
            </w:pPr>
            <w:r>
              <w:rPr>
                <w:rFonts w:ascii="Aptos" w:hAnsi="Aptos" w:eastAsia="Aptos"/>
                <w:b/>
                <w:color w:val="FFFFFF"/>
                <w:sz w:val="18"/>
              </w:rPr>
              <w:t>Statut</w:t>
            </w:r>
          </w:p>
        </w:tc>
      </w:tr>
      <w:tr>
        <w:trPr>
          <w:cantSplit/>
        </w:trPr>
        <w:tc>
          <w:tcPr>
            <w:tcW w:type="dxa" w:w="3515"/>
            <w:tcMar>
              <w:top w:w="90" w:type="dxa"/>
              <w:start w:w="90" w:type="dxa"/>
              <w:bottom w:w="90" w:type="dxa"/>
              <w:end w:w="90" w:type="dxa"/>
            </w:tcMar>
          </w:tcPr>
          <w:p>
            <w:pPr>
              <w:spacing w:after="0"/>
            </w:pPr>
            <w:r>
              <w:rPr>
                <w:rFonts w:ascii="Aptos" w:hAnsi="Aptos" w:eastAsia="Aptos"/>
                <w:color w:val="404040"/>
                <w:sz w:val="18"/>
              </w:rPr>
              <w:t>Universalité dans tous les régimes matériels</w:t>
            </w:r>
          </w:p>
        </w:tc>
        <w:tc>
          <w:tcPr>
            <w:tcW w:type="dxa" w:w="5783"/>
            <w:tcMar>
              <w:top w:w="90" w:type="dxa"/>
              <w:start w:w="90" w:type="dxa"/>
              <w:bottom w:w="90" w:type="dxa"/>
              <w:end w:w="90" w:type="dxa"/>
            </w:tcMar>
          </w:tcPr>
          <w:p>
            <w:pPr>
              <w:spacing w:after="0"/>
            </w:pPr>
            <w:r>
              <w:rPr>
                <w:rFonts w:ascii="Aptos" w:hAnsi="Aptos" w:eastAsia="Aptos"/>
                <w:color w:val="404040"/>
                <w:sz w:val="18"/>
              </w:rPr>
              <w:t>Hypothèse de programme à tester par des comparaisons systématiques.</w:t>
            </w:r>
          </w:p>
        </w:tc>
      </w:tr>
      <w:tr>
        <w:trPr>
          <w:cantSplit/>
        </w:trPr>
        <w:tc>
          <w:tcPr>
            <w:tcW w:type="dxa" w:w="3515"/>
            <w:tcMar>
              <w:top w:w="90" w:type="dxa"/>
              <w:start w:w="90" w:type="dxa"/>
              <w:bottom w:w="90" w:type="dxa"/>
              <w:end w:w="90" w:type="dxa"/>
            </w:tcMar>
            <w:shd w:fill="FAFAFA"/>
          </w:tcPr>
          <w:p>
            <w:pPr>
              <w:spacing w:after="0"/>
            </w:pPr>
            <w:r>
              <w:rPr>
                <w:rFonts w:ascii="Aptos" w:hAnsi="Aptos" w:eastAsia="Aptos"/>
                <w:color w:val="404040"/>
                <w:sz w:val="18"/>
              </w:rPr>
              <w:t>Applicabilité générale au vivant</w:t>
            </w:r>
          </w:p>
        </w:tc>
        <w:tc>
          <w:tcPr>
            <w:tcW w:type="dxa" w:w="5783"/>
            <w:tcMar>
              <w:top w:w="90" w:type="dxa"/>
              <w:start w:w="90" w:type="dxa"/>
              <w:bottom w:w="90" w:type="dxa"/>
              <w:end w:w="90" w:type="dxa"/>
            </w:tcMar>
            <w:shd w:fill="FAFAFA"/>
          </w:tcPr>
          <w:p>
            <w:pPr>
              <w:spacing w:after="0"/>
            </w:pPr>
            <w:r>
              <w:rPr>
                <w:rFonts w:ascii="Aptos" w:hAnsi="Aptos" w:eastAsia="Aptos"/>
                <w:color w:val="404040"/>
                <w:sz w:val="18"/>
              </w:rPr>
              <w:t>Non établie par deux cas seulement.</w:t>
            </w:r>
          </w:p>
        </w:tc>
      </w:tr>
      <w:tr>
        <w:trPr>
          <w:cantSplit/>
        </w:trPr>
        <w:tc>
          <w:tcPr>
            <w:tcW w:type="dxa" w:w="3515"/>
            <w:tcMar>
              <w:top w:w="90" w:type="dxa"/>
              <w:start w:w="90" w:type="dxa"/>
              <w:bottom w:w="90" w:type="dxa"/>
              <w:end w:w="90" w:type="dxa"/>
            </w:tcMar>
          </w:tcPr>
          <w:p>
            <w:pPr>
              <w:spacing w:after="0"/>
            </w:pPr>
            <w:r>
              <w:rPr>
                <w:rFonts w:ascii="Aptos" w:hAnsi="Aptos" w:eastAsia="Aptos"/>
                <w:color w:val="404040"/>
                <w:sz w:val="18"/>
              </w:rPr>
              <w:t>Supériorité explicative</w:t>
            </w:r>
          </w:p>
        </w:tc>
        <w:tc>
          <w:tcPr>
            <w:tcW w:type="dxa" w:w="5783"/>
            <w:tcMar>
              <w:top w:w="90" w:type="dxa"/>
              <w:start w:w="90" w:type="dxa"/>
              <w:bottom w:w="90" w:type="dxa"/>
              <w:end w:w="90" w:type="dxa"/>
            </w:tcMar>
          </w:tcPr>
          <w:p>
            <w:pPr>
              <w:spacing w:after="0"/>
            </w:pPr>
            <w:r>
              <w:rPr>
                <w:rFonts w:ascii="Aptos" w:hAnsi="Aptos" w:eastAsia="Aptos"/>
                <w:color w:val="404040"/>
                <w:sz w:val="18"/>
              </w:rPr>
              <w:t>À comparer à la biologie évolutive, aux sciences des systèmes et aux modèles de transitions.</w:t>
            </w:r>
          </w:p>
        </w:tc>
      </w:tr>
      <w:tr>
        <w:trPr>
          <w:cantSplit/>
        </w:trPr>
        <w:tc>
          <w:tcPr>
            <w:tcW w:type="dxa" w:w="3515"/>
            <w:tcMar>
              <w:top w:w="90" w:type="dxa"/>
              <w:start w:w="90" w:type="dxa"/>
              <w:bottom w:w="90" w:type="dxa"/>
              <w:end w:w="90" w:type="dxa"/>
            </w:tcMar>
            <w:shd w:fill="FAFAFA"/>
          </w:tcPr>
          <w:p>
            <w:pPr>
              <w:spacing w:after="0"/>
            </w:pPr>
            <w:r>
              <w:rPr>
                <w:rFonts w:ascii="Aptos" w:hAnsi="Aptos" w:eastAsia="Aptos"/>
                <w:color w:val="404040"/>
                <w:sz w:val="18"/>
              </w:rPr>
              <w:t>Quantification de Ω</w:t>
            </w:r>
          </w:p>
        </w:tc>
        <w:tc>
          <w:tcPr>
            <w:tcW w:type="dxa" w:w="5783"/>
            <w:tcMar>
              <w:top w:w="90" w:type="dxa"/>
              <w:start w:w="90" w:type="dxa"/>
              <w:bottom w:w="90" w:type="dxa"/>
              <w:end w:w="90" w:type="dxa"/>
            </w:tcMar>
            <w:shd w:fill="FAFAFA"/>
          </w:tcPr>
          <w:p>
            <w:pPr>
              <w:spacing w:after="0"/>
            </w:pPr>
            <w:r>
              <w:rPr>
                <w:rFonts w:ascii="Aptos" w:hAnsi="Aptos" w:eastAsia="Aptos"/>
                <w:color w:val="404040"/>
                <w:sz w:val="18"/>
              </w:rPr>
              <w:t>Conceptuelle, sans définition opérationnelle unique.</w:t>
            </w:r>
          </w:p>
        </w:tc>
      </w:tr>
      <w:tr>
        <w:trPr>
          <w:cantSplit/>
        </w:trPr>
        <w:tc>
          <w:tcPr>
            <w:tcW w:type="dxa" w:w="3515"/>
            <w:tcMar>
              <w:top w:w="90" w:type="dxa"/>
              <w:start w:w="90" w:type="dxa"/>
              <w:bottom w:w="90" w:type="dxa"/>
              <w:end w:w="90" w:type="dxa"/>
            </w:tcMar>
          </w:tcPr>
          <w:p>
            <w:pPr>
              <w:spacing w:after="0"/>
            </w:pPr>
            <w:r>
              <w:rPr>
                <w:rFonts w:ascii="Aptos" w:hAnsi="Aptos" w:eastAsia="Aptos"/>
                <w:color w:val="404040"/>
                <w:sz w:val="18"/>
              </w:rPr>
              <w:t>Pouvoir prédictif</w:t>
            </w:r>
          </w:p>
        </w:tc>
        <w:tc>
          <w:tcPr>
            <w:tcW w:type="dxa" w:w="5783"/>
            <w:tcMar>
              <w:top w:w="90" w:type="dxa"/>
              <w:start w:w="90" w:type="dxa"/>
              <w:bottom w:w="90" w:type="dxa"/>
              <w:end w:w="90" w:type="dxa"/>
            </w:tcMar>
          </w:tcPr>
          <w:p>
            <w:pPr>
              <w:spacing w:after="0"/>
            </w:pPr>
            <w:r>
              <w:rPr>
                <w:rFonts w:ascii="Aptos" w:hAnsi="Aptos" w:eastAsia="Aptos"/>
                <w:color w:val="404040"/>
                <w:sz w:val="18"/>
              </w:rPr>
              <w:t>Non testé, car aucune prédiction propre à ORI-C n’a encore été évaluée prospectivement.</w:t>
            </w:r>
          </w:p>
        </w:tc>
      </w:tr>
      <w:tr>
        <w:trPr>
          <w:cantSplit/>
        </w:trPr>
        <w:tc>
          <w:tcPr>
            <w:tcW w:type="dxa" w:w="3515"/>
            <w:tcMar>
              <w:top w:w="90" w:type="dxa"/>
              <w:start w:w="90" w:type="dxa"/>
              <w:bottom w:w="90" w:type="dxa"/>
              <w:end w:w="90" w:type="dxa"/>
            </w:tcMar>
            <w:shd w:fill="FAFAFA"/>
          </w:tcPr>
          <w:p>
            <w:pPr>
              <w:spacing w:after="0"/>
            </w:pPr>
            <w:r>
              <w:rPr>
                <w:rFonts w:ascii="Aptos" w:hAnsi="Aptos" w:eastAsia="Aptos"/>
                <w:color w:val="404040"/>
                <w:sz w:val="18"/>
              </w:rPr>
              <w:t>Falsifiabilité globale</w:t>
            </w:r>
          </w:p>
        </w:tc>
        <w:tc>
          <w:tcPr>
            <w:tcW w:type="dxa" w:w="5783"/>
            <w:tcMar>
              <w:top w:w="90" w:type="dxa"/>
              <w:start w:w="90" w:type="dxa"/>
              <w:bottom w:w="90" w:type="dxa"/>
              <w:end w:w="90" w:type="dxa"/>
            </w:tcMar>
            <w:shd w:fill="FAFAFA"/>
          </w:tcPr>
          <w:p>
            <w:pPr>
              <w:spacing w:after="0"/>
            </w:pPr>
            <w:r>
              <w:rPr>
                <w:rFonts w:ascii="Aptos" w:hAnsi="Aptos" w:eastAsia="Aptos"/>
                <w:color w:val="404040"/>
                <w:sz w:val="18"/>
              </w:rPr>
              <w:t>Non établie tant que les règles de révision et les conditions d’échec restent ouvertes.</w:t>
            </w:r>
          </w:p>
        </w:tc>
      </w:tr>
      <w:tr>
        <w:trPr>
          <w:cantSplit/>
        </w:trPr>
        <w:tc>
          <w:tcPr>
            <w:tcW w:type="dxa" w:w="3515"/>
            <w:tcMar>
              <w:top w:w="90" w:type="dxa"/>
              <w:start w:w="90" w:type="dxa"/>
              <w:bottom w:w="90" w:type="dxa"/>
              <w:end w:w="90" w:type="dxa"/>
            </w:tcMar>
          </w:tcPr>
          <w:p>
            <w:pPr>
              <w:spacing w:after="0"/>
            </w:pPr>
            <w:r>
              <w:rPr>
                <w:rFonts w:ascii="Aptos" w:hAnsi="Aptos" w:eastAsia="Aptos"/>
                <w:color w:val="404040"/>
                <w:sz w:val="18"/>
              </w:rPr>
              <w:t>Transition prébiotique particulière</w:t>
            </w:r>
          </w:p>
        </w:tc>
        <w:tc>
          <w:tcPr>
            <w:tcW w:type="dxa" w:w="5783"/>
            <w:tcMar>
              <w:top w:w="90" w:type="dxa"/>
              <w:start w:w="90" w:type="dxa"/>
              <w:bottom w:w="90" w:type="dxa"/>
              <w:end w:w="90" w:type="dxa"/>
            </w:tcMar>
          </w:tcPr>
          <w:p>
            <w:pPr>
              <w:spacing w:after="0"/>
            </w:pPr>
            <w:r>
              <w:rPr>
                <w:rFonts w:ascii="Aptos" w:hAnsi="Aptos" w:eastAsia="Aptos"/>
                <w:color w:val="404040"/>
                <w:sz w:val="18"/>
              </w:rPr>
              <w:t>Non traitée dans cette démonstration.</w:t>
            </w:r>
          </w:p>
        </w:tc>
      </w:tr>
    </w:tbl>
    <w:p>
      <w:pPr>
        <w:spacing w:after="0"/>
      </w:pPr>
    </w:p>
    <w:p>
      <w:pPr>
        <w:pStyle w:val="Heading2"/>
      </w:pPr>
      <w:r>
        <w:t>6.3. Risques conceptuels à surveiller</w:t>
      </w:r>
    </w:p>
    <w:p>
      <w:pPr>
        <w:pStyle w:val="ListBullet"/>
        <w:spacing w:after="60"/>
      </w:pPr>
      <w:r>
        <w:rPr>
          <w:rFonts w:ascii="Aptos" w:hAnsi="Aptos" w:eastAsia="Aptos"/>
        </w:rPr>
        <w:t>Redondance : renommer des relations déjà bien décrites sans produire de gain explicatif ou opérationnel.</w:t>
      </w:r>
    </w:p>
    <w:p>
      <w:pPr>
        <w:pStyle w:val="ListBullet"/>
        <w:spacing w:after="60"/>
      </w:pPr>
      <w:r>
        <w:rPr>
          <w:rFonts w:ascii="Aptos" w:hAnsi="Aptos" w:eastAsia="Aptos"/>
        </w:rPr>
        <w:t>Circularité : attribuer ENBL après avoir observé une innovation, puis présenter cette attribution comme une explication de l’innovation.</w:t>
      </w:r>
    </w:p>
    <w:p>
      <w:pPr>
        <w:pStyle w:val="ListBullet"/>
        <w:spacing w:after="60"/>
      </w:pPr>
      <w:r>
        <w:rPr>
          <w:rFonts w:ascii="Aptos" w:hAnsi="Aptos" w:eastAsia="Aptos"/>
        </w:rPr>
        <w:t>Granularité : découper les transitions de manière différente selon l’analyste et obtenir des cartes incompatibles.</w:t>
      </w:r>
    </w:p>
    <w:p>
      <w:pPr>
        <w:pStyle w:val="ListBullet"/>
        <w:spacing w:after="60"/>
      </w:pPr>
      <w:r>
        <w:rPr>
          <w:rFonts w:ascii="Aptos" w:hAnsi="Aptos" w:eastAsia="Aptos"/>
        </w:rPr>
        <w:t>Dépendance à l’observateur : définir les possibles à partir des états que l’on a choisi de mesurer.</w:t>
      </w:r>
    </w:p>
    <w:p>
      <w:pPr>
        <w:pStyle w:val="ListBullet"/>
        <w:spacing w:after="60"/>
      </w:pPr>
      <w:r>
        <w:rPr>
          <w:rFonts w:ascii="Aptos" w:hAnsi="Aptos" w:eastAsia="Aptos"/>
        </w:rPr>
        <w:t>Glissement d’échelle : appliquer une relation définie pour une cellule à une population ou à une lignée sans reformulation.</w:t>
      </w:r>
    </w:p>
    <w:p>
      <w:r>
        <w:br w:type="page"/>
      </w:r>
    </w:p>
    <w:p>
      <w:pPr>
        <w:pStyle w:val="Heading1"/>
      </w:pPr>
      <w:r>
        <w:t>7. Usages du document</w:t>
      </w:r>
    </w:p>
    <w:p>
      <w:pPr>
        <w:pStyle w:val="Heading2"/>
      </w:pPr>
      <w:r>
        <w:t>7.1. Séminaire ou conférence de 45 minutes</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1134"/>
            <w:shd w:fill="17365D"/>
            <w:tcMar>
              <w:top w:w="100" w:type="dxa"/>
              <w:start w:w="90" w:type="dxa"/>
              <w:bottom w:w="100" w:type="dxa"/>
              <w:end w:w="90" w:type="dxa"/>
            </w:tcMar>
          </w:tcPr>
          <w:p>
            <w:pPr>
              <w:jc w:val="left"/>
            </w:pPr>
            <w:r>
              <w:rPr>
                <w:rFonts w:ascii="Aptos" w:hAnsi="Aptos" w:eastAsia="Aptos"/>
                <w:b/>
                <w:color w:val="FFFFFF"/>
                <w:sz w:val="18"/>
              </w:rPr>
              <w:t>Temps</w:t>
            </w:r>
          </w:p>
        </w:tc>
        <w:tc>
          <w:tcPr>
            <w:tcW w:type="dxa" w:w="5102"/>
            <w:shd w:fill="17365D"/>
            <w:tcMar>
              <w:top w:w="100" w:type="dxa"/>
              <w:start w:w="90" w:type="dxa"/>
              <w:bottom w:w="100" w:type="dxa"/>
              <w:end w:w="90" w:type="dxa"/>
            </w:tcMar>
          </w:tcPr>
          <w:p>
            <w:pPr>
              <w:jc w:val="left"/>
            </w:pPr>
            <w:r>
              <w:rPr>
                <w:rFonts w:ascii="Aptos" w:hAnsi="Aptos" w:eastAsia="Aptos"/>
                <w:b/>
                <w:color w:val="FFFFFF"/>
                <w:sz w:val="18"/>
              </w:rPr>
              <w:t>Contenu</w:t>
            </w:r>
          </w:p>
        </w:tc>
        <w:tc>
          <w:tcPr>
            <w:tcW w:type="dxa" w:w="3061"/>
            <w:shd w:fill="17365D"/>
            <w:tcMar>
              <w:top w:w="100" w:type="dxa"/>
              <w:start w:w="90" w:type="dxa"/>
              <w:bottom w:w="100" w:type="dxa"/>
              <w:end w:w="90" w:type="dxa"/>
            </w:tcMar>
          </w:tcPr>
          <w:p>
            <w:pPr>
              <w:jc w:val="left"/>
            </w:pPr>
            <w:r>
              <w:rPr>
                <w:rFonts w:ascii="Aptos" w:hAnsi="Aptos" w:eastAsia="Aptos"/>
                <w:b/>
                <w:color w:val="FFFFFF"/>
                <w:sz w:val="18"/>
              </w:rPr>
              <w:t>Support</w:t>
            </w:r>
          </w:p>
        </w:tc>
      </w:tr>
      <w:tr>
        <w:trPr>
          <w:cantSplit/>
        </w:trPr>
        <w:tc>
          <w:tcPr>
            <w:tcW w:type="dxa" w:w="1134"/>
            <w:tcMar>
              <w:top w:w="90" w:type="dxa"/>
              <w:start w:w="90" w:type="dxa"/>
              <w:bottom w:w="90" w:type="dxa"/>
              <w:end w:w="90" w:type="dxa"/>
            </w:tcMar>
          </w:tcPr>
          <w:p>
            <w:pPr>
              <w:spacing w:after="0"/>
            </w:pPr>
            <w:r>
              <w:rPr>
                <w:rFonts w:ascii="Aptos" w:hAnsi="Aptos" w:eastAsia="Aptos"/>
                <w:color w:val="404040"/>
                <w:sz w:val="18"/>
              </w:rPr>
              <w:t>5 min</w:t>
            </w:r>
          </w:p>
        </w:tc>
        <w:tc>
          <w:tcPr>
            <w:tcW w:type="dxa" w:w="5102"/>
            <w:tcMar>
              <w:top w:w="90" w:type="dxa"/>
              <w:start w:w="90" w:type="dxa"/>
              <w:bottom w:w="90" w:type="dxa"/>
              <w:end w:w="90" w:type="dxa"/>
            </w:tcMar>
          </w:tcPr>
          <w:p>
            <w:pPr>
              <w:spacing w:after="0"/>
            </w:pPr>
            <w:r>
              <w:rPr>
                <w:rFonts w:ascii="Aptos" w:hAnsi="Aptos" w:eastAsia="Aptos"/>
                <w:color w:val="404040"/>
                <w:sz w:val="18"/>
              </w:rPr>
              <w:t>Problème : pourquoi l’histoire de la matière ne se réduit pas à une liste de substances.</w:t>
            </w:r>
          </w:p>
        </w:tc>
        <w:tc>
          <w:tcPr>
            <w:tcW w:type="dxa" w:w="3061"/>
            <w:tcMar>
              <w:top w:w="90" w:type="dxa"/>
              <w:start w:w="90" w:type="dxa"/>
              <w:bottom w:w="90" w:type="dxa"/>
              <w:end w:w="90" w:type="dxa"/>
            </w:tcMar>
          </w:tcPr>
          <w:p>
            <w:pPr>
              <w:spacing w:after="0"/>
            </w:pPr>
            <w:r>
              <w:rPr>
                <w:rFonts w:ascii="Aptos" w:hAnsi="Aptos" w:eastAsia="Aptos"/>
                <w:color w:val="404040"/>
                <w:sz w:val="18"/>
              </w:rPr>
              <w:t>Problématique et règle de lecture.</w:t>
            </w:r>
          </w:p>
        </w:tc>
      </w:tr>
      <w:tr>
        <w:trPr>
          <w:cantSplit/>
        </w:trPr>
        <w:tc>
          <w:tcPr>
            <w:tcW w:type="dxa" w:w="1134"/>
            <w:tcMar>
              <w:top w:w="90" w:type="dxa"/>
              <w:start w:w="90" w:type="dxa"/>
              <w:bottom w:w="90" w:type="dxa"/>
              <w:end w:w="90" w:type="dxa"/>
            </w:tcMar>
            <w:shd w:fill="FAFAFA"/>
          </w:tcPr>
          <w:p>
            <w:pPr>
              <w:spacing w:after="0"/>
            </w:pPr>
            <w:r>
              <w:rPr>
                <w:rFonts w:ascii="Aptos" w:hAnsi="Aptos" w:eastAsia="Aptos"/>
                <w:color w:val="404040"/>
                <w:sz w:val="18"/>
              </w:rPr>
              <w:t>10 min</w:t>
            </w:r>
          </w:p>
        </w:tc>
        <w:tc>
          <w:tcPr>
            <w:tcW w:type="dxa" w:w="5102"/>
            <w:tcMar>
              <w:top w:w="90" w:type="dxa"/>
              <w:start w:w="90" w:type="dxa"/>
              <w:bottom w:w="90" w:type="dxa"/>
              <w:end w:w="90" w:type="dxa"/>
            </w:tcMar>
            <w:shd w:fill="FAFAFA"/>
          </w:tcPr>
          <w:p>
            <w:pPr>
              <w:spacing w:after="0"/>
            </w:pPr>
            <w:r>
              <w:rPr>
                <w:rFonts w:ascii="Aptos" w:hAnsi="Aptos" w:eastAsia="Aptos"/>
                <w:color w:val="404040"/>
                <w:sz w:val="18"/>
              </w:rPr>
              <w:t>Acte 1 : cellule eucaryote et six dimensions.</w:t>
            </w:r>
          </w:p>
        </w:tc>
        <w:tc>
          <w:tcPr>
            <w:tcW w:type="dxa" w:w="3061"/>
            <w:tcMar>
              <w:top w:w="90" w:type="dxa"/>
              <w:start w:w="90" w:type="dxa"/>
              <w:bottom w:w="90" w:type="dxa"/>
              <w:end w:w="90" w:type="dxa"/>
            </w:tcMar>
            <w:shd w:fill="FAFAFA"/>
          </w:tcPr>
          <w:p>
            <w:pPr>
              <w:spacing w:after="0"/>
            </w:pPr>
            <w:r>
              <w:rPr>
                <w:rFonts w:ascii="Aptos" w:hAnsi="Aptos" w:eastAsia="Aptos"/>
                <w:color w:val="404040"/>
                <w:sz w:val="18"/>
              </w:rPr>
              <w:t>Figure 1 et tableau des dimensions.</w:t>
            </w:r>
          </w:p>
        </w:tc>
      </w:tr>
      <w:tr>
        <w:trPr>
          <w:cantSplit/>
        </w:trPr>
        <w:tc>
          <w:tcPr>
            <w:tcW w:type="dxa" w:w="1134"/>
            <w:tcMar>
              <w:top w:w="90" w:type="dxa"/>
              <w:start w:w="90" w:type="dxa"/>
              <w:bottom w:w="90" w:type="dxa"/>
              <w:end w:w="90" w:type="dxa"/>
            </w:tcMar>
          </w:tcPr>
          <w:p>
            <w:pPr>
              <w:spacing w:after="0"/>
            </w:pPr>
            <w:r>
              <w:rPr>
                <w:rFonts w:ascii="Aptos" w:hAnsi="Aptos" w:eastAsia="Aptos"/>
                <w:color w:val="404040"/>
                <w:sz w:val="18"/>
              </w:rPr>
              <w:t>15 min</w:t>
            </w:r>
          </w:p>
        </w:tc>
        <w:tc>
          <w:tcPr>
            <w:tcW w:type="dxa" w:w="5102"/>
            <w:tcMar>
              <w:top w:w="90" w:type="dxa"/>
              <w:start w:w="90" w:type="dxa"/>
              <w:bottom w:w="90" w:type="dxa"/>
              <w:end w:w="90" w:type="dxa"/>
            </w:tcMar>
          </w:tcPr>
          <w:p>
            <w:pPr>
              <w:spacing w:after="0"/>
            </w:pPr>
            <w:r>
              <w:rPr>
                <w:rFonts w:ascii="Aptos" w:hAnsi="Aptos" w:eastAsia="Aptos"/>
                <w:color w:val="404040"/>
                <w:sz w:val="18"/>
              </w:rPr>
              <w:t>Acte 2 : endosymbiose, liens typés et statuts.</w:t>
            </w:r>
          </w:p>
        </w:tc>
        <w:tc>
          <w:tcPr>
            <w:tcW w:type="dxa" w:w="3061"/>
            <w:tcMar>
              <w:top w:w="90" w:type="dxa"/>
              <w:start w:w="90" w:type="dxa"/>
              <w:bottom w:w="90" w:type="dxa"/>
              <w:end w:w="90" w:type="dxa"/>
            </w:tcMar>
          </w:tcPr>
          <w:p>
            <w:pPr>
              <w:spacing w:after="0"/>
            </w:pPr>
            <w:r>
              <w:rPr>
                <w:rFonts w:ascii="Aptos" w:hAnsi="Aptos" w:eastAsia="Aptos"/>
                <w:color w:val="404040"/>
                <w:sz w:val="18"/>
              </w:rPr>
              <w:t>Figure 2, carte des liens et tableau de preuve.</w:t>
            </w:r>
          </w:p>
        </w:tc>
      </w:tr>
      <w:tr>
        <w:trPr>
          <w:cantSplit/>
        </w:trPr>
        <w:tc>
          <w:tcPr>
            <w:tcW w:type="dxa" w:w="1134"/>
            <w:tcMar>
              <w:top w:w="90" w:type="dxa"/>
              <w:start w:w="90" w:type="dxa"/>
              <w:bottom w:w="90" w:type="dxa"/>
              <w:end w:w="90" w:type="dxa"/>
            </w:tcMar>
            <w:shd w:fill="FAFAFA"/>
          </w:tcPr>
          <w:p>
            <w:pPr>
              <w:spacing w:after="0"/>
            </w:pPr>
            <w:r>
              <w:rPr>
                <w:rFonts w:ascii="Aptos" w:hAnsi="Aptos" w:eastAsia="Aptos"/>
                <w:color w:val="404040"/>
                <w:sz w:val="18"/>
              </w:rPr>
              <w:t>10 min</w:t>
            </w:r>
          </w:p>
        </w:tc>
        <w:tc>
          <w:tcPr>
            <w:tcW w:type="dxa" w:w="5102"/>
            <w:tcMar>
              <w:top w:w="90" w:type="dxa"/>
              <w:start w:w="90" w:type="dxa"/>
              <w:bottom w:w="90" w:type="dxa"/>
              <w:end w:w="90" w:type="dxa"/>
            </w:tcMar>
            <w:shd w:fill="FAFAFA"/>
          </w:tcPr>
          <w:p>
            <w:pPr>
              <w:spacing w:after="0"/>
            </w:pPr>
            <w:r>
              <w:rPr>
                <w:rFonts w:ascii="Aptos" w:hAnsi="Aptos" w:eastAsia="Aptos"/>
                <w:color w:val="404040"/>
                <w:sz w:val="18"/>
              </w:rPr>
              <w:t>Acte 3 : protocole proposé sur la résistance.</w:t>
            </w:r>
          </w:p>
        </w:tc>
        <w:tc>
          <w:tcPr>
            <w:tcW w:type="dxa" w:w="3061"/>
            <w:tcMar>
              <w:top w:w="90" w:type="dxa"/>
              <w:start w:w="90" w:type="dxa"/>
              <w:bottom w:w="90" w:type="dxa"/>
              <w:end w:w="90" w:type="dxa"/>
            </w:tcMar>
            <w:shd w:fill="FAFAFA"/>
          </w:tcPr>
          <w:p>
            <w:pPr>
              <w:spacing w:after="0"/>
            </w:pPr>
            <w:r>
              <w:rPr>
                <w:rFonts w:ascii="Aptos" w:hAnsi="Aptos" w:eastAsia="Aptos"/>
                <w:color w:val="404040"/>
                <w:sz w:val="18"/>
              </w:rPr>
              <w:t>Figure 3, mesures MIC, MDK et Ω.</w:t>
            </w:r>
          </w:p>
        </w:tc>
      </w:tr>
      <w:tr>
        <w:trPr>
          <w:cantSplit/>
        </w:trPr>
        <w:tc>
          <w:tcPr>
            <w:tcW w:type="dxa" w:w="1134"/>
            <w:tcMar>
              <w:top w:w="90" w:type="dxa"/>
              <w:start w:w="90" w:type="dxa"/>
              <w:bottom w:w="90" w:type="dxa"/>
              <w:end w:w="90" w:type="dxa"/>
            </w:tcMar>
          </w:tcPr>
          <w:p>
            <w:pPr>
              <w:spacing w:after="0"/>
            </w:pPr>
            <w:r>
              <w:rPr>
                <w:rFonts w:ascii="Aptos" w:hAnsi="Aptos" w:eastAsia="Aptos"/>
                <w:color w:val="404040"/>
                <w:sz w:val="18"/>
              </w:rPr>
              <w:t>5 min</w:t>
            </w:r>
          </w:p>
        </w:tc>
        <w:tc>
          <w:tcPr>
            <w:tcW w:type="dxa" w:w="5102"/>
            <w:tcMar>
              <w:top w:w="90" w:type="dxa"/>
              <w:start w:w="90" w:type="dxa"/>
              <w:bottom w:w="90" w:type="dxa"/>
              <w:end w:w="90" w:type="dxa"/>
            </w:tcMar>
          </w:tcPr>
          <w:p>
            <w:pPr>
              <w:spacing w:after="0"/>
            </w:pPr>
            <w:r>
              <w:rPr>
                <w:rFonts w:ascii="Aptos" w:hAnsi="Aptos" w:eastAsia="Aptos"/>
                <w:color w:val="404040"/>
                <w:sz w:val="18"/>
              </w:rPr>
              <w:t>Acquis, limites et programme de validation.</w:t>
            </w:r>
          </w:p>
        </w:tc>
        <w:tc>
          <w:tcPr>
            <w:tcW w:type="dxa" w:w="3061"/>
            <w:tcMar>
              <w:top w:w="90" w:type="dxa"/>
              <w:start w:w="90" w:type="dxa"/>
              <w:bottom w:w="90" w:type="dxa"/>
              <w:end w:w="90" w:type="dxa"/>
            </w:tcMar>
          </w:tcPr>
          <w:p>
            <w:pPr>
              <w:spacing w:after="0"/>
            </w:pPr>
            <w:r>
              <w:rPr>
                <w:rFonts w:ascii="Aptos" w:hAnsi="Aptos" w:eastAsia="Aptos"/>
                <w:color w:val="404040"/>
                <w:sz w:val="18"/>
              </w:rPr>
              <w:t>Tableau de synthèse et message final.</w:t>
            </w:r>
          </w:p>
        </w:tc>
      </w:tr>
    </w:tbl>
    <w:p>
      <w:pPr>
        <w:spacing w:after="0"/>
      </w:pPr>
    </w:p>
    <w:p>
      <w:r>
        <w:rPr>
          <w:rFonts w:ascii="Aptos" w:hAnsi="Aptos" w:eastAsia="Aptos"/>
        </w:rPr>
        <w:t>L’introduction doit annoncer que le troisième acte est un protocole proposé. L’exposé gagne en crédibilité lorsque les faits biologiques établis, les interprétations ORI-C et les hypothèses futures sont visuellement distingués.</w:t>
      </w:r>
    </w:p>
    <w:p>
      <w:pPr>
        <w:pStyle w:val="Heading2"/>
      </w:pPr>
      <w:r>
        <w:t>7.2. Article conceptuel ou méthodologique</w:t>
      </w:r>
    </w:p>
    <w:p>
      <w:r>
        <w:rPr>
          <w:rFonts w:ascii="Aptos" w:hAnsi="Aptos" w:eastAsia="Aptos"/>
        </w:rPr>
        <w:t>Le document peut servir de base à un article conceptuel exploratoire. Une structure IMRAD complète ne serait appropriée qu’après exécution d’une expérience et production de résultats. Avant cette étape, le plan recommandé est le suivant :</w:t>
      </w:r>
    </w:p>
    <w:p>
      <w:pPr>
        <w:spacing w:after="60"/>
        <w:ind w:left="369" w:hanging="369"/>
      </w:pPr>
      <w:r>
        <w:rPr>
          <w:rFonts w:ascii="Aptos" w:hAnsi="Aptos" w:eastAsia="Aptos"/>
          <w:b/>
          <w:color w:val="17365D"/>
        </w:rPr>
        <w:t xml:space="preserve">1. </w:t>
      </w:r>
      <w:r>
        <w:rPr>
          <w:rFonts w:ascii="Aptos" w:hAnsi="Aptos" w:eastAsia="Aptos"/>
        </w:rPr>
        <w:t>Problème et objectifs.</w:t>
      </w:r>
    </w:p>
    <w:p>
      <w:pPr>
        <w:spacing w:after="60"/>
        <w:ind w:left="369" w:hanging="369"/>
      </w:pPr>
      <w:r>
        <w:rPr>
          <w:rFonts w:ascii="Aptos" w:hAnsi="Aptos" w:eastAsia="Aptos"/>
          <w:b/>
          <w:color w:val="17365D"/>
        </w:rPr>
        <w:t xml:space="preserve">2. </w:t>
      </w:r>
      <w:r>
        <w:rPr>
          <w:rFonts w:ascii="Aptos" w:hAnsi="Aptos" w:eastAsia="Aptos"/>
        </w:rPr>
        <w:t>Positionnement par rapport aux cadres existants.</w:t>
      </w:r>
    </w:p>
    <w:p>
      <w:pPr>
        <w:spacing w:after="60"/>
        <w:ind w:left="369" w:hanging="369"/>
      </w:pPr>
      <w:r>
        <w:rPr>
          <w:rFonts w:ascii="Aptos" w:hAnsi="Aptos" w:eastAsia="Aptos"/>
          <w:b/>
          <w:color w:val="17365D"/>
        </w:rPr>
        <w:t xml:space="preserve">3. </w:t>
      </w:r>
      <w:r>
        <w:rPr>
          <w:rFonts w:ascii="Aptos" w:hAnsi="Aptos" w:eastAsia="Aptos"/>
        </w:rPr>
        <w:t>Définitions formelles et règles d’attribution.</w:t>
      </w:r>
    </w:p>
    <w:p>
      <w:pPr>
        <w:spacing w:after="60"/>
        <w:ind w:left="369" w:hanging="369"/>
      </w:pPr>
      <w:r>
        <w:rPr>
          <w:rFonts w:ascii="Aptos" w:hAnsi="Aptos" w:eastAsia="Aptos"/>
          <w:b/>
          <w:color w:val="17365D"/>
        </w:rPr>
        <w:t xml:space="preserve">4. </w:t>
      </w:r>
      <w:r>
        <w:rPr>
          <w:rFonts w:ascii="Aptos" w:hAnsi="Aptos" w:eastAsia="Aptos"/>
        </w:rPr>
        <w:t>Application descriptive à la cellule.</w:t>
      </w:r>
    </w:p>
    <w:p>
      <w:pPr>
        <w:spacing w:after="60"/>
        <w:ind w:left="369" w:hanging="369"/>
      </w:pPr>
      <w:r>
        <w:rPr>
          <w:rFonts w:ascii="Aptos" w:hAnsi="Aptos" w:eastAsia="Aptos"/>
          <w:b/>
          <w:color w:val="17365D"/>
        </w:rPr>
        <w:t xml:space="preserve">5. </w:t>
      </w:r>
      <w:r>
        <w:rPr>
          <w:rFonts w:ascii="Aptos" w:hAnsi="Aptos" w:eastAsia="Aptos"/>
        </w:rPr>
        <w:t>Reconstruction de l’endosymbiose mitochondriale.</w:t>
      </w:r>
    </w:p>
    <w:p>
      <w:pPr>
        <w:spacing w:after="60"/>
        <w:ind w:left="369" w:hanging="369"/>
      </w:pPr>
      <w:r>
        <w:rPr>
          <w:rFonts w:ascii="Aptos" w:hAnsi="Aptos" w:eastAsia="Aptos"/>
          <w:b/>
          <w:color w:val="17365D"/>
        </w:rPr>
        <w:t xml:space="preserve">6. </w:t>
      </w:r>
      <w:r>
        <w:rPr>
          <w:rFonts w:ascii="Aptos" w:hAnsi="Aptos" w:eastAsia="Aptos"/>
        </w:rPr>
        <w:t>Proposition de formalisation expérimentale.</w:t>
      </w:r>
    </w:p>
    <w:p>
      <w:pPr>
        <w:spacing w:after="60"/>
        <w:ind w:left="369" w:hanging="369"/>
      </w:pPr>
      <w:r>
        <w:rPr>
          <w:rFonts w:ascii="Aptos" w:hAnsi="Aptos" w:eastAsia="Aptos"/>
          <w:b/>
          <w:color w:val="17365D"/>
        </w:rPr>
        <w:t xml:space="preserve">7. </w:t>
      </w:r>
      <w:r>
        <w:rPr>
          <w:rFonts w:ascii="Aptos" w:hAnsi="Aptos" w:eastAsia="Aptos"/>
        </w:rPr>
        <w:t>Limites, circularité, granularité et critères de réfutation.</w:t>
      </w:r>
    </w:p>
    <w:p>
      <w:pPr>
        <w:spacing w:after="60"/>
        <w:ind w:left="369" w:hanging="369"/>
      </w:pPr>
      <w:r>
        <w:rPr>
          <w:rFonts w:ascii="Aptos" w:hAnsi="Aptos" w:eastAsia="Aptos"/>
          <w:b/>
          <w:color w:val="17365D"/>
        </w:rPr>
        <w:t xml:space="preserve">8. </w:t>
      </w:r>
      <w:r>
        <w:rPr>
          <w:rFonts w:ascii="Aptos" w:hAnsi="Aptos" w:eastAsia="Aptos"/>
        </w:rPr>
        <w:t>Programme de validation comparative.</w:t>
      </w:r>
    </w:p>
    <w:p>
      <w:r>
        <w:rPr>
          <w:rFonts w:ascii="Aptos" w:hAnsi="Aptos" w:eastAsia="Aptos"/>
        </w:rPr>
        <w:t>L’article devra montrer qu’ORI-C apporte davantage qu’un vocabulaire rétrospectif. Cet apport peut prendre la forme d’une distinction conceptuelle absente des cadres existants, d’une méthode reproductible de cartographie, d’une mesure nouvelle, d’une meilleure compression de l’information ou d’une prédiction différente.</w:t>
      </w:r>
    </w:p>
    <w:p>
      <w:pPr>
        <w:pStyle w:val="Heading2"/>
      </w:pPr>
      <w:r>
        <w:t>7.3. Projet de recherche ou demande de financement</w:t>
      </w:r>
    </w:p>
    <w:p>
      <w:r>
        <w:rPr>
          <w:rFonts w:ascii="Aptos" w:hAnsi="Aptos" w:eastAsia="Aptos"/>
        </w:rPr>
        <w:t>L’Acte 3 peut soutenir une proposition de recherche, mais le projet doit être présenté comme une évaluation d’ORI-C. L’état de l’art ne doit pas affirmer que les cadres existants échouent à articuler les régimes sans revue comparative. Une formulation défendable est la suivante : plusieurs disciplines décrivent les transformations historiques à partir de vocabulaires et d’échelles différents. Le projet évaluera si ORI-C peut expliciter certaines relations communes sans effacer les différences propres à chaque domaine.</w:t>
      </w:r>
    </w:p>
    <w:p>
      <w:r>
        <w:rPr>
          <w:rFonts w:ascii="Aptos" w:hAnsi="Aptos" w:eastAsia="Aptos"/>
        </w:rPr>
        <w:t>L’objectif expérimental devient alors : déterminer si l’ajout de variables ou de relations ORI-C améliore la prédiction hors échantillon par rapport à un modèle évolutif plus simple. Le résultat peut favoriser ORI-C, favoriser le modèle de référence, montrer des performances comparables ou rester indécis.</w:t>
      </w:r>
    </w:p>
    <w:p>
      <w:pPr>
        <w:pStyle w:val="Heading2"/>
      </w:pPr>
      <w:r>
        <w:t>7.4. Cours, travaux dirigés ou atelier</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1417"/>
            <w:shd w:fill="17365D"/>
            <w:tcMar>
              <w:top w:w="100" w:type="dxa"/>
              <w:start w:w="90" w:type="dxa"/>
              <w:bottom w:w="100" w:type="dxa"/>
              <w:end w:w="90" w:type="dxa"/>
            </w:tcMar>
          </w:tcPr>
          <w:p>
            <w:pPr>
              <w:jc w:val="left"/>
            </w:pPr>
            <w:r>
              <w:rPr>
                <w:rFonts w:ascii="Aptos" w:hAnsi="Aptos" w:eastAsia="Aptos"/>
                <w:b/>
                <w:color w:val="FFFFFF"/>
                <w:sz w:val="18"/>
              </w:rPr>
              <w:t>Durée</w:t>
            </w:r>
          </w:p>
        </w:tc>
        <w:tc>
          <w:tcPr>
            <w:tcW w:type="dxa" w:w="7880"/>
            <w:shd w:fill="17365D"/>
            <w:tcMar>
              <w:top w:w="100" w:type="dxa"/>
              <w:start w:w="90" w:type="dxa"/>
              <w:bottom w:w="100" w:type="dxa"/>
              <w:end w:w="90" w:type="dxa"/>
            </w:tcMar>
          </w:tcPr>
          <w:p>
            <w:pPr>
              <w:jc w:val="left"/>
            </w:pPr>
            <w:r>
              <w:rPr>
                <w:rFonts w:ascii="Aptos" w:hAnsi="Aptos" w:eastAsia="Aptos"/>
                <w:b/>
                <w:color w:val="FFFFFF"/>
                <w:sz w:val="18"/>
              </w:rPr>
              <w:t>Activité</w:t>
            </w:r>
          </w:p>
        </w:tc>
      </w:tr>
      <w:tr>
        <w:trPr>
          <w:cantSplit/>
        </w:trPr>
        <w:tc>
          <w:tcPr>
            <w:tcW w:type="dxa" w:w="1417"/>
            <w:tcMar>
              <w:top w:w="90" w:type="dxa"/>
              <w:start w:w="90" w:type="dxa"/>
              <w:bottom w:w="90" w:type="dxa"/>
              <w:end w:w="90" w:type="dxa"/>
            </w:tcMar>
          </w:tcPr>
          <w:p>
            <w:pPr>
              <w:spacing w:after="0"/>
            </w:pPr>
            <w:r>
              <w:rPr>
                <w:rFonts w:ascii="Aptos" w:hAnsi="Aptos" w:eastAsia="Aptos"/>
                <w:color w:val="404040"/>
                <w:sz w:val="18"/>
              </w:rPr>
              <w:t>15 min</w:t>
            </w:r>
          </w:p>
        </w:tc>
        <w:tc>
          <w:tcPr>
            <w:tcW w:type="dxa" w:w="7880"/>
            <w:tcMar>
              <w:top w:w="90" w:type="dxa"/>
              <w:start w:w="90" w:type="dxa"/>
              <w:bottom w:w="90" w:type="dxa"/>
              <w:end w:w="90" w:type="dxa"/>
            </w:tcMar>
          </w:tcPr>
          <w:p>
            <w:pPr>
              <w:spacing w:after="0"/>
            </w:pPr>
            <w:r>
              <w:rPr>
                <w:rFonts w:ascii="Aptos" w:hAnsi="Aptos" w:eastAsia="Aptos"/>
                <w:color w:val="404040"/>
                <w:sz w:val="18"/>
              </w:rPr>
              <w:t>Présentation des six dimensions, des liens et des statuts de preuve.</w:t>
            </w:r>
          </w:p>
        </w:tc>
      </w:tr>
      <w:tr>
        <w:trPr>
          <w:cantSplit/>
        </w:trPr>
        <w:tc>
          <w:tcPr>
            <w:tcW w:type="dxa" w:w="1417"/>
            <w:tcMar>
              <w:top w:w="90" w:type="dxa"/>
              <w:start w:w="90" w:type="dxa"/>
              <w:bottom w:w="90" w:type="dxa"/>
              <w:end w:w="90" w:type="dxa"/>
            </w:tcMar>
            <w:shd w:fill="FAFAFA"/>
          </w:tcPr>
          <w:p>
            <w:pPr>
              <w:spacing w:after="0"/>
            </w:pPr>
            <w:r>
              <w:rPr>
                <w:rFonts w:ascii="Aptos" w:hAnsi="Aptos" w:eastAsia="Aptos"/>
                <w:color w:val="404040"/>
                <w:sz w:val="18"/>
              </w:rPr>
              <w:t>20 min</w:t>
            </w:r>
          </w:p>
        </w:tc>
        <w:tc>
          <w:tcPr>
            <w:tcW w:type="dxa" w:w="7880"/>
            <w:tcMar>
              <w:top w:w="90" w:type="dxa"/>
              <w:start w:w="90" w:type="dxa"/>
              <w:bottom w:w="90" w:type="dxa"/>
              <w:end w:w="90" w:type="dxa"/>
            </w:tcMar>
            <w:shd w:fill="FAFAFA"/>
          </w:tcPr>
          <w:p>
            <w:pPr>
              <w:spacing w:after="0"/>
            </w:pPr>
            <w:r>
              <w:rPr>
                <w:rFonts w:ascii="Aptos" w:hAnsi="Aptos" w:eastAsia="Aptos"/>
                <w:color w:val="404040"/>
                <w:sz w:val="18"/>
              </w:rPr>
              <w:t>Description d’un biofilm, d’un lichen ou d’une colonie bactérienne selon les six dimensions.</w:t>
            </w:r>
          </w:p>
        </w:tc>
      </w:tr>
      <w:tr>
        <w:trPr>
          <w:cantSplit/>
        </w:trPr>
        <w:tc>
          <w:tcPr>
            <w:tcW w:type="dxa" w:w="1417"/>
            <w:tcMar>
              <w:top w:w="90" w:type="dxa"/>
              <w:start w:w="90" w:type="dxa"/>
              <w:bottom w:w="90" w:type="dxa"/>
              <w:end w:w="90" w:type="dxa"/>
            </w:tcMar>
          </w:tcPr>
          <w:p>
            <w:pPr>
              <w:spacing w:after="0"/>
            </w:pPr>
            <w:r>
              <w:rPr>
                <w:rFonts w:ascii="Aptos" w:hAnsi="Aptos" w:eastAsia="Aptos"/>
                <w:color w:val="404040"/>
                <w:sz w:val="18"/>
              </w:rPr>
              <w:t>25 min</w:t>
            </w:r>
          </w:p>
        </w:tc>
        <w:tc>
          <w:tcPr>
            <w:tcW w:type="dxa" w:w="7880"/>
            <w:tcMar>
              <w:top w:w="90" w:type="dxa"/>
              <w:start w:w="90" w:type="dxa"/>
              <w:bottom w:w="90" w:type="dxa"/>
              <w:end w:w="90" w:type="dxa"/>
            </w:tcMar>
          </w:tcPr>
          <w:p>
            <w:pPr>
              <w:spacing w:after="0"/>
            </w:pPr>
            <w:r>
              <w:rPr>
                <w:rFonts w:ascii="Aptos" w:hAnsi="Aptos" w:eastAsia="Aptos"/>
                <w:color w:val="404040"/>
                <w:sz w:val="18"/>
              </w:rPr>
              <w:t>Cartographie d’une transition biologique et justification de chaque lien.</w:t>
            </w:r>
          </w:p>
        </w:tc>
      </w:tr>
      <w:tr>
        <w:trPr>
          <w:cantSplit/>
        </w:trPr>
        <w:tc>
          <w:tcPr>
            <w:tcW w:type="dxa" w:w="1417"/>
            <w:tcMar>
              <w:top w:w="90" w:type="dxa"/>
              <w:start w:w="90" w:type="dxa"/>
              <w:bottom w:w="90" w:type="dxa"/>
              <w:end w:w="90" w:type="dxa"/>
            </w:tcMar>
            <w:shd w:fill="FAFAFA"/>
          </w:tcPr>
          <w:p>
            <w:pPr>
              <w:spacing w:after="0"/>
            </w:pPr>
            <w:r>
              <w:rPr>
                <w:rFonts w:ascii="Aptos" w:hAnsi="Aptos" w:eastAsia="Aptos"/>
                <w:color w:val="404040"/>
                <w:sz w:val="18"/>
              </w:rPr>
              <w:t>30 min</w:t>
            </w:r>
          </w:p>
        </w:tc>
        <w:tc>
          <w:tcPr>
            <w:tcW w:type="dxa" w:w="7880"/>
            <w:tcMar>
              <w:top w:w="90" w:type="dxa"/>
              <w:start w:w="90" w:type="dxa"/>
              <w:bottom w:w="90" w:type="dxa"/>
              <w:end w:w="90" w:type="dxa"/>
            </w:tcMar>
            <w:shd w:fill="FAFAFA"/>
          </w:tcPr>
          <w:p>
            <w:pPr>
              <w:spacing w:after="0"/>
            </w:pPr>
            <w:r>
              <w:rPr>
                <w:rFonts w:ascii="Aptos" w:hAnsi="Aptos" w:eastAsia="Aptos"/>
                <w:color w:val="404040"/>
                <w:sz w:val="18"/>
              </w:rPr>
              <w:t>Conception d’un protocole simple avec indicateurs d’ouverture et de contraction.</w:t>
            </w:r>
          </w:p>
        </w:tc>
      </w:tr>
      <w:tr>
        <w:trPr>
          <w:cantSplit/>
        </w:trPr>
        <w:tc>
          <w:tcPr>
            <w:tcW w:type="dxa" w:w="1417"/>
            <w:tcMar>
              <w:top w:w="90" w:type="dxa"/>
              <w:start w:w="90" w:type="dxa"/>
              <w:bottom w:w="90" w:type="dxa"/>
              <w:end w:w="90" w:type="dxa"/>
            </w:tcMar>
          </w:tcPr>
          <w:p>
            <w:pPr>
              <w:spacing w:after="0"/>
            </w:pPr>
            <w:r>
              <w:rPr>
                <w:rFonts w:ascii="Aptos" w:hAnsi="Aptos" w:eastAsia="Aptos"/>
                <w:color w:val="404040"/>
                <w:sz w:val="18"/>
              </w:rPr>
              <w:t>20 min</w:t>
            </w:r>
          </w:p>
        </w:tc>
        <w:tc>
          <w:tcPr>
            <w:tcW w:type="dxa" w:w="7880"/>
            <w:tcMar>
              <w:top w:w="90" w:type="dxa"/>
              <w:start w:w="90" w:type="dxa"/>
              <w:bottom w:w="90" w:type="dxa"/>
              <w:end w:w="90" w:type="dxa"/>
            </w:tcMar>
          </w:tcPr>
          <w:p>
            <w:pPr>
              <w:spacing w:after="0"/>
            </w:pPr>
            <w:r>
              <w:rPr>
                <w:rFonts w:ascii="Aptos" w:hAnsi="Aptos" w:eastAsia="Aptos"/>
                <w:color w:val="404040"/>
                <w:sz w:val="18"/>
              </w:rPr>
              <w:t>Discussion critique : redondance, contre-exemples, réfutabilité et comparaison avec d’autres cadres.</w:t>
            </w:r>
          </w:p>
        </w:tc>
      </w:tr>
      <w:tr>
        <w:trPr>
          <w:cantSplit/>
        </w:trPr>
        <w:tc>
          <w:tcPr>
            <w:tcW w:type="dxa" w:w="1417"/>
            <w:tcMar>
              <w:top w:w="90" w:type="dxa"/>
              <w:start w:w="90" w:type="dxa"/>
              <w:bottom w:w="90" w:type="dxa"/>
              <w:end w:w="90" w:type="dxa"/>
            </w:tcMar>
            <w:shd w:fill="FAFAFA"/>
          </w:tcPr>
          <w:p>
            <w:pPr>
              <w:spacing w:after="0"/>
            </w:pPr>
            <w:r>
              <w:rPr>
                <w:rFonts w:ascii="Aptos" w:hAnsi="Aptos" w:eastAsia="Aptos"/>
                <w:color w:val="404040"/>
                <w:sz w:val="18"/>
              </w:rPr>
              <w:t>10 min</w:t>
            </w:r>
          </w:p>
        </w:tc>
        <w:tc>
          <w:tcPr>
            <w:tcW w:type="dxa" w:w="7880"/>
            <w:tcMar>
              <w:top w:w="90" w:type="dxa"/>
              <w:start w:w="90" w:type="dxa"/>
              <w:bottom w:w="90" w:type="dxa"/>
              <w:end w:w="90" w:type="dxa"/>
            </w:tcMar>
            <w:shd w:fill="FAFAFA"/>
          </w:tcPr>
          <w:p>
            <w:pPr>
              <w:spacing w:after="0"/>
            </w:pPr>
            <w:r>
              <w:rPr>
                <w:rFonts w:ascii="Aptos" w:hAnsi="Aptos" w:eastAsia="Aptos"/>
                <w:color w:val="404040"/>
                <w:sz w:val="18"/>
              </w:rPr>
              <w:t>Synthèse et restitution des désaccords entre groupes.</w:t>
            </w:r>
          </w:p>
        </w:tc>
      </w:tr>
    </w:tbl>
    <w:p>
      <w:pPr>
        <w:spacing w:after="0"/>
      </w:pPr>
    </w:p>
    <w:p>
      <w:r>
        <w:rPr>
          <w:rFonts w:ascii="Aptos" w:hAnsi="Aptos" w:eastAsia="Aptos"/>
        </w:rPr>
        <w:t>L’intérêt pédagogique vient de l’obligation de justifier les catégories et de proposer des observations capables de contredire une interprétation. ORI-C doit être présenté comme un outil d’analyse à évaluer, et non comme une vérité à appliquer.</w:t>
      </w:r>
    </w:p>
    <w:p>
      <w:r>
        <w:br w:type="page"/>
      </w:r>
    </w:p>
    <w:p>
      <w:pPr>
        <w:pStyle w:val="Heading1"/>
      </w:pPr>
      <w:r>
        <w:t>8. État d’avancement scientifique</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3288"/>
            <w:shd w:fill="17365D"/>
            <w:tcMar>
              <w:top w:w="100" w:type="dxa"/>
              <w:start w:w="90" w:type="dxa"/>
              <w:bottom w:w="100" w:type="dxa"/>
              <w:end w:w="90" w:type="dxa"/>
            </w:tcMar>
          </w:tcPr>
          <w:p>
            <w:pPr>
              <w:jc w:val="left"/>
            </w:pPr>
            <w:r>
              <w:rPr>
                <w:rFonts w:ascii="Aptos" w:hAnsi="Aptos" w:eastAsia="Aptos"/>
                <w:b/>
                <w:color w:val="FFFFFF"/>
                <w:sz w:val="17"/>
              </w:rPr>
              <w:t>Élément</w:t>
            </w:r>
          </w:p>
        </w:tc>
        <w:tc>
          <w:tcPr>
            <w:tcW w:type="dxa" w:w="6009"/>
            <w:shd w:fill="17365D"/>
            <w:tcMar>
              <w:top w:w="100" w:type="dxa"/>
              <w:start w:w="90" w:type="dxa"/>
              <w:bottom w:w="100" w:type="dxa"/>
              <w:end w:w="90" w:type="dxa"/>
            </w:tcMar>
          </w:tcPr>
          <w:p>
            <w:pPr>
              <w:jc w:val="left"/>
            </w:pPr>
            <w:r>
              <w:rPr>
                <w:rFonts w:ascii="Aptos" w:hAnsi="Aptos" w:eastAsia="Aptos"/>
                <w:b/>
                <w:color w:val="FFFFFF"/>
                <w:sz w:val="17"/>
              </w:rPr>
              <w:t>Statut actuel</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Six dimensions ORI-C</w:t>
            </w:r>
          </w:p>
        </w:tc>
        <w:tc>
          <w:tcPr>
            <w:tcW w:type="dxa" w:w="6009"/>
            <w:tcMar>
              <w:top w:w="90" w:type="dxa"/>
              <w:start w:w="90" w:type="dxa"/>
              <w:bottom w:w="90" w:type="dxa"/>
              <w:end w:w="90" w:type="dxa"/>
            </w:tcMar>
          </w:tcPr>
          <w:p>
            <w:pPr>
              <w:spacing w:after="0"/>
            </w:pPr>
            <w:r>
              <w:rPr>
                <w:rFonts w:ascii="Aptos" w:hAnsi="Aptos" w:eastAsia="Aptos"/>
                <w:color w:val="404040"/>
                <w:sz w:val="17"/>
              </w:rPr>
              <w:t>Définies dans le cadre. Leur indépendance et leur exhaustivité restent à examiner.</w:t>
            </w:r>
          </w:p>
        </w:tc>
      </w:tr>
      <w:tr>
        <w:trPr>
          <w:cantSplit/>
        </w:trPr>
        <w:tc>
          <w:tcPr>
            <w:tcW w:type="dxa" w:w="3288"/>
            <w:tcMar>
              <w:top w:w="90" w:type="dxa"/>
              <w:start w:w="90" w:type="dxa"/>
              <w:bottom w:w="90" w:type="dxa"/>
              <w:end w:w="90" w:type="dxa"/>
            </w:tcMar>
            <w:shd w:fill="FAFAFA"/>
          </w:tcPr>
          <w:p>
            <w:pPr>
              <w:spacing w:after="0"/>
            </w:pPr>
            <w:r>
              <w:rPr>
                <w:rFonts w:ascii="Aptos" w:hAnsi="Aptos" w:eastAsia="Aptos"/>
                <w:color w:val="404040"/>
                <w:sz w:val="17"/>
              </w:rPr>
              <w:t>Codes de liens</w:t>
            </w:r>
          </w:p>
        </w:tc>
        <w:tc>
          <w:tcPr>
            <w:tcW w:type="dxa" w:w="6009"/>
            <w:tcMar>
              <w:top w:w="90" w:type="dxa"/>
              <w:start w:w="90" w:type="dxa"/>
              <w:bottom w:w="90" w:type="dxa"/>
              <w:end w:w="90" w:type="dxa"/>
            </w:tcMar>
            <w:shd w:fill="FAFAFA"/>
          </w:tcPr>
          <w:p>
            <w:pPr>
              <w:spacing w:after="0"/>
            </w:pPr>
            <w:r>
              <w:rPr>
                <w:rFonts w:ascii="Aptos" w:hAnsi="Aptos" w:eastAsia="Aptos"/>
                <w:color w:val="404040"/>
                <w:sz w:val="17"/>
              </w:rPr>
              <w:t>Disponibles, mais demandent un dictionnaire stable et des règles d’attribution reproductibles.</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Application à la cellule</w:t>
            </w:r>
          </w:p>
        </w:tc>
        <w:tc>
          <w:tcPr>
            <w:tcW w:type="dxa" w:w="6009"/>
            <w:tcMar>
              <w:top w:w="90" w:type="dxa"/>
              <w:start w:w="90" w:type="dxa"/>
              <w:bottom w:w="90" w:type="dxa"/>
              <w:end w:w="90" w:type="dxa"/>
            </w:tcMar>
          </w:tcPr>
          <w:p>
            <w:pPr>
              <w:spacing w:after="0"/>
            </w:pPr>
            <w:r>
              <w:rPr>
                <w:rFonts w:ascii="Aptos" w:hAnsi="Aptos" w:eastAsia="Aptos"/>
                <w:color w:val="404040"/>
                <w:sz w:val="17"/>
              </w:rPr>
              <w:t>Illustration descriptive réalisée.</w:t>
            </w:r>
          </w:p>
        </w:tc>
      </w:tr>
      <w:tr>
        <w:trPr>
          <w:cantSplit/>
        </w:trPr>
        <w:tc>
          <w:tcPr>
            <w:tcW w:type="dxa" w:w="3288"/>
            <w:tcMar>
              <w:top w:w="90" w:type="dxa"/>
              <w:start w:w="90" w:type="dxa"/>
              <w:bottom w:w="90" w:type="dxa"/>
              <w:end w:w="90" w:type="dxa"/>
            </w:tcMar>
            <w:shd w:fill="FAFAFA"/>
          </w:tcPr>
          <w:p>
            <w:pPr>
              <w:spacing w:after="0"/>
            </w:pPr>
            <w:r>
              <w:rPr>
                <w:rFonts w:ascii="Aptos" w:hAnsi="Aptos" w:eastAsia="Aptos"/>
                <w:color w:val="404040"/>
                <w:sz w:val="17"/>
              </w:rPr>
              <w:t>Application à l’endosymbiose</w:t>
            </w:r>
          </w:p>
        </w:tc>
        <w:tc>
          <w:tcPr>
            <w:tcW w:type="dxa" w:w="6009"/>
            <w:tcMar>
              <w:top w:w="90" w:type="dxa"/>
              <w:start w:w="90" w:type="dxa"/>
              <w:bottom w:w="90" w:type="dxa"/>
              <w:end w:w="90" w:type="dxa"/>
            </w:tcMar>
            <w:shd w:fill="FAFAFA"/>
          </w:tcPr>
          <w:p>
            <w:pPr>
              <w:spacing w:after="0"/>
            </w:pPr>
            <w:r>
              <w:rPr>
                <w:rFonts w:ascii="Aptos" w:hAnsi="Aptos" w:eastAsia="Aptos"/>
                <w:color w:val="404040"/>
                <w:sz w:val="17"/>
              </w:rPr>
              <w:t>Cartographie conceptuelle réalisée à partir de connaissances existantes.</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Applicabilité générale au vivant</w:t>
            </w:r>
          </w:p>
        </w:tc>
        <w:tc>
          <w:tcPr>
            <w:tcW w:type="dxa" w:w="6009"/>
            <w:tcMar>
              <w:top w:w="90" w:type="dxa"/>
              <w:start w:w="90" w:type="dxa"/>
              <w:bottom w:w="90" w:type="dxa"/>
              <w:end w:w="90" w:type="dxa"/>
            </w:tcMar>
          </w:tcPr>
          <w:p>
            <w:pPr>
              <w:spacing w:after="0"/>
            </w:pPr>
            <w:r>
              <w:rPr>
                <w:rFonts w:ascii="Aptos" w:hAnsi="Aptos" w:eastAsia="Aptos"/>
                <w:color w:val="404040"/>
                <w:sz w:val="17"/>
              </w:rPr>
              <w:t>Non établie.</w:t>
            </w:r>
          </w:p>
        </w:tc>
      </w:tr>
      <w:tr>
        <w:trPr>
          <w:cantSplit/>
        </w:trPr>
        <w:tc>
          <w:tcPr>
            <w:tcW w:type="dxa" w:w="3288"/>
            <w:tcMar>
              <w:top w:w="90" w:type="dxa"/>
              <w:start w:w="90" w:type="dxa"/>
              <w:bottom w:w="90" w:type="dxa"/>
              <w:end w:w="90" w:type="dxa"/>
            </w:tcMar>
            <w:shd w:fill="FAFAFA"/>
          </w:tcPr>
          <w:p>
            <w:pPr>
              <w:spacing w:after="0"/>
            </w:pPr>
            <w:r>
              <w:rPr>
                <w:rFonts w:ascii="Aptos" w:hAnsi="Aptos" w:eastAsia="Aptos"/>
                <w:color w:val="404040"/>
                <w:sz w:val="17"/>
              </w:rPr>
              <w:t>Protocole sur la résistance</w:t>
            </w:r>
          </w:p>
        </w:tc>
        <w:tc>
          <w:tcPr>
            <w:tcW w:type="dxa" w:w="6009"/>
            <w:tcMar>
              <w:top w:w="90" w:type="dxa"/>
              <w:start w:w="90" w:type="dxa"/>
              <w:bottom w:w="90" w:type="dxa"/>
              <w:end w:w="90" w:type="dxa"/>
            </w:tcMar>
            <w:shd w:fill="FAFAFA"/>
          </w:tcPr>
          <w:p>
            <w:pPr>
              <w:spacing w:after="0"/>
            </w:pPr>
            <w:r>
              <w:rPr>
                <w:rFonts w:ascii="Aptos" w:hAnsi="Aptos" w:eastAsia="Aptos"/>
                <w:color w:val="404040"/>
                <w:sz w:val="17"/>
              </w:rPr>
              <w:t>Esquisse méthodologique détaillée, à transformer en protocole de laboratoire.</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Variable Ω</w:t>
            </w:r>
          </w:p>
        </w:tc>
        <w:tc>
          <w:tcPr>
            <w:tcW w:type="dxa" w:w="6009"/>
            <w:tcMar>
              <w:top w:w="90" w:type="dxa"/>
              <w:start w:w="90" w:type="dxa"/>
              <w:bottom w:w="90" w:type="dxa"/>
              <w:end w:w="90" w:type="dxa"/>
            </w:tcMar>
          </w:tcPr>
          <w:p>
            <w:pPr>
              <w:spacing w:after="0"/>
            </w:pPr>
            <w:r>
              <w:rPr>
                <w:rFonts w:ascii="Aptos" w:hAnsi="Aptos" w:eastAsia="Aptos"/>
                <w:color w:val="404040"/>
                <w:sz w:val="17"/>
              </w:rPr>
              <w:t>Conceptuelle, sans définition opérationnelle unique.</w:t>
            </w:r>
          </w:p>
        </w:tc>
      </w:tr>
      <w:tr>
        <w:trPr>
          <w:cantSplit/>
        </w:trPr>
        <w:tc>
          <w:tcPr>
            <w:tcW w:type="dxa" w:w="3288"/>
            <w:tcMar>
              <w:top w:w="90" w:type="dxa"/>
              <w:start w:w="90" w:type="dxa"/>
              <w:bottom w:w="90" w:type="dxa"/>
              <w:end w:w="90" w:type="dxa"/>
            </w:tcMar>
            <w:shd w:fill="FAFAFA"/>
          </w:tcPr>
          <w:p>
            <w:pPr>
              <w:spacing w:after="0"/>
            </w:pPr>
            <w:r>
              <w:rPr>
                <w:rFonts w:ascii="Aptos" w:hAnsi="Aptos" w:eastAsia="Aptos"/>
                <w:color w:val="404040"/>
                <w:sz w:val="17"/>
              </w:rPr>
              <w:t>Prédictions propres à ORI-C</w:t>
            </w:r>
          </w:p>
        </w:tc>
        <w:tc>
          <w:tcPr>
            <w:tcW w:type="dxa" w:w="6009"/>
            <w:tcMar>
              <w:top w:w="90" w:type="dxa"/>
              <w:start w:w="90" w:type="dxa"/>
              <w:bottom w:w="90" w:type="dxa"/>
              <w:end w:w="90" w:type="dxa"/>
            </w:tcMar>
            <w:shd w:fill="FAFAFA"/>
          </w:tcPr>
          <w:p>
            <w:pPr>
              <w:spacing w:after="0"/>
            </w:pPr>
            <w:r>
              <w:rPr>
                <w:rFonts w:ascii="Aptos" w:hAnsi="Aptos" w:eastAsia="Aptos"/>
                <w:color w:val="404040"/>
                <w:sz w:val="17"/>
              </w:rPr>
              <w:t>Absentes.</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Résultats expérimentaux ORI-C</w:t>
            </w:r>
          </w:p>
        </w:tc>
        <w:tc>
          <w:tcPr>
            <w:tcW w:type="dxa" w:w="6009"/>
            <w:tcMar>
              <w:top w:w="90" w:type="dxa"/>
              <w:start w:w="90" w:type="dxa"/>
              <w:bottom w:w="90" w:type="dxa"/>
              <w:end w:w="90" w:type="dxa"/>
            </w:tcMar>
          </w:tcPr>
          <w:p>
            <w:pPr>
              <w:spacing w:after="0"/>
            </w:pPr>
            <w:r>
              <w:rPr>
                <w:rFonts w:ascii="Aptos" w:hAnsi="Aptos" w:eastAsia="Aptos"/>
                <w:color w:val="404040"/>
                <w:sz w:val="17"/>
              </w:rPr>
              <w:t>Absents.</w:t>
            </w:r>
          </w:p>
        </w:tc>
      </w:tr>
      <w:tr>
        <w:trPr>
          <w:cantSplit/>
        </w:trPr>
        <w:tc>
          <w:tcPr>
            <w:tcW w:type="dxa" w:w="3288"/>
            <w:tcMar>
              <w:top w:w="90" w:type="dxa"/>
              <w:start w:w="90" w:type="dxa"/>
              <w:bottom w:w="90" w:type="dxa"/>
              <w:end w:w="90" w:type="dxa"/>
            </w:tcMar>
            <w:shd w:fill="FAFAFA"/>
          </w:tcPr>
          <w:p>
            <w:pPr>
              <w:spacing w:after="0"/>
            </w:pPr>
            <w:r>
              <w:rPr>
                <w:rFonts w:ascii="Aptos" w:hAnsi="Aptos" w:eastAsia="Aptos"/>
                <w:color w:val="404040"/>
                <w:sz w:val="17"/>
              </w:rPr>
              <w:t>Falsifiabilité d’une chaîne formalisée</w:t>
            </w:r>
          </w:p>
        </w:tc>
        <w:tc>
          <w:tcPr>
            <w:tcW w:type="dxa" w:w="6009"/>
            <w:tcMar>
              <w:top w:w="90" w:type="dxa"/>
              <w:start w:w="90" w:type="dxa"/>
              <w:bottom w:w="90" w:type="dxa"/>
              <w:end w:w="90" w:type="dxa"/>
            </w:tcMar>
            <w:shd w:fill="FAFAFA"/>
          </w:tcPr>
          <w:p>
            <w:pPr>
              <w:spacing w:after="0"/>
            </w:pPr>
            <w:r>
              <w:rPr>
                <w:rFonts w:ascii="Aptos" w:hAnsi="Aptos" w:eastAsia="Aptos"/>
                <w:color w:val="404040"/>
                <w:sz w:val="17"/>
              </w:rPr>
              <w:t>Potentiellement accessible.</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Falsifiabilité globale</w:t>
            </w:r>
          </w:p>
        </w:tc>
        <w:tc>
          <w:tcPr>
            <w:tcW w:type="dxa" w:w="6009"/>
            <w:tcMar>
              <w:top w:w="90" w:type="dxa"/>
              <w:start w:w="90" w:type="dxa"/>
              <w:bottom w:w="90" w:type="dxa"/>
              <w:end w:w="90" w:type="dxa"/>
            </w:tcMar>
          </w:tcPr>
          <w:p>
            <w:pPr>
              <w:spacing w:after="0"/>
            </w:pPr>
            <w:r>
              <w:rPr>
                <w:rFonts w:ascii="Aptos" w:hAnsi="Aptos" w:eastAsia="Aptos"/>
                <w:color w:val="404040"/>
                <w:sz w:val="17"/>
              </w:rPr>
              <w:t>Non établie tant que les règles de révision restent ouvertes.</w:t>
            </w:r>
          </w:p>
        </w:tc>
      </w:tr>
      <w:tr>
        <w:trPr>
          <w:cantSplit/>
        </w:trPr>
        <w:tc>
          <w:tcPr>
            <w:tcW w:type="dxa" w:w="3288"/>
            <w:tcMar>
              <w:top w:w="90" w:type="dxa"/>
              <w:start w:w="90" w:type="dxa"/>
              <w:bottom w:w="90" w:type="dxa"/>
              <w:end w:w="90" w:type="dxa"/>
            </w:tcMar>
            <w:shd w:fill="FAFAFA"/>
          </w:tcPr>
          <w:p>
            <w:pPr>
              <w:spacing w:after="0"/>
            </w:pPr>
            <w:r>
              <w:rPr>
                <w:rFonts w:ascii="Aptos" w:hAnsi="Aptos" w:eastAsia="Aptos"/>
                <w:color w:val="404040"/>
                <w:sz w:val="17"/>
              </w:rPr>
              <w:t>Comparaison avec d’autres cadres</w:t>
            </w:r>
          </w:p>
        </w:tc>
        <w:tc>
          <w:tcPr>
            <w:tcW w:type="dxa" w:w="6009"/>
            <w:tcMar>
              <w:top w:w="90" w:type="dxa"/>
              <w:start w:w="90" w:type="dxa"/>
              <w:bottom w:w="90" w:type="dxa"/>
              <w:end w:w="90" w:type="dxa"/>
            </w:tcMar>
            <w:shd w:fill="FAFAFA"/>
          </w:tcPr>
          <w:p>
            <w:pPr>
              <w:spacing w:after="0"/>
            </w:pPr>
            <w:r>
              <w:rPr>
                <w:rFonts w:ascii="Aptos" w:hAnsi="Aptos" w:eastAsia="Aptos"/>
                <w:color w:val="404040"/>
                <w:sz w:val="17"/>
              </w:rPr>
              <w:t>À réaliser.</w:t>
            </w:r>
          </w:p>
        </w:tc>
      </w:tr>
      <w:tr>
        <w:trPr>
          <w:cantSplit/>
        </w:trPr>
        <w:tc>
          <w:tcPr>
            <w:tcW w:type="dxa" w:w="3288"/>
            <w:tcMar>
              <w:top w:w="90" w:type="dxa"/>
              <w:start w:w="90" w:type="dxa"/>
              <w:bottom w:w="90" w:type="dxa"/>
              <w:end w:w="90" w:type="dxa"/>
            </w:tcMar>
          </w:tcPr>
          <w:p>
            <w:pPr>
              <w:spacing w:after="0"/>
            </w:pPr>
            <w:r>
              <w:rPr>
                <w:rFonts w:ascii="Aptos" w:hAnsi="Aptos" w:eastAsia="Aptos"/>
                <w:color w:val="404040"/>
                <w:sz w:val="17"/>
              </w:rPr>
              <w:t>Universalité</w:t>
            </w:r>
          </w:p>
        </w:tc>
        <w:tc>
          <w:tcPr>
            <w:tcW w:type="dxa" w:w="6009"/>
            <w:tcMar>
              <w:top w:w="90" w:type="dxa"/>
              <w:start w:w="90" w:type="dxa"/>
              <w:bottom w:w="90" w:type="dxa"/>
              <w:end w:w="90" w:type="dxa"/>
            </w:tcMar>
          </w:tcPr>
          <w:p>
            <w:pPr>
              <w:spacing w:after="0"/>
            </w:pPr>
            <w:r>
              <w:rPr>
                <w:rFonts w:ascii="Aptos" w:hAnsi="Aptos" w:eastAsia="Aptos"/>
                <w:color w:val="404040"/>
                <w:sz w:val="17"/>
              </w:rPr>
              <w:t>Hypothèse de programme.</w:t>
            </w:r>
          </w:p>
        </w:tc>
      </w:tr>
    </w:tbl>
    <w:p>
      <w:pPr>
        <w:spacing w:after="0"/>
      </w:pPr>
    </w:p>
    <w:tbl>
      <w:tblPr>
        <w:tblW w:type="auto" w:w="0"/>
        <w:jc w:val="center"/>
        <w:tblLook w:firstColumn="1" w:firstRow="1" w:lastColumn="0" w:lastRow="0" w:noHBand="0" w:noVBand="1" w:val="04A0"/>
      </w:tblPr>
      <w:tblGrid>
        <w:gridCol w:w="9688"/>
      </w:tblGrid>
      <w:tr>
        <w:tc>
          <w:tcPr>
            <w:tcW w:type="dxa" w:w="9688"/>
            <w:shd w:fill="EEF3F8"/>
            <w:tcMar>
              <w:top w:w="140" w:type="dxa"/>
              <w:start w:w="170" w:type="dxa"/>
              <w:bottom w:w="140" w:type="dxa"/>
              <w:end w:w="170" w:type="dxa"/>
            </w:tcMar>
            <w:tcBorders>
              <w:top w:val="single" w:sz="8" w:color="17365D"/>
              <w:left w:val="single" w:sz="8" w:color="17365D"/>
              <w:bottom w:val="single" w:sz="8" w:color="17365D"/>
              <w:right w:val="single" w:sz="8" w:color="17365D"/>
            </w:tcBorders>
          </w:tcPr>
          <w:p>
            <w:r>
              <w:rPr>
                <w:rFonts w:ascii="Aptos" w:hAnsi="Aptos" w:eastAsia="Aptos"/>
                <w:b/>
                <w:color w:val="17365D"/>
                <w:sz w:val="20"/>
              </w:rPr>
              <w:t>FORMULATION GLOBALE RECOMMANDÉE</w:t>
            </w:r>
          </w:p>
          <w:p>
            <w:pPr>
              <w:spacing w:after="0"/>
            </w:pPr>
            <w:r>
              <w:rPr>
                <w:rFonts w:ascii="Aptos" w:hAnsi="Aptos" w:eastAsia="Aptos"/>
                <w:color w:val="404040"/>
                <w:sz w:val="19"/>
              </w:rPr>
              <w:t>Le formalisme ORI-C demeure compatible avec les cas biologiques examinés après clarification de ses catégories. Il constitue une base conceptuelle structurée, prête à être soumise à une formalisation et à une évaluation comparative.</w:t>
            </w:r>
          </w:p>
        </w:tc>
      </w:tr>
    </w:tbl>
    <w:p>
      <w:pPr>
        <w:spacing w:after="0"/>
      </w:pPr>
    </w:p>
    <w:p>
      <w:r>
        <w:br w:type="page"/>
      </w:r>
    </w:p>
    <w:p>
      <w:pPr>
        <w:pStyle w:val="Heading1"/>
      </w:pPr>
      <w:r>
        <w:t>9. Programme de formalisation et de validation</w:t>
      </w:r>
    </w:p>
    <w:p>
      <w:r>
        <w:rPr>
          <w:rFonts w:ascii="Aptos" w:hAnsi="Aptos" w:eastAsia="Aptos"/>
        </w:rPr>
        <w:t>La prochaine étape scientifique consiste à construire un premier objet formel minimal. L’ambition n’est pas de tester immédiatement l’ensemble d’ORI-C, mais de choisir une chaîne précise, de la rendre calculable et de définir les résultats qui compteraient contre elle.</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2665"/>
            <w:shd w:fill="17365D"/>
            <w:tcMar>
              <w:top w:w="100" w:type="dxa"/>
              <w:start w:w="90" w:type="dxa"/>
              <w:bottom w:w="100" w:type="dxa"/>
              <w:end w:w="90" w:type="dxa"/>
            </w:tcMar>
          </w:tcPr>
          <w:p>
            <w:pPr>
              <w:jc w:val="left"/>
            </w:pPr>
            <w:r>
              <w:rPr>
                <w:rFonts w:ascii="Aptos" w:hAnsi="Aptos" w:eastAsia="Aptos"/>
                <w:b/>
                <w:color w:val="FFFFFF"/>
                <w:sz w:val="18"/>
              </w:rPr>
              <w:t>Étape</w:t>
            </w:r>
          </w:p>
        </w:tc>
        <w:tc>
          <w:tcPr>
            <w:tcW w:type="dxa" w:w="6633"/>
            <w:shd w:fill="17365D"/>
            <w:tcMar>
              <w:top w:w="100" w:type="dxa"/>
              <w:start w:w="90" w:type="dxa"/>
              <w:bottom w:w="100" w:type="dxa"/>
              <w:end w:w="90" w:type="dxa"/>
            </w:tcMar>
          </w:tcPr>
          <w:p>
            <w:pPr>
              <w:jc w:val="left"/>
            </w:pPr>
            <w:r>
              <w:rPr>
                <w:rFonts w:ascii="Aptos" w:hAnsi="Aptos" w:eastAsia="Aptos"/>
                <w:b/>
                <w:color w:val="FFFFFF"/>
                <w:sz w:val="18"/>
              </w:rPr>
              <w:t>Contenu</w:t>
            </w:r>
          </w:p>
        </w:tc>
      </w:tr>
      <w:tr>
        <w:trPr>
          <w:cantSplit/>
        </w:trPr>
        <w:tc>
          <w:tcPr>
            <w:tcW w:type="dxa" w:w="2665"/>
            <w:tcMar>
              <w:top w:w="90" w:type="dxa"/>
              <w:start w:w="90" w:type="dxa"/>
              <w:bottom w:w="90" w:type="dxa"/>
              <w:end w:w="90" w:type="dxa"/>
            </w:tcMar>
          </w:tcPr>
          <w:p>
            <w:pPr>
              <w:spacing w:after="0"/>
            </w:pPr>
            <w:r>
              <w:rPr>
                <w:rFonts w:ascii="Aptos" w:hAnsi="Aptos" w:eastAsia="Aptos"/>
                <w:color w:val="404040"/>
                <w:sz w:val="18"/>
              </w:rPr>
              <w:t>Choisir une chaîne unique</w:t>
            </w:r>
          </w:p>
        </w:tc>
        <w:tc>
          <w:tcPr>
            <w:tcW w:type="dxa" w:w="6633"/>
            <w:tcMar>
              <w:top w:w="90" w:type="dxa"/>
              <w:start w:w="90" w:type="dxa"/>
              <w:bottom w:w="90" w:type="dxa"/>
              <w:end w:w="90" w:type="dxa"/>
            </w:tcMar>
          </w:tcPr>
          <w:p>
            <w:pPr>
              <w:spacing w:after="0"/>
            </w:pPr>
            <w:r>
              <w:rPr>
                <w:rFonts w:ascii="Aptos" w:hAnsi="Aptos" w:eastAsia="Aptos"/>
                <w:color w:val="404040"/>
                <w:sz w:val="18"/>
              </w:rPr>
              <w:t>Par exemple ENVR → CNST → sélection différentielle → STAB dans une population bactérienne.</w:t>
            </w:r>
          </w:p>
        </w:tc>
      </w:tr>
      <w:tr>
        <w:trPr>
          <w:cantSplit/>
        </w:trPr>
        <w:tc>
          <w:tcPr>
            <w:tcW w:type="dxa" w:w="2665"/>
            <w:tcMar>
              <w:top w:w="90" w:type="dxa"/>
              <w:start w:w="90" w:type="dxa"/>
              <w:bottom w:w="90" w:type="dxa"/>
              <w:end w:w="90" w:type="dxa"/>
            </w:tcMar>
            <w:shd w:fill="FAFAFA"/>
          </w:tcPr>
          <w:p>
            <w:pPr>
              <w:spacing w:after="0"/>
            </w:pPr>
            <w:r>
              <w:rPr>
                <w:rFonts w:ascii="Aptos" w:hAnsi="Aptos" w:eastAsia="Aptos"/>
                <w:color w:val="404040"/>
                <w:sz w:val="18"/>
              </w:rPr>
              <w:t>Fixer l’échelle</w:t>
            </w:r>
          </w:p>
        </w:tc>
        <w:tc>
          <w:tcPr>
            <w:tcW w:type="dxa" w:w="6633"/>
            <w:tcMar>
              <w:top w:w="90" w:type="dxa"/>
              <w:start w:w="90" w:type="dxa"/>
              <w:bottom w:w="90" w:type="dxa"/>
              <w:end w:w="90" w:type="dxa"/>
            </w:tcMar>
            <w:shd w:fill="FAFAFA"/>
          </w:tcPr>
          <w:p>
            <w:pPr>
              <w:spacing w:after="0"/>
            </w:pPr>
            <w:r>
              <w:rPr>
                <w:rFonts w:ascii="Aptos" w:hAnsi="Aptos" w:eastAsia="Aptos"/>
                <w:color w:val="404040"/>
                <w:sz w:val="18"/>
              </w:rPr>
              <w:t>Cellule, clone, génotype, population ou lignée. Les variables doivent appartenir au même niveau ou préciser les passages entre niveaux.</w:t>
            </w:r>
          </w:p>
        </w:tc>
      </w:tr>
      <w:tr>
        <w:trPr>
          <w:cantSplit/>
        </w:trPr>
        <w:tc>
          <w:tcPr>
            <w:tcW w:type="dxa" w:w="2665"/>
            <w:tcMar>
              <w:top w:w="90" w:type="dxa"/>
              <w:start w:w="90" w:type="dxa"/>
              <w:bottom w:w="90" w:type="dxa"/>
              <w:end w:w="90" w:type="dxa"/>
            </w:tcMar>
          </w:tcPr>
          <w:p>
            <w:pPr>
              <w:spacing w:after="0"/>
            </w:pPr>
            <w:r>
              <w:rPr>
                <w:rFonts w:ascii="Aptos" w:hAnsi="Aptos" w:eastAsia="Aptos"/>
                <w:color w:val="404040"/>
                <w:sz w:val="18"/>
              </w:rPr>
              <w:t>Définir les états</w:t>
            </w:r>
          </w:p>
        </w:tc>
        <w:tc>
          <w:tcPr>
            <w:tcW w:type="dxa" w:w="6633"/>
            <w:tcMar>
              <w:top w:w="90" w:type="dxa"/>
              <w:start w:w="90" w:type="dxa"/>
              <w:bottom w:w="90" w:type="dxa"/>
              <w:end w:w="90" w:type="dxa"/>
            </w:tcMar>
          </w:tcPr>
          <w:p>
            <w:pPr>
              <w:spacing w:after="0"/>
            </w:pPr>
            <w:r>
              <w:rPr>
                <w:rFonts w:ascii="Aptos" w:hAnsi="Aptos" w:eastAsia="Aptos"/>
                <w:color w:val="404040"/>
                <w:sz w:val="18"/>
              </w:rPr>
              <w:t>Énumérer les propriétés qui distinguent deux états et les critères de viabilité.</w:t>
            </w:r>
          </w:p>
        </w:tc>
      </w:tr>
      <w:tr>
        <w:trPr>
          <w:cantSplit/>
        </w:trPr>
        <w:tc>
          <w:tcPr>
            <w:tcW w:type="dxa" w:w="2665"/>
            <w:tcMar>
              <w:top w:w="90" w:type="dxa"/>
              <w:start w:w="90" w:type="dxa"/>
              <w:bottom w:w="90" w:type="dxa"/>
              <w:end w:w="90" w:type="dxa"/>
            </w:tcMar>
            <w:shd w:fill="FAFAFA"/>
          </w:tcPr>
          <w:p>
            <w:pPr>
              <w:spacing w:after="0"/>
            </w:pPr>
            <w:r>
              <w:rPr>
                <w:rFonts w:ascii="Aptos" w:hAnsi="Aptos" w:eastAsia="Aptos"/>
                <w:color w:val="404040"/>
                <w:sz w:val="18"/>
              </w:rPr>
              <w:t>Définir Ω</w:t>
            </w:r>
          </w:p>
        </w:tc>
        <w:tc>
          <w:tcPr>
            <w:tcW w:type="dxa" w:w="6633"/>
            <w:tcMar>
              <w:top w:w="90" w:type="dxa"/>
              <w:start w:w="90" w:type="dxa"/>
              <w:bottom w:w="90" w:type="dxa"/>
              <w:end w:w="90" w:type="dxa"/>
            </w:tcMar>
            <w:shd w:fill="FAFAFA"/>
          </w:tcPr>
          <w:p>
            <w:pPr>
              <w:spacing w:after="0"/>
            </w:pPr>
            <w:r>
              <w:rPr>
                <w:rFonts w:ascii="Aptos" w:hAnsi="Aptos" w:eastAsia="Aptos"/>
                <w:color w:val="404040"/>
                <w:sz w:val="18"/>
              </w:rPr>
              <w:t>Choisir une mesure unique ou une combinaison explicitement pondérée.</w:t>
            </w:r>
          </w:p>
        </w:tc>
      </w:tr>
      <w:tr>
        <w:trPr>
          <w:cantSplit/>
        </w:trPr>
        <w:tc>
          <w:tcPr>
            <w:tcW w:type="dxa" w:w="2665"/>
            <w:tcMar>
              <w:top w:w="90" w:type="dxa"/>
              <w:start w:w="90" w:type="dxa"/>
              <w:bottom w:w="90" w:type="dxa"/>
              <w:end w:w="90" w:type="dxa"/>
            </w:tcMar>
          </w:tcPr>
          <w:p>
            <w:pPr>
              <w:spacing w:after="0"/>
            </w:pPr>
            <w:r>
              <w:rPr>
                <w:rFonts w:ascii="Aptos" w:hAnsi="Aptos" w:eastAsia="Aptos"/>
                <w:color w:val="404040"/>
                <w:sz w:val="18"/>
              </w:rPr>
              <w:t>Écrire les règles de transition</w:t>
            </w:r>
          </w:p>
        </w:tc>
        <w:tc>
          <w:tcPr>
            <w:tcW w:type="dxa" w:w="6633"/>
            <w:tcMar>
              <w:top w:w="90" w:type="dxa"/>
              <w:start w:w="90" w:type="dxa"/>
              <w:bottom w:w="90" w:type="dxa"/>
              <w:end w:w="90" w:type="dxa"/>
            </w:tcMar>
          </w:tcPr>
          <w:p>
            <w:pPr>
              <w:spacing w:after="0"/>
            </w:pPr>
            <w:r>
              <w:rPr>
                <w:rFonts w:ascii="Aptos" w:hAnsi="Aptos" w:eastAsia="Aptos"/>
                <w:color w:val="404040"/>
                <w:sz w:val="18"/>
              </w:rPr>
              <w:t>Déterminer comment les changements environnementaux modifient l’accessibilité et la persistance des états.</w:t>
            </w:r>
          </w:p>
        </w:tc>
      </w:tr>
      <w:tr>
        <w:trPr>
          <w:cantSplit/>
        </w:trPr>
        <w:tc>
          <w:tcPr>
            <w:tcW w:type="dxa" w:w="2665"/>
            <w:tcMar>
              <w:top w:w="90" w:type="dxa"/>
              <w:start w:w="90" w:type="dxa"/>
              <w:bottom w:w="90" w:type="dxa"/>
              <w:end w:w="90" w:type="dxa"/>
            </w:tcMar>
            <w:shd w:fill="FAFAFA"/>
          </w:tcPr>
          <w:p>
            <w:pPr>
              <w:spacing w:after="0"/>
            </w:pPr>
            <w:r>
              <w:rPr>
                <w:rFonts w:ascii="Aptos" w:hAnsi="Aptos" w:eastAsia="Aptos"/>
                <w:color w:val="404040"/>
                <w:sz w:val="18"/>
              </w:rPr>
              <w:t>Construire un modèle de référence</w:t>
            </w:r>
          </w:p>
        </w:tc>
        <w:tc>
          <w:tcPr>
            <w:tcW w:type="dxa" w:w="6633"/>
            <w:tcMar>
              <w:top w:w="90" w:type="dxa"/>
              <w:start w:w="90" w:type="dxa"/>
              <w:bottom w:w="90" w:type="dxa"/>
              <w:end w:w="90" w:type="dxa"/>
            </w:tcMar>
            <w:shd w:fill="FAFAFA"/>
          </w:tcPr>
          <w:p>
            <w:pPr>
              <w:spacing w:after="0"/>
            </w:pPr>
            <w:r>
              <w:rPr>
                <w:rFonts w:ascii="Aptos" w:hAnsi="Aptos" w:eastAsia="Aptos"/>
                <w:color w:val="404040"/>
                <w:sz w:val="18"/>
              </w:rPr>
              <w:t>Utiliser un modèle évolutif plus simple avec les mêmes données d’entrée.</w:t>
            </w:r>
          </w:p>
        </w:tc>
      </w:tr>
      <w:tr>
        <w:trPr>
          <w:cantSplit/>
        </w:trPr>
        <w:tc>
          <w:tcPr>
            <w:tcW w:type="dxa" w:w="2665"/>
            <w:tcMar>
              <w:top w:w="90" w:type="dxa"/>
              <w:start w:w="90" w:type="dxa"/>
              <w:bottom w:w="90" w:type="dxa"/>
              <w:end w:w="90" w:type="dxa"/>
            </w:tcMar>
          </w:tcPr>
          <w:p>
            <w:pPr>
              <w:spacing w:after="0"/>
            </w:pPr>
            <w:r>
              <w:rPr>
                <w:rFonts w:ascii="Aptos" w:hAnsi="Aptos" w:eastAsia="Aptos"/>
                <w:color w:val="404040"/>
                <w:sz w:val="18"/>
              </w:rPr>
              <w:t>Formuler des prédictions</w:t>
            </w:r>
          </w:p>
        </w:tc>
        <w:tc>
          <w:tcPr>
            <w:tcW w:type="dxa" w:w="6633"/>
            <w:tcMar>
              <w:top w:w="90" w:type="dxa"/>
              <w:start w:w="90" w:type="dxa"/>
              <w:bottom w:w="90" w:type="dxa"/>
              <w:end w:w="90" w:type="dxa"/>
            </w:tcMar>
          </w:tcPr>
          <w:p>
            <w:pPr>
              <w:spacing w:after="0"/>
            </w:pPr>
            <w:r>
              <w:rPr>
                <w:rFonts w:ascii="Aptos" w:hAnsi="Aptos" w:eastAsia="Aptos"/>
                <w:color w:val="404040"/>
                <w:sz w:val="18"/>
              </w:rPr>
              <w:t>Annoncer des trajectoires ou des distributions avec leurs incertitudes avant l’expérience.</w:t>
            </w:r>
          </w:p>
        </w:tc>
      </w:tr>
      <w:tr>
        <w:trPr>
          <w:cantSplit/>
        </w:trPr>
        <w:tc>
          <w:tcPr>
            <w:tcW w:type="dxa" w:w="2665"/>
            <w:tcMar>
              <w:top w:w="90" w:type="dxa"/>
              <w:start w:w="90" w:type="dxa"/>
              <w:bottom w:w="90" w:type="dxa"/>
              <w:end w:w="90" w:type="dxa"/>
            </w:tcMar>
            <w:shd w:fill="FAFAFA"/>
          </w:tcPr>
          <w:p>
            <w:pPr>
              <w:spacing w:after="0"/>
            </w:pPr>
            <w:r>
              <w:rPr>
                <w:rFonts w:ascii="Aptos" w:hAnsi="Aptos" w:eastAsia="Aptos"/>
                <w:color w:val="404040"/>
                <w:sz w:val="18"/>
              </w:rPr>
              <w:t>Définir l’échec</w:t>
            </w:r>
          </w:p>
        </w:tc>
        <w:tc>
          <w:tcPr>
            <w:tcW w:type="dxa" w:w="6633"/>
            <w:tcMar>
              <w:top w:w="90" w:type="dxa"/>
              <w:start w:w="90" w:type="dxa"/>
              <w:bottom w:w="90" w:type="dxa"/>
              <w:end w:w="90" w:type="dxa"/>
            </w:tcMar>
            <w:shd w:fill="FAFAFA"/>
          </w:tcPr>
          <w:p>
            <w:pPr>
              <w:spacing w:after="0"/>
            </w:pPr>
            <w:r>
              <w:rPr>
                <w:rFonts w:ascii="Aptos" w:hAnsi="Aptos" w:eastAsia="Aptos"/>
                <w:color w:val="404040"/>
                <w:sz w:val="18"/>
              </w:rPr>
              <w:t>Préciser les observations qui réfuteraient ou fragiliseraient la chaîne formalisée.</w:t>
            </w:r>
          </w:p>
        </w:tc>
      </w:tr>
      <w:tr>
        <w:trPr>
          <w:cantSplit/>
        </w:trPr>
        <w:tc>
          <w:tcPr>
            <w:tcW w:type="dxa" w:w="2665"/>
            <w:tcMar>
              <w:top w:w="90" w:type="dxa"/>
              <w:start w:w="90" w:type="dxa"/>
              <w:bottom w:w="90" w:type="dxa"/>
              <w:end w:w="90" w:type="dxa"/>
            </w:tcMar>
          </w:tcPr>
          <w:p>
            <w:pPr>
              <w:spacing w:after="0"/>
            </w:pPr>
            <w:r>
              <w:rPr>
                <w:rFonts w:ascii="Aptos" w:hAnsi="Aptos" w:eastAsia="Aptos"/>
                <w:color w:val="404040"/>
                <w:sz w:val="18"/>
              </w:rPr>
              <w:t>Tester et valider</w:t>
            </w:r>
          </w:p>
        </w:tc>
        <w:tc>
          <w:tcPr>
            <w:tcW w:type="dxa" w:w="6633"/>
            <w:tcMar>
              <w:top w:w="90" w:type="dxa"/>
              <w:start w:w="90" w:type="dxa"/>
              <w:bottom w:w="90" w:type="dxa"/>
              <w:end w:w="90" w:type="dxa"/>
            </w:tcMar>
          </w:tcPr>
          <w:p>
            <w:pPr>
              <w:spacing w:after="0"/>
            </w:pPr>
            <w:r>
              <w:rPr>
                <w:rFonts w:ascii="Aptos" w:hAnsi="Aptos" w:eastAsia="Aptos"/>
                <w:color w:val="404040"/>
                <w:sz w:val="18"/>
              </w:rPr>
              <w:t>Utiliser des répétitions indépendantes et des conditions tenues hors de l’ajustement.</w:t>
            </w:r>
          </w:p>
        </w:tc>
      </w:tr>
      <w:tr>
        <w:trPr>
          <w:cantSplit/>
        </w:trPr>
        <w:tc>
          <w:tcPr>
            <w:tcW w:type="dxa" w:w="2665"/>
            <w:tcMar>
              <w:top w:w="90" w:type="dxa"/>
              <w:start w:w="90" w:type="dxa"/>
              <w:bottom w:w="90" w:type="dxa"/>
              <w:end w:w="90" w:type="dxa"/>
            </w:tcMar>
            <w:shd w:fill="FAFAFA"/>
          </w:tcPr>
          <w:p>
            <w:pPr>
              <w:spacing w:after="0"/>
            </w:pPr>
            <w:r>
              <w:rPr>
                <w:rFonts w:ascii="Aptos" w:hAnsi="Aptos" w:eastAsia="Aptos"/>
                <w:color w:val="404040"/>
                <w:sz w:val="18"/>
              </w:rPr>
              <w:t>Comparer la valeur ajoutée</w:t>
            </w:r>
          </w:p>
        </w:tc>
        <w:tc>
          <w:tcPr>
            <w:tcW w:type="dxa" w:w="6633"/>
            <w:tcMar>
              <w:top w:w="90" w:type="dxa"/>
              <w:start w:w="90" w:type="dxa"/>
              <w:bottom w:w="90" w:type="dxa"/>
              <w:end w:w="90" w:type="dxa"/>
            </w:tcMar>
            <w:shd w:fill="FAFAFA"/>
          </w:tcPr>
          <w:p>
            <w:pPr>
              <w:spacing w:after="0"/>
            </w:pPr>
            <w:r>
              <w:rPr>
                <w:rFonts w:ascii="Aptos" w:hAnsi="Aptos" w:eastAsia="Aptos"/>
                <w:color w:val="404040"/>
                <w:sz w:val="18"/>
              </w:rPr>
              <w:t>Évaluer la précision, la robustesse, l’interprétabilité et le coût de complexité du modèle.</w:t>
            </w:r>
          </w:p>
        </w:tc>
      </w:tr>
    </w:tbl>
    <w:p>
      <w:pPr>
        <w:spacing w:after="0"/>
      </w:pPr>
    </w:p>
    <w:p>
      <w:pPr>
        <w:pStyle w:val="Heading2"/>
      </w:pPr>
      <w:r>
        <w:t>9.1. Résultats possibles d’un premier test</w:t>
      </w:r>
    </w:p>
    <w:tbl>
      <w:tblPr>
        <w:tblStyle w:val="TableGrid"/>
        <w:tblW w:type="auto" w:w="0"/>
        <w:jc w:val="center"/>
        <w:tblLayout w:type="fixed"/>
        <w:tblLook w:firstColumn="1" w:firstRow="1" w:lastColumn="0" w:lastRow="0" w:noHBand="0" w:noVBand="1" w:val="04A0"/>
      </w:tblPr>
      <w:tblGrid>
        <w:gridCol w:w="4844"/>
        <w:gridCol w:w="4844"/>
      </w:tblGrid>
      <w:tr>
        <w:trPr>
          <w:tblHeader w:val="true"/>
        </w:trPr>
        <w:tc>
          <w:tcPr>
            <w:tcW w:type="dxa" w:w="3231"/>
            <w:shd w:fill="17365D"/>
            <w:tcMar>
              <w:top w:w="100" w:type="dxa"/>
              <w:start w:w="90" w:type="dxa"/>
              <w:bottom w:w="100" w:type="dxa"/>
              <w:end w:w="90" w:type="dxa"/>
            </w:tcMar>
          </w:tcPr>
          <w:p>
            <w:pPr>
              <w:jc w:val="left"/>
            </w:pPr>
            <w:r>
              <w:rPr>
                <w:rFonts w:ascii="Aptos" w:hAnsi="Aptos" w:eastAsia="Aptos"/>
                <w:b/>
                <w:color w:val="FFFFFF"/>
                <w:sz w:val="18"/>
              </w:rPr>
              <w:t>Résultat</w:t>
            </w:r>
          </w:p>
        </w:tc>
        <w:tc>
          <w:tcPr>
            <w:tcW w:type="dxa" w:w="6066"/>
            <w:shd w:fill="17365D"/>
            <w:tcMar>
              <w:top w:w="100" w:type="dxa"/>
              <w:start w:w="90" w:type="dxa"/>
              <w:bottom w:w="100" w:type="dxa"/>
              <w:end w:w="90" w:type="dxa"/>
            </w:tcMar>
          </w:tcPr>
          <w:p>
            <w:pPr>
              <w:jc w:val="left"/>
            </w:pPr>
            <w:r>
              <w:rPr>
                <w:rFonts w:ascii="Aptos" w:hAnsi="Aptos" w:eastAsia="Aptos"/>
                <w:b/>
                <w:color w:val="FFFFFF"/>
                <w:sz w:val="18"/>
              </w:rPr>
              <w:t>Interprétation</w:t>
            </w:r>
          </w:p>
        </w:tc>
      </w:tr>
      <w:tr>
        <w:trPr>
          <w:cantSplit/>
        </w:trPr>
        <w:tc>
          <w:tcPr>
            <w:tcW w:type="dxa" w:w="3231"/>
            <w:tcMar>
              <w:top w:w="90" w:type="dxa"/>
              <w:start w:w="90" w:type="dxa"/>
              <w:bottom w:w="90" w:type="dxa"/>
              <w:end w:w="90" w:type="dxa"/>
            </w:tcMar>
          </w:tcPr>
          <w:p>
            <w:pPr>
              <w:spacing w:after="0"/>
            </w:pPr>
            <w:r>
              <w:rPr>
                <w:rFonts w:ascii="Aptos" w:hAnsi="Aptos" w:eastAsia="Aptos"/>
                <w:color w:val="404040"/>
                <w:sz w:val="18"/>
              </w:rPr>
              <w:t>ORI-C prédit mieux hors échantillon</w:t>
            </w:r>
          </w:p>
        </w:tc>
        <w:tc>
          <w:tcPr>
            <w:tcW w:type="dxa" w:w="6066"/>
            <w:tcMar>
              <w:top w:w="90" w:type="dxa"/>
              <w:start w:w="90" w:type="dxa"/>
              <w:bottom w:w="90" w:type="dxa"/>
              <w:end w:w="90" w:type="dxa"/>
            </w:tcMar>
          </w:tcPr>
          <w:p>
            <w:pPr>
              <w:spacing w:after="0"/>
            </w:pPr>
            <w:r>
              <w:rPr>
                <w:rFonts w:ascii="Aptos" w:hAnsi="Aptos" w:eastAsia="Aptos"/>
                <w:color w:val="404040"/>
                <w:sz w:val="18"/>
              </w:rPr>
              <w:t>La chaîne testée apporte une information utile dans les conditions définies.</w:t>
            </w:r>
          </w:p>
        </w:tc>
      </w:tr>
      <w:tr>
        <w:trPr>
          <w:cantSplit/>
        </w:trPr>
        <w:tc>
          <w:tcPr>
            <w:tcW w:type="dxa" w:w="3231"/>
            <w:tcMar>
              <w:top w:w="90" w:type="dxa"/>
              <w:start w:w="90" w:type="dxa"/>
              <w:bottom w:w="90" w:type="dxa"/>
              <w:end w:w="90" w:type="dxa"/>
            </w:tcMar>
            <w:shd w:fill="FAFAFA"/>
          </w:tcPr>
          <w:p>
            <w:pPr>
              <w:spacing w:after="0"/>
            </w:pPr>
            <w:r>
              <w:rPr>
                <w:rFonts w:ascii="Aptos" w:hAnsi="Aptos" w:eastAsia="Aptos"/>
                <w:color w:val="404040"/>
                <w:sz w:val="18"/>
              </w:rPr>
              <w:t>Performances comparables</w:t>
            </w:r>
          </w:p>
        </w:tc>
        <w:tc>
          <w:tcPr>
            <w:tcW w:type="dxa" w:w="6066"/>
            <w:tcMar>
              <w:top w:w="90" w:type="dxa"/>
              <w:start w:w="90" w:type="dxa"/>
              <w:bottom w:w="90" w:type="dxa"/>
              <w:end w:w="90" w:type="dxa"/>
            </w:tcMar>
            <w:shd w:fill="FAFAFA"/>
          </w:tcPr>
          <w:p>
            <w:pPr>
              <w:spacing w:after="0"/>
            </w:pPr>
            <w:r>
              <w:rPr>
                <w:rFonts w:ascii="Aptos" w:hAnsi="Aptos" w:eastAsia="Aptos"/>
                <w:color w:val="404040"/>
                <w:sz w:val="18"/>
              </w:rPr>
              <w:t>Le vocabulaire peut rester descriptif sans gain prédictif démontré.</w:t>
            </w:r>
          </w:p>
        </w:tc>
      </w:tr>
      <w:tr>
        <w:trPr>
          <w:cantSplit/>
        </w:trPr>
        <w:tc>
          <w:tcPr>
            <w:tcW w:type="dxa" w:w="3231"/>
            <w:tcMar>
              <w:top w:w="90" w:type="dxa"/>
              <w:start w:w="90" w:type="dxa"/>
              <w:bottom w:w="90" w:type="dxa"/>
              <w:end w:w="90" w:type="dxa"/>
            </w:tcMar>
          </w:tcPr>
          <w:p>
            <w:pPr>
              <w:spacing w:after="0"/>
            </w:pPr>
            <w:r>
              <w:rPr>
                <w:rFonts w:ascii="Aptos" w:hAnsi="Aptos" w:eastAsia="Aptos"/>
                <w:color w:val="404040"/>
                <w:sz w:val="18"/>
              </w:rPr>
              <w:t>ORI-C prédit moins bien</w:t>
            </w:r>
          </w:p>
        </w:tc>
        <w:tc>
          <w:tcPr>
            <w:tcW w:type="dxa" w:w="6066"/>
            <w:tcMar>
              <w:top w:w="90" w:type="dxa"/>
              <w:start w:w="90" w:type="dxa"/>
              <w:bottom w:w="90" w:type="dxa"/>
              <w:end w:w="90" w:type="dxa"/>
            </w:tcMar>
          </w:tcPr>
          <w:p>
            <w:pPr>
              <w:spacing w:after="0"/>
            </w:pPr>
            <w:r>
              <w:rPr>
                <w:rFonts w:ascii="Aptos" w:hAnsi="Aptos" w:eastAsia="Aptos"/>
                <w:color w:val="404040"/>
                <w:sz w:val="18"/>
              </w:rPr>
              <w:t>La formalisation ou les variables choisies doivent être révisées.</w:t>
            </w:r>
          </w:p>
        </w:tc>
      </w:tr>
      <w:tr>
        <w:trPr>
          <w:cantSplit/>
        </w:trPr>
        <w:tc>
          <w:tcPr>
            <w:tcW w:type="dxa" w:w="3231"/>
            <w:tcMar>
              <w:top w:w="90" w:type="dxa"/>
              <w:start w:w="90" w:type="dxa"/>
              <w:bottom w:w="90" w:type="dxa"/>
              <w:end w:w="90" w:type="dxa"/>
            </w:tcMar>
            <w:shd w:fill="FAFAFA"/>
          </w:tcPr>
          <w:p>
            <w:pPr>
              <w:spacing w:after="0"/>
            </w:pPr>
            <w:r>
              <w:rPr>
                <w:rFonts w:ascii="Aptos" w:hAnsi="Aptos" w:eastAsia="Aptos"/>
                <w:color w:val="404040"/>
                <w:sz w:val="18"/>
              </w:rPr>
              <w:t>Résultat indécis</w:t>
            </w:r>
          </w:p>
        </w:tc>
        <w:tc>
          <w:tcPr>
            <w:tcW w:type="dxa" w:w="6066"/>
            <w:tcMar>
              <w:top w:w="90" w:type="dxa"/>
              <w:start w:w="90" w:type="dxa"/>
              <w:bottom w:w="90" w:type="dxa"/>
              <w:end w:w="90" w:type="dxa"/>
            </w:tcMar>
            <w:shd w:fill="FAFAFA"/>
          </w:tcPr>
          <w:p>
            <w:pPr>
              <w:spacing w:after="0"/>
            </w:pPr>
            <w:r>
              <w:rPr>
                <w:rFonts w:ascii="Aptos" w:hAnsi="Aptos" w:eastAsia="Aptos"/>
                <w:color w:val="404040"/>
                <w:sz w:val="18"/>
              </w:rPr>
              <w:t>Les données, la puissance statistique ou le protocole ne permettent pas de départager les modèles.</w:t>
            </w:r>
          </w:p>
        </w:tc>
      </w:tr>
    </w:tbl>
    <w:p>
      <w:pPr>
        <w:spacing w:after="0"/>
      </w:pPr>
    </w:p>
    <w:p>
      <w:r>
        <w:rPr>
          <w:rFonts w:ascii="Aptos" w:hAnsi="Aptos" w:eastAsia="Aptos"/>
        </w:rPr>
        <w:t>Un résultat négatif sur une chaîne précise ne réfuterait pas automatiquement l’ensemble d’ORI-C. Il fragiliserait la formalisation testée dans les conditions définies. Pour rendre le cadre globalement réfutable, il faudra aussi préciser quelles modifications sont admissibles et à partir de quel point une succession de révisions équivaut à l’abandon d’une proposition.</w:t>
      </w:r>
    </w:p>
    <w:p>
      <w:r>
        <w:br w:type="page"/>
      </w:r>
    </w:p>
    <w:p>
      <w:pPr>
        <w:pStyle w:val="Heading1"/>
      </w:pPr>
      <w:r>
        <w:t>10. Conclusion générale</w:t>
      </w:r>
    </w:p>
    <w:p>
      <w:r>
        <w:rPr>
          <w:rFonts w:ascii="Aptos" w:hAnsi="Aptos" w:eastAsia="Aptos"/>
        </w:rPr>
        <w:t>Le vivant fournit un terrain particulièrement riche pour évaluer ORI-C. La cellule eucaryote montre que la composition ne suffit pas à caractériser une organisation matérielle. L’endosymbiose mitochondriale révèle l’intérêt de distinguer l’ascendance, l’association, l’apport matériel, la transformation du milieu et l’ouverture de possibilités. La résistance aux antibiotiques offre enfin un cas où une contraction et une expansion conditionnelles du domaine de viabilité peuvent être suivies expérimentalement.</w:t>
      </w:r>
    </w:p>
    <w:p>
      <w:r>
        <w:rPr>
          <w:rFonts w:ascii="Aptos" w:hAnsi="Aptos" w:eastAsia="Aptos"/>
        </w:rPr>
        <w:t>Cette démonstration ne valide pas ORI-C comme théorie générale. Elle établit une applicabilité descriptive sur des cas limités, clarifie plusieurs erreurs de catégorie et produit une voie de formalisation expérimentale. La valeur scientifique future du cadre dépendra de sa capacité à stabiliser ses définitions, à rendre ses cartes reproductibles, à produire des prédictions prospectives et à montrer une valeur ajoutée par rapport aux modèles existants.</w:t>
      </w:r>
    </w:p>
    <w:p>
      <w:pPr>
        <w:pStyle w:val="QuoteORI"/>
        <w:pBdr>
          <w:left w:val="single" w:sz="18" w:space="8" w:color="2F6F73"/>
        </w:pBdr>
      </w:pPr>
      <w:r>
        <w:rPr>
          <w:rFonts w:ascii="Aptos" w:hAnsi="Aptos" w:eastAsia="Aptos"/>
          <w:i/>
          <w:color w:val="17365D"/>
          <w:sz w:val="23"/>
        </w:rPr>
        <w:t>Le vivant est un terrain d’élection pour ORI-C parce qu’il permet de confronter un langage de l’histoire matérielle à des archives, à des mécanismes et à des expériences. Le cadre devient scientifique lorsqu’il accepte que ses liens, ses mesures et ses prédictions puissent échouer.</w:t>
      </w:r>
    </w:p>
    <w:p>
      <w:r>
        <w:br w:type="page"/>
      </w:r>
    </w:p>
    <w:p>
      <w:pPr>
        <w:pStyle w:val="Heading1"/>
      </w:pPr>
      <w:r>
        <w:t>Références</w:t>
      </w:r>
    </w:p>
    <w:p>
      <w:pPr>
        <w:pStyle w:val="Small"/>
        <w:ind w:left="170" w:hanging="170"/>
      </w:pPr>
      <w:r>
        <w:rPr>
          <w:rFonts w:ascii="Aptos" w:hAnsi="Aptos" w:eastAsia="Aptos"/>
          <w:color w:val="404040"/>
          <w:sz w:val="18"/>
        </w:rPr>
        <w:t>[1] Alberts, B. et al. Molecular Biology of the Cell. 7e éd. W. W. Norton, 2022.</w:t>
      </w:r>
    </w:p>
    <w:p>
      <w:pPr>
        <w:pStyle w:val="Small"/>
        <w:ind w:left="170" w:hanging="170"/>
      </w:pPr>
      <w:r>
        <w:rPr>
          <w:rFonts w:ascii="Aptos" w:hAnsi="Aptos" w:eastAsia="Aptos"/>
          <w:color w:val="404040"/>
          <w:sz w:val="18"/>
        </w:rPr>
        <w:t>[2] Vosseberg, J. et al. The emerging view on the origin and early evolution of eukaryotic cells. Nature 633, 295–305 (2024).</w:t>
      </w:r>
      <w:r>
        <w:t xml:space="preserve"> </w:t>
      </w:r>
      <w:hyperlink r:id="rId11">
        <w:r>
          <w:rPr>
            <w:color w:val="2F5597"/>
            <w:u w:val="single"/>
            <w:rFonts w:ascii="Aptos" w:hAnsi="Aptos"/>
          </w:rPr>
          <w:t>DOI</w:t>
        </w:r>
      </w:hyperlink>
    </w:p>
    <w:p>
      <w:pPr>
        <w:pStyle w:val="Small"/>
        <w:ind w:left="170" w:hanging="170"/>
      </w:pPr>
      <w:r>
        <w:rPr>
          <w:rFonts w:ascii="Aptos" w:hAnsi="Aptos" w:eastAsia="Aptos"/>
          <w:color w:val="404040"/>
          <w:sz w:val="18"/>
        </w:rPr>
        <w:t>[3] Eme, L. et al. Inference and reconstruction of the heimdallarchaeial ancestry of eukaryotes. Nature 618, 992–999 (2023).</w:t>
      </w:r>
      <w:r>
        <w:t xml:space="preserve"> </w:t>
      </w:r>
      <w:hyperlink r:id="rId12">
        <w:r>
          <w:rPr>
            <w:color w:val="2F5597"/>
            <w:u w:val="single"/>
            <w:rFonts w:ascii="Aptos" w:hAnsi="Aptos"/>
          </w:rPr>
          <w:t>DOI</w:t>
        </w:r>
      </w:hyperlink>
    </w:p>
    <w:p>
      <w:pPr>
        <w:pStyle w:val="Small"/>
        <w:ind w:left="170" w:hanging="170"/>
      </w:pPr>
      <w:hyperlink r:id="rId13">
        <w:r>
          <w:rPr>
            <w:color w:val="2F5597"/>
            <w:u w:val="single"/>
            <w:rFonts w:ascii="Aptos" w:hAnsi="Aptos"/>
          </w:rPr>
          <w:t>DOI</w:t>
        </w:r>
      </w:hyperlink>
      <w:r>
        <w:t>[4] Tobiasson, V. et al. Dominant contribution of Asgard archaea to eukaryogenesis. Nature 650, 141–149 (2026). https://doi.org/10.1038/s41586-025-09960-6.</w:t>
      </w:r>
    </w:p>
    <w:p>
      <w:pPr>
        <w:pStyle w:val="Small"/>
        <w:ind w:left="170" w:hanging="170"/>
      </w:pPr>
      <w:hyperlink r:id="rId14">
        <w:r>
          <w:rPr>
            <w:color w:val="2F5597"/>
            <w:u w:val="single"/>
            <w:rFonts w:ascii="Aptos" w:hAnsi="Aptos"/>
          </w:rPr>
          <w:t>DOI</w:t>
        </w:r>
      </w:hyperlink>
      <w:r>
        <w:t>[5] Kay, C. J. et al. Dated gene duplications elucidate the evolutionary assembly of eukaryotes. Nature 650, 129–140 (2026), publié en ligne en 2025. https://doi.org/10.1038/s41586-025-09808-z.</w:t>
      </w:r>
    </w:p>
    <w:p>
      <w:pPr>
        <w:pStyle w:val="Small"/>
        <w:ind w:left="170" w:hanging="170"/>
      </w:pPr>
      <w:r>
        <w:rPr>
          <w:rFonts w:ascii="Aptos" w:hAnsi="Aptos" w:eastAsia="Aptos"/>
          <w:color w:val="404040"/>
          <w:sz w:val="18"/>
        </w:rPr>
        <w:t>[6] Lane, N. &amp; Martin, W. The energetics of genome complexity. Nature 467, 929–934 (2010).</w:t>
      </w:r>
      <w:r>
        <w:t xml:space="preserve"> </w:t>
      </w:r>
      <w:hyperlink r:id="rId15">
        <w:r>
          <w:rPr>
            <w:color w:val="2F5597"/>
            <w:u w:val="single"/>
            <w:rFonts w:ascii="Aptos" w:hAnsi="Aptos"/>
          </w:rPr>
          <w:t>DOI</w:t>
        </w:r>
      </w:hyperlink>
    </w:p>
    <w:p>
      <w:pPr>
        <w:pStyle w:val="Small"/>
        <w:ind w:left="170" w:hanging="170"/>
      </w:pPr>
      <w:r>
        <w:rPr>
          <w:rFonts w:ascii="Aptos" w:hAnsi="Aptos" w:eastAsia="Aptos"/>
          <w:color w:val="404040"/>
          <w:sz w:val="18"/>
        </w:rPr>
        <w:t>[7] Lynch, M. &amp; Marinov, G. K. Reply to Lane and Martin: mitochondria do not boost the bioenergetic capacity of eukaryotic cells. PNAS 113, E667–E668 (2016).</w:t>
      </w:r>
      <w:r>
        <w:t xml:space="preserve"> </w:t>
      </w:r>
      <w:hyperlink r:id="rId16">
        <w:r>
          <w:rPr>
            <w:color w:val="2F5597"/>
            <w:u w:val="single"/>
            <w:rFonts w:ascii="Aptos" w:hAnsi="Aptos"/>
          </w:rPr>
          <w:t>DOI</w:t>
        </w:r>
      </w:hyperlink>
    </w:p>
    <w:p>
      <w:pPr>
        <w:pStyle w:val="Small"/>
        <w:ind w:left="170" w:hanging="170"/>
      </w:pPr>
      <w:r>
        <w:rPr>
          <w:rFonts w:ascii="Aptos" w:hAnsi="Aptos" w:eastAsia="Aptos"/>
          <w:color w:val="404040"/>
          <w:sz w:val="18"/>
        </w:rPr>
        <w:t>[8] Knoll, A. H. The multiple origins of complex multicellularity. Annual Review of Earth and Planetary Sciences 39, 217–239 (2011).</w:t>
      </w:r>
      <w:r>
        <w:t xml:space="preserve"> </w:t>
      </w:r>
      <w:hyperlink r:id="rId17">
        <w:r>
          <w:rPr>
            <w:color w:val="2F5597"/>
            <w:u w:val="single"/>
            <w:rFonts w:ascii="Aptos" w:hAnsi="Aptos"/>
          </w:rPr>
          <w:t>DOI</w:t>
        </w:r>
      </w:hyperlink>
    </w:p>
    <w:p>
      <w:pPr>
        <w:pStyle w:val="Small"/>
        <w:ind w:left="170" w:hanging="170"/>
      </w:pPr>
      <w:r>
        <w:rPr>
          <w:rFonts w:ascii="Aptos" w:hAnsi="Aptos" w:eastAsia="Aptos"/>
          <w:color w:val="404040"/>
          <w:sz w:val="18"/>
        </w:rPr>
        <w:t>[9] Balaban, N. Q. et al. Definitions and guidelines for research on antibiotic persistence. Nature Reviews Microbiology 17, 441–448 (2019).</w:t>
      </w:r>
      <w:r>
        <w:t xml:space="preserve"> </w:t>
      </w:r>
      <w:hyperlink r:id="rId18">
        <w:r>
          <w:rPr>
            <w:color w:val="2F5597"/>
            <w:u w:val="single"/>
            <w:rFonts w:ascii="Aptos" w:hAnsi="Aptos"/>
          </w:rPr>
          <w:t>DOI</w:t>
        </w:r>
      </w:hyperlink>
    </w:p>
    <w:p>
      <w:pPr>
        <w:pStyle w:val="Small"/>
        <w:ind w:left="170" w:hanging="170"/>
      </w:pPr>
      <w:r>
        <w:rPr>
          <w:rFonts w:ascii="Aptos" w:hAnsi="Aptos" w:eastAsia="Aptos"/>
          <w:color w:val="404040"/>
          <w:sz w:val="18"/>
        </w:rPr>
        <w:t>[10] Lukačišinová, M. et al. Highly parallel lab evolution reveals that epistasis can curb the evolution of antibiotic resistance. Nature Communications 11, 3105 (2020).</w:t>
      </w:r>
      <w:r>
        <w:t xml:space="preserve"> </w:t>
      </w:r>
      <w:hyperlink r:id="rId19">
        <w:r>
          <w:rPr>
            <w:color w:val="2F5597"/>
            <w:u w:val="single"/>
            <w:rFonts w:ascii="Aptos" w:hAnsi="Aptos"/>
          </w:rPr>
          <w:t>DOI</w:t>
        </w:r>
      </w:hyperlink>
    </w:p>
    <w:p>
      <w:pPr>
        <w:pStyle w:val="Small"/>
        <w:ind w:left="170" w:hanging="170"/>
      </w:pPr>
      <w:r>
        <w:rPr>
          <w:rFonts w:ascii="Aptos" w:hAnsi="Aptos" w:eastAsia="Aptos"/>
          <w:color w:val="404040"/>
          <w:sz w:val="18"/>
        </w:rPr>
        <w:t>[11] Rajer, F. &amp; Sandegren, L. The role of antibiotic resistance genes in the fitness cost of multiresistance plasmids. mBio 13, e03552-21 (2022).</w:t>
      </w:r>
      <w:r>
        <w:t xml:space="preserve"> </w:t>
      </w:r>
      <w:hyperlink r:id="rId20">
        <w:r>
          <w:rPr>
            <w:color w:val="2F5597"/>
            <w:u w:val="single"/>
            <w:rFonts w:ascii="Aptos" w:hAnsi="Aptos"/>
          </w:rPr>
          <w:t>DOI</w:t>
        </w:r>
      </w:hyperlink>
    </w:p>
    <w:p>
      <w:pPr>
        <w:pStyle w:val="Small"/>
        <w:ind w:left="170" w:hanging="170"/>
      </w:pPr>
      <w:r>
        <w:rPr>
          <w:rFonts w:ascii="Aptos" w:hAnsi="Aptos" w:eastAsia="Aptos"/>
          <w:color w:val="404040"/>
          <w:sz w:val="18"/>
        </w:rPr>
        <w:t>[12] Knopp, M. &amp; Andersson, D. I. Amelioration of the fitness costs of antibiotic resistance due to reduced outer membrane permeability by upregulation of alternative porins. Molecular Biology and Evolution 32, 3252–3263 (2015).</w:t>
      </w:r>
      <w:r>
        <w:t xml:space="preserve"> </w:t>
      </w:r>
      <w:hyperlink r:id="rId21">
        <w:r>
          <w:rPr>
            <w:color w:val="2F5597"/>
            <w:u w:val="single"/>
            <w:rFonts w:ascii="Aptos" w:hAnsi="Aptos"/>
          </w:rPr>
          <w:t>DOI</w:t>
        </w:r>
      </w:hyperlink>
    </w:p>
    <w:p>
      <w:pPr>
        <w:pStyle w:val="Small"/>
        <w:ind w:left="170" w:hanging="170"/>
      </w:pPr>
      <w:r>
        <w:rPr>
          <w:rFonts w:ascii="Aptos" w:hAnsi="Aptos" w:eastAsia="Aptos"/>
          <w:color w:val="404040"/>
          <w:sz w:val="18"/>
        </w:rPr>
        <w:t>[13] Koonin, E. V. &amp; Novozhilov, A. S. Origin and evolution of the universal genetic code. Annual Review of Genetics 51, 45–62 (2017).</w:t>
      </w:r>
      <w:r>
        <w:t xml:space="preserve"> </w:t>
      </w:r>
      <w:hyperlink r:id="rId22">
        <w:r>
          <w:rPr>
            <w:color w:val="2F5597"/>
            <w:u w:val="single"/>
            <w:rFonts w:ascii="Aptos" w:hAnsi="Aptos"/>
          </w:rPr>
          <w:t>DOI</w:t>
        </w:r>
      </w:hyperlink>
    </w:p>
    <w:p>
      <w:pPr>
        <w:pStyle w:val="Small"/>
      </w:pPr>
      <w:r>
        <w:t>[14] Sakenova, N. et al. Systematic mapping of antibiotic cross-resistance and collateral sensitivity with chemical genetics. Nature Microbiology 10, 202–216 (2025). https://doi.org/10.1038/s41564-024-01857-w.</w:t>
      </w:r>
    </w:p>
    <w:p>
      <w:pPr>
        <w:pStyle w:val="Small"/>
      </w:pPr>
      <w:r>
        <w:t>[15] Appler, K. E. et al. Oxygen metabolism in descendants of the archaeal-eukaryotic ancestor. Nature 652, 405–415 (2026). https://doi.org/10.1038/s41586-026-10128-z.</w:t>
      </w:r>
    </w:p>
    <w:p>
      <w:pPr>
        <w:pStyle w:val="Small"/>
      </w:pPr>
      <w:r>
        <w:t>[16] Leão, P. et al. Asgard archaea defense systems and their roles in the origin of eukaryotic immunity. Nature Communications 15, 6386 (2024). https://doi.org/10.1038/s41467-024-50195-2.</w:t>
      </w:r>
    </w:p>
    <w:p>
      <w:pPr>
        <w:pStyle w:val="Small"/>
      </w:pPr>
      <w:r>
        <w:t>[17] Lu, Z. et al. Evolution of optimal growth temperature in Asgard archaea inferred from the temperature dependence of GDP binding to EF-1A. Nature Communications 15, 515 (2024). https://doi.org/10.1038/s41467-024-44806-1.</w:t>
      </w:r>
    </w:p>
    <w:p>
      <w:pPr>
        <w:pStyle w:val="Small"/>
      </w:pPr>
      <w:r>
        <w:t>[18] Daruka, L. et al. ESKAPE pathogens rapidly develop resistance against antibiotics in development in vitro. Nature Microbiology 10, 313–331 (2025). https://doi.org/10.1038/s41564-024-01891-8.</w:t>
      </w:r>
    </w:p>
    <w:p>
      <w:pPr>
        <w:pStyle w:val="Small"/>
      </w:pPr>
      <w:r>
        <w:t>[19] Van den Bergh, B. et al. Mutations in respiratory complex I promote antibiotic persistence through alterations in intracellular acidity and protein synthesis. Nature Communications 13, 546 (2022). https://doi.org/10.1038/s41467-022-28141-x.</w:t>
      </w:r>
    </w:p>
    <w:p>
      <w:r>
        <w:br w:type="page"/>
      </w:r>
    </w:p>
    <w:p>
      <w:pPr>
        <w:pStyle w:val="Heading1"/>
      </w:pPr>
      <w:r>
        <w:t>Annexe : fiche pratique d’application</w:t>
      </w:r>
    </w:p>
    <w:p>
      <w:r>
        <w:rPr>
          <w:rFonts w:ascii="Aptos" w:hAnsi="Aptos" w:eastAsia="Aptos"/>
        </w:rPr>
        <w:t>Cette fiche peut être utilisée pour appliquer ORI-C à une transition biologique sans confondre description, reconstruction et prédiction.</w:t>
      </w:r>
    </w:p>
    <w:tbl>
      <w:tblPr>
        <w:tblStyle w:val="TableGrid"/>
        <w:tblW w:type="auto" w:w="0"/>
        <w:jc w:val="center"/>
        <w:tblLayout w:type="fixed"/>
        <w:tblLook w:firstColumn="1" w:firstRow="1" w:lastColumn="0" w:lastRow="0" w:noHBand="0" w:noVBand="1" w:val="04A0"/>
      </w:tblPr>
      <w:tblGrid>
        <w:gridCol w:w="3229"/>
        <w:gridCol w:w="3229"/>
        <w:gridCol w:w="3229"/>
      </w:tblGrid>
      <w:tr>
        <w:trPr>
          <w:tblHeader w:val="true"/>
        </w:trPr>
        <w:tc>
          <w:tcPr>
            <w:tcW w:type="dxa" w:w="1814"/>
            <w:shd w:fill="17365D"/>
            <w:tcMar>
              <w:top w:w="100" w:type="dxa"/>
              <w:start w:w="90" w:type="dxa"/>
              <w:bottom w:w="100" w:type="dxa"/>
              <w:end w:w="90" w:type="dxa"/>
            </w:tcMar>
          </w:tcPr>
          <w:p>
            <w:pPr>
              <w:jc w:val="left"/>
            </w:pPr>
            <w:r>
              <w:rPr>
                <w:rFonts w:ascii="Aptos" w:hAnsi="Aptos" w:eastAsia="Aptos"/>
                <w:b/>
                <w:color w:val="FFFFFF"/>
                <w:sz w:val="17"/>
              </w:rPr>
              <w:t>Étape</w:t>
            </w:r>
          </w:p>
        </w:tc>
        <w:tc>
          <w:tcPr>
            <w:tcW w:type="dxa" w:w="4535"/>
            <w:shd w:fill="17365D"/>
            <w:tcMar>
              <w:top w:w="100" w:type="dxa"/>
              <w:start w:w="90" w:type="dxa"/>
              <w:bottom w:w="100" w:type="dxa"/>
              <w:end w:w="90" w:type="dxa"/>
            </w:tcMar>
          </w:tcPr>
          <w:p>
            <w:pPr>
              <w:jc w:val="left"/>
            </w:pPr>
            <w:r>
              <w:rPr>
                <w:rFonts w:ascii="Aptos" w:hAnsi="Aptos" w:eastAsia="Aptos"/>
                <w:b/>
                <w:color w:val="FFFFFF"/>
                <w:sz w:val="17"/>
              </w:rPr>
              <w:t>Question à traiter</w:t>
            </w:r>
          </w:p>
        </w:tc>
        <w:tc>
          <w:tcPr>
            <w:tcW w:type="dxa" w:w="2948"/>
            <w:shd w:fill="17365D"/>
            <w:tcMar>
              <w:top w:w="100" w:type="dxa"/>
              <w:start w:w="90" w:type="dxa"/>
              <w:bottom w:w="100" w:type="dxa"/>
              <w:end w:w="90" w:type="dxa"/>
            </w:tcMar>
          </w:tcPr>
          <w:p>
            <w:pPr>
              <w:jc w:val="left"/>
            </w:pPr>
            <w:r>
              <w:rPr>
                <w:rFonts w:ascii="Aptos" w:hAnsi="Aptos" w:eastAsia="Aptos"/>
                <w:b/>
                <w:color w:val="FFFFFF"/>
                <w:sz w:val="17"/>
              </w:rPr>
              <w:t>Livrable</w:t>
            </w:r>
          </w:p>
        </w:tc>
      </w:tr>
      <w:tr>
        <w:trPr>
          <w:cantSplit/>
        </w:trPr>
        <w:tc>
          <w:tcPr>
            <w:tcW w:type="dxa" w:w="1814"/>
            <w:tcMar>
              <w:top w:w="90" w:type="dxa"/>
              <w:start w:w="90" w:type="dxa"/>
              <w:bottom w:w="90" w:type="dxa"/>
              <w:end w:w="90" w:type="dxa"/>
            </w:tcMar>
          </w:tcPr>
          <w:p>
            <w:pPr>
              <w:spacing w:after="0"/>
            </w:pPr>
            <w:r>
              <w:rPr>
                <w:rFonts w:ascii="Aptos" w:hAnsi="Aptos" w:eastAsia="Aptos"/>
                <w:color w:val="404040"/>
                <w:sz w:val="17"/>
              </w:rPr>
              <w:t>1. Délimiter le système</w:t>
            </w:r>
          </w:p>
        </w:tc>
        <w:tc>
          <w:tcPr>
            <w:tcW w:type="dxa" w:w="4535"/>
            <w:tcMar>
              <w:top w:w="90" w:type="dxa"/>
              <w:start w:w="90" w:type="dxa"/>
              <w:bottom w:w="90" w:type="dxa"/>
              <w:end w:w="90" w:type="dxa"/>
            </w:tcMar>
          </w:tcPr>
          <w:p>
            <w:pPr>
              <w:spacing w:after="0"/>
            </w:pPr>
            <w:r>
              <w:rPr>
                <w:rFonts w:ascii="Aptos" w:hAnsi="Aptos" w:eastAsia="Aptos"/>
                <w:color w:val="404040"/>
                <w:sz w:val="17"/>
              </w:rPr>
              <w:t>Quelle entité, quelle frontière, quelle période et quelle échelle ?</w:t>
            </w:r>
          </w:p>
        </w:tc>
        <w:tc>
          <w:tcPr>
            <w:tcW w:type="dxa" w:w="2948"/>
            <w:tcMar>
              <w:top w:w="90" w:type="dxa"/>
              <w:start w:w="90" w:type="dxa"/>
              <w:bottom w:w="90" w:type="dxa"/>
              <w:end w:w="90" w:type="dxa"/>
            </w:tcMar>
          </w:tcPr>
          <w:p>
            <w:pPr>
              <w:spacing w:after="0"/>
            </w:pPr>
            <w:r>
              <w:rPr>
                <w:rFonts w:ascii="Aptos" w:hAnsi="Aptos" w:eastAsia="Aptos"/>
                <w:color w:val="404040"/>
                <w:sz w:val="17"/>
              </w:rPr>
              <w:t>Une phrase de périmètre.</w:t>
            </w:r>
          </w:p>
        </w:tc>
      </w:tr>
      <w:tr>
        <w:trPr>
          <w:cantSplit/>
        </w:trPr>
        <w:tc>
          <w:tcPr>
            <w:tcW w:type="dxa" w:w="1814"/>
            <w:tcMar>
              <w:top w:w="90" w:type="dxa"/>
              <w:start w:w="90" w:type="dxa"/>
              <w:bottom w:w="90" w:type="dxa"/>
              <w:end w:w="90" w:type="dxa"/>
            </w:tcMar>
            <w:shd w:fill="FAFAFA"/>
          </w:tcPr>
          <w:p>
            <w:pPr>
              <w:spacing w:after="0"/>
            </w:pPr>
            <w:r>
              <w:rPr>
                <w:rFonts w:ascii="Aptos" w:hAnsi="Aptos" w:eastAsia="Aptos"/>
                <w:color w:val="404040"/>
                <w:sz w:val="17"/>
              </w:rPr>
              <w:t>2. Décrire les six dimensions</w:t>
            </w:r>
          </w:p>
        </w:tc>
        <w:tc>
          <w:tcPr>
            <w:tcW w:type="dxa" w:w="4535"/>
            <w:tcMar>
              <w:top w:w="90" w:type="dxa"/>
              <w:start w:w="90" w:type="dxa"/>
              <w:bottom w:w="90" w:type="dxa"/>
              <w:end w:w="90" w:type="dxa"/>
            </w:tcMar>
            <w:shd w:fill="FAFAFA"/>
          </w:tcPr>
          <w:p>
            <w:pPr>
              <w:spacing w:after="0"/>
            </w:pPr>
            <w:r>
              <w:rPr>
                <w:rFonts w:ascii="Aptos" w:hAnsi="Aptos" w:eastAsia="Aptos"/>
                <w:color w:val="404040"/>
                <w:sz w:val="17"/>
              </w:rPr>
              <w:t>Que contiennent n, G, I, E, Π et H dans ce cas ?</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Un tableau renseigné.</w:t>
            </w:r>
          </w:p>
        </w:tc>
      </w:tr>
      <w:tr>
        <w:trPr>
          <w:cantSplit/>
        </w:trPr>
        <w:tc>
          <w:tcPr>
            <w:tcW w:type="dxa" w:w="1814"/>
            <w:tcMar>
              <w:top w:w="90" w:type="dxa"/>
              <w:start w:w="90" w:type="dxa"/>
              <w:bottom w:w="90" w:type="dxa"/>
              <w:end w:w="90" w:type="dxa"/>
            </w:tcMar>
          </w:tcPr>
          <w:p>
            <w:pPr>
              <w:spacing w:after="0"/>
            </w:pPr>
            <w:r>
              <w:rPr>
                <w:rFonts w:ascii="Aptos" w:hAnsi="Aptos" w:eastAsia="Aptos"/>
                <w:color w:val="404040"/>
                <w:sz w:val="17"/>
              </w:rPr>
              <w:t>3. Identifier les relations</w:t>
            </w:r>
          </w:p>
        </w:tc>
        <w:tc>
          <w:tcPr>
            <w:tcW w:type="dxa" w:w="4535"/>
            <w:tcMar>
              <w:top w:w="90" w:type="dxa"/>
              <w:start w:w="90" w:type="dxa"/>
              <w:bottom w:w="90" w:type="dxa"/>
              <w:end w:w="90" w:type="dxa"/>
            </w:tcMar>
          </w:tcPr>
          <w:p>
            <w:pPr>
              <w:spacing w:after="0"/>
            </w:pPr>
            <w:r>
              <w:rPr>
                <w:rFonts w:ascii="Aptos" w:hAnsi="Aptos" w:eastAsia="Aptos"/>
                <w:color w:val="404040"/>
                <w:sz w:val="17"/>
              </w:rPr>
              <w:t>Quels liens sont réellement nécessaires ?</w:t>
            </w:r>
          </w:p>
        </w:tc>
        <w:tc>
          <w:tcPr>
            <w:tcW w:type="dxa" w:w="2948"/>
            <w:tcMar>
              <w:top w:w="90" w:type="dxa"/>
              <w:start w:w="90" w:type="dxa"/>
              <w:bottom w:w="90" w:type="dxa"/>
              <w:end w:w="90" w:type="dxa"/>
            </w:tcMar>
          </w:tcPr>
          <w:p>
            <w:pPr>
              <w:spacing w:after="0"/>
            </w:pPr>
            <w:r>
              <w:rPr>
                <w:rFonts w:ascii="Aptos" w:hAnsi="Aptos" w:eastAsia="Aptos"/>
                <w:color w:val="404040"/>
                <w:sz w:val="17"/>
              </w:rPr>
              <w:t>Une carte sans liens redondants.</w:t>
            </w:r>
          </w:p>
        </w:tc>
      </w:tr>
      <w:tr>
        <w:trPr>
          <w:cantSplit/>
        </w:trPr>
        <w:tc>
          <w:tcPr>
            <w:tcW w:type="dxa" w:w="1814"/>
            <w:tcMar>
              <w:top w:w="90" w:type="dxa"/>
              <w:start w:w="90" w:type="dxa"/>
              <w:bottom w:w="90" w:type="dxa"/>
              <w:end w:w="90" w:type="dxa"/>
            </w:tcMar>
            <w:shd w:fill="FAFAFA"/>
          </w:tcPr>
          <w:p>
            <w:pPr>
              <w:spacing w:after="0"/>
            </w:pPr>
            <w:r>
              <w:rPr>
                <w:rFonts w:ascii="Aptos" w:hAnsi="Aptos" w:eastAsia="Aptos"/>
                <w:color w:val="404040"/>
                <w:sz w:val="17"/>
              </w:rPr>
              <w:t>4. Justifier chaque lien</w:t>
            </w:r>
          </w:p>
        </w:tc>
        <w:tc>
          <w:tcPr>
            <w:tcW w:type="dxa" w:w="4535"/>
            <w:tcMar>
              <w:top w:w="90" w:type="dxa"/>
              <w:start w:w="90" w:type="dxa"/>
              <w:bottom w:w="90" w:type="dxa"/>
              <w:end w:w="90" w:type="dxa"/>
            </w:tcMar>
            <w:shd w:fill="FAFAFA"/>
          </w:tcPr>
          <w:p>
            <w:pPr>
              <w:spacing w:after="0"/>
            </w:pPr>
            <w:r>
              <w:rPr>
                <w:rFonts w:ascii="Aptos" w:hAnsi="Aptos" w:eastAsia="Aptos"/>
                <w:color w:val="404040"/>
                <w:sz w:val="17"/>
              </w:rPr>
              <w:t>Quel mécanisme ou quelle relation précise le soutient ?</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Une justification courte.</w:t>
            </w:r>
          </w:p>
        </w:tc>
      </w:tr>
      <w:tr>
        <w:trPr>
          <w:cantSplit/>
        </w:trPr>
        <w:tc>
          <w:tcPr>
            <w:tcW w:type="dxa" w:w="1814"/>
            <w:tcMar>
              <w:top w:w="90" w:type="dxa"/>
              <w:start w:w="90" w:type="dxa"/>
              <w:bottom w:w="90" w:type="dxa"/>
              <w:end w:w="90" w:type="dxa"/>
            </w:tcMar>
          </w:tcPr>
          <w:p>
            <w:pPr>
              <w:spacing w:after="0"/>
            </w:pPr>
            <w:r>
              <w:rPr>
                <w:rFonts w:ascii="Aptos" w:hAnsi="Aptos" w:eastAsia="Aptos"/>
                <w:color w:val="404040"/>
                <w:sz w:val="17"/>
              </w:rPr>
              <w:t>5. Attribuer un statut</w:t>
            </w:r>
          </w:p>
        </w:tc>
        <w:tc>
          <w:tcPr>
            <w:tcW w:type="dxa" w:w="4535"/>
            <w:tcMar>
              <w:top w:w="90" w:type="dxa"/>
              <w:start w:w="90" w:type="dxa"/>
              <w:bottom w:w="90" w:type="dxa"/>
              <w:end w:w="90" w:type="dxa"/>
            </w:tcMar>
          </w:tcPr>
          <w:p>
            <w:pPr>
              <w:spacing w:after="0"/>
            </w:pPr>
            <w:r>
              <w:rPr>
                <w:rFonts w:ascii="Aptos" w:hAnsi="Aptos" w:eastAsia="Aptos"/>
                <w:color w:val="404040"/>
                <w:sz w:val="17"/>
              </w:rPr>
              <w:t>Établi, fortement soutenu, plausible ou hypothétique ?</w:t>
            </w:r>
          </w:p>
        </w:tc>
        <w:tc>
          <w:tcPr>
            <w:tcW w:type="dxa" w:w="2948"/>
            <w:tcMar>
              <w:top w:w="90" w:type="dxa"/>
              <w:start w:w="90" w:type="dxa"/>
              <w:bottom w:w="90" w:type="dxa"/>
              <w:end w:w="90" w:type="dxa"/>
            </w:tcMar>
          </w:tcPr>
          <w:p>
            <w:pPr>
              <w:spacing w:after="0"/>
            </w:pPr>
            <w:r>
              <w:rPr>
                <w:rFonts w:ascii="Aptos" w:hAnsi="Aptos" w:eastAsia="Aptos"/>
                <w:color w:val="404040"/>
                <w:sz w:val="17"/>
              </w:rPr>
              <w:t>Un statut par affirmation.</w:t>
            </w:r>
          </w:p>
        </w:tc>
      </w:tr>
      <w:tr>
        <w:trPr>
          <w:cantSplit/>
        </w:trPr>
        <w:tc>
          <w:tcPr>
            <w:tcW w:type="dxa" w:w="1814"/>
            <w:tcMar>
              <w:top w:w="90" w:type="dxa"/>
              <w:start w:w="90" w:type="dxa"/>
              <w:bottom w:w="90" w:type="dxa"/>
              <w:end w:w="90" w:type="dxa"/>
            </w:tcMar>
            <w:shd w:fill="FAFAFA"/>
          </w:tcPr>
          <w:p>
            <w:pPr>
              <w:spacing w:after="0"/>
            </w:pPr>
            <w:r>
              <w:rPr>
                <w:rFonts w:ascii="Aptos" w:hAnsi="Aptos" w:eastAsia="Aptos"/>
                <w:color w:val="404040"/>
                <w:sz w:val="17"/>
              </w:rPr>
              <w:t>6. Nommer le mode de preuve</w:t>
            </w:r>
          </w:p>
        </w:tc>
        <w:tc>
          <w:tcPr>
            <w:tcW w:type="dxa" w:w="4535"/>
            <w:tcMar>
              <w:top w:w="90" w:type="dxa"/>
              <w:start w:w="90" w:type="dxa"/>
              <w:bottom w:w="90" w:type="dxa"/>
              <w:end w:w="90" w:type="dxa"/>
            </w:tcMar>
            <w:shd w:fill="FAFAFA"/>
          </w:tcPr>
          <w:p>
            <w:pPr>
              <w:spacing w:after="0"/>
            </w:pPr>
            <w:r>
              <w:rPr>
                <w:rFonts w:ascii="Aptos" w:hAnsi="Aptos" w:eastAsia="Aptos"/>
                <w:color w:val="404040"/>
                <w:sz w:val="17"/>
              </w:rPr>
              <w:t>Observation, expérimentation, reconstruction ou simulation ?</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Une colonne de preuve.</w:t>
            </w:r>
          </w:p>
        </w:tc>
      </w:tr>
      <w:tr>
        <w:trPr>
          <w:cantSplit/>
        </w:trPr>
        <w:tc>
          <w:tcPr>
            <w:tcW w:type="dxa" w:w="1814"/>
            <w:tcMar>
              <w:top w:w="90" w:type="dxa"/>
              <w:start w:w="90" w:type="dxa"/>
              <w:bottom w:w="90" w:type="dxa"/>
              <w:end w:w="90" w:type="dxa"/>
            </w:tcMar>
          </w:tcPr>
          <w:p>
            <w:pPr>
              <w:spacing w:after="0"/>
            </w:pPr>
            <w:r>
              <w:rPr>
                <w:rFonts w:ascii="Aptos" w:hAnsi="Aptos" w:eastAsia="Aptos"/>
                <w:color w:val="404040"/>
                <w:sz w:val="17"/>
              </w:rPr>
              <w:t>7. Chercher les contractions</w:t>
            </w:r>
          </w:p>
        </w:tc>
        <w:tc>
          <w:tcPr>
            <w:tcW w:type="dxa" w:w="4535"/>
            <w:tcMar>
              <w:top w:w="90" w:type="dxa"/>
              <w:start w:w="90" w:type="dxa"/>
              <w:bottom w:w="90" w:type="dxa"/>
              <w:end w:w="90" w:type="dxa"/>
            </w:tcMar>
          </w:tcPr>
          <w:p>
            <w:pPr>
              <w:spacing w:after="0"/>
            </w:pPr>
            <w:r>
              <w:rPr>
                <w:rFonts w:ascii="Aptos" w:hAnsi="Aptos" w:eastAsia="Aptos"/>
                <w:color w:val="404040"/>
                <w:sz w:val="17"/>
              </w:rPr>
              <w:t>Quels états deviennent inaccessibles et dans quelles conditions ?</w:t>
            </w:r>
          </w:p>
        </w:tc>
        <w:tc>
          <w:tcPr>
            <w:tcW w:type="dxa" w:w="2948"/>
            <w:tcMar>
              <w:top w:w="90" w:type="dxa"/>
              <w:start w:w="90" w:type="dxa"/>
              <w:bottom w:w="90" w:type="dxa"/>
              <w:end w:w="90" w:type="dxa"/>
            </w:tcMar>
          </w:tcPr>
          <w:p>
            <w:pPr>
              <w:spacing w:after="0"/>
            </w:pPr>
            <w:r>
              <w:rPr>
                <w:rFonts w:ascii="Aptos" w:hAnsi="Aptos" w:eastAsia="Aptos"/>
                <w:color w:val="404040"/>
                <w:sz w:val="17"/>
              </w:rPr>
              <w:t>Une hypothèse contextualisée.</w:t>
            </w:r>
          </w:p>
        </w:tc>
      </w:tr>
      <w:tr>
        <w:trPr>
          <w:cantSplit/>
        </w:trPr>
        <w:tc>
          <w:tcPr>
            <w:tcW w:type="dxa" w:w="1814"/>
            <w:tcMar>
              <w:top w:w="90" w:type="dxa"/>
              <w:start w:w="90" w:type="dxa"/>
              <w:bottom w:w="90" w:type="dxa"/>
              <w:end w:w="90" w:type="dxa"/>
            </w:tcMar>
            <w:shd w:fill="FAFAFA"/>
          </w:tcPr>
          <w:p>
            <w:pPr>
              <w:spacing w:after="0"/>
            </w:pPr>
            <w:r>
              <w:rPr>
                <w:rFonts w:ascii="Aptos" w:hAnsi="Aptos" w:eastAsia="Aptos"/>
                <w:color w:val="404040"/>
                <w:sz w:val="17"/>
              </w:rPr>
              <w:t>8. Définir les mesures</w:t>
            </w:r>
          </w:p>
        </w:tc>
        <w:tc>
          <w:tcPr>
            <w:tcW w:type="dxa" w:w="4535"/>
            <w:tcMar>
              <w:top w:w="90" w:type="dxa"/>
              <w:start w:w="90" w:type="dxa"/>
              <w:bottom w:w="90" w:type="dxa"/>
              <w:end w:w="90" w:type="dxa"/>
            </w:tcMar>
            <w:shd w:fill="FAFAFA"/>
          </w:tcPr>
          <w:p>
            <w:pPr>
              <w:spacing w:after="0"/>
            </w:pPr>
            <w:r>
              <w:rPr>
                <w:rFonts w:ascii="Aptos" w:hAnsi="Aptos" w:eastAsia="Aptos"/>
                <w:color w:val="404040"/>
                <w:sz w:val="17"/>
              </w:rPr>
              <w:t>Quelles variables permettraient de tester la carte ?</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Un protocole minimal.</w:t>
            </w:r>
          </w:p>
        </w:tc>
      </w:tr>
      <w:tr>
        <w:trPr>
          <w:cantSplit/>
        </w:trPr>
        <w:tc>
          <w:tcPr>
            <w:tcW w:type="dxa" w:w="1814"/>
            <w:tcMar>
              <w:top w:w="90" w:type="dxa"/>
              <w:start w:w="90" w:type="dxa"/>
              <w:bottom w:w="90" w:type="dxa"/>
              <w:end w:w="90" w:type="dxa"/>
            </w:tcMar>
          </w:tcPr>
          <w:p>
            <w:pPr>
              <w:spacing w:after="0"/>
            </w:pPr>
            <w:r>
              <w:rPr>
                <w:rFonts w:ascii="Aptos" w:hAnsi="Aptos" w:eastAsia="Aptos"/>
                <w:color w:val="404040"/>
                <w:sz w:val="17"/>
              </w:rPr>
              <w:t>9. Formuler un contre-test</w:t>
            </w:r>
          </w:p>
        </w:tc>
        <w:tc>
          <w:tcPr>
            <w:tcW w:type="dxa" w:w="4535"/>
            <w:tcMar>
              <w:top w:w="90" w:type="dxa"/>
              <w:start w:w="90" w:type="dxa"/>
              <w:bottom w:w="90" w:type="dxa"/>
              <w:end w:w="90" w:type="dxa"/>
            </w:tcMar>
          </w:tcPr>
          <w:p>
            <w:pPr>
              <w:spacing w:after="0"/>
            </w:pPr>
            <w:r>
              <w:rPr>
                <w:rFonts w:ascii="Aptos" w:hAnsi="Aptos" w:eastAsia="Aptos"/>
                <w:color w:val="404040"/>
                <w:sz w:val="17"/>
              </w:rPr>
              <w:t>Quelle observation compterait contre l’interprétation ?</w:t>
            </w:r>
          </w:p>
        </w:tc>
        <w:tc>
          <w:tcPr>
            <w:tcW w:type="dxa" w:w="2948"/>
            <w:tcMar>
              <w:top w:w="90" w:type="dxa"/>
              <w:start w:w="90" w:type="dxa"/>
              <w:bottom w:w="90" w:type="dxa"/>
              <w:end w:w="90" w:type="dxa"/>
            </w:tcMar>
          </w:tcPr>
          <w:p>
            <w:pPr>
              <w:spacing w:after="0"/>
            </w:pPr>
            <w:r>
              <w:rPr>
                <w:rFonts w:ascii="Aptos" w:hAnsi="Aptos" w:eastAsia="Aptos"/>
                <w:color w:val="404040"/>
                <w:sz w:val="17"/>
              </w:rPr>
              <w:t>Un critère d’échec.</w:t>
            </w:r>
          </w:p>
        </w:tc>
      </w:tr>
      <w:tr>
        <w:trPr>
          <w:cantSplit/>
        </w:trPr>
        <w:tc>
          <w:tcPr>
            <w:tcW w:type="dxa" w:w="1814"/>
            <w:tcMar>
              <w:top w:w="90" w:type="dxa"/>
              <w:start w:w="90" w:type="dxa"/>
              <w:bottom w:w="90" w:type="dxa"/>
              <w:end w:w="90" w:type="dxa"/>
            </w:tcMar>
            <w:shd w:fill="FAFAFA"/>
          </w:tcPr>
          <w:p>
            <w:pPr>
              <w:spacing w:after="0"/>
            </w:pPr>
            <w:r>
              <w:rPr>
                <w:rFonts w:ascii="Aptos" w:hAnsi="Aptos" w:eastAsia="Aptos"/>
                <w:color w:val="404040"/>
                <w:sz w:val="17"/>
              </w:rPr>
              <w:t>10. Comparer un cadre concurrent</w:t>
            </w:r>
          </w:p>
        </w:tc>
        <w:tc>
          <w:tcPr>
            <w:tcW w:type="dxa" w:w="4535"/>
            <w:tcMar>
              <w:top w:w="90" w:type="dxa"/>
              <w:start w:w="90" w:type="dxa"/>
              <w:bottom w:w="90" w:type="dxa"/>
              <w:end w:w="90" w:type="dxa"/>
            </w:tcMar>
            <w:shd w:fill="FAFAFA"/>
          </w:tcPr>
          <w:p>
            <w:pPr>
              <w:spacing w:after="0"/>
            </w:pPr>
            <w:r>
              <w:rPr>
                <w:rFonts w:ascii="Aptos" w:hAnsi="Aptos" w:eastAsia="Aptos"/>
                <w:color w:val="404040"/>
                <w:sz w:val="17"/>
              </w:rPr>
              <w:t>Que prédirait un modèle plus simple ?</w:t>
            </w:r>
          </w:p>
        </w:tc>
        <w:tc>
          <w:tcPr>
            <w:tcW w:type="dxa" w:w="2948"/>
            <w:tcMar>
              <w:top w:w="90" w:type="dxa"/>
              <w:start w:w="90" w:type="dxa"/>
              <w:bottom w:w="90" w:type="dxa"/>
              <w:end w:w="90" w:type="dxa"/>
            </w:tcMar>
            <w:shd w:fill="FAFAFA"/>
          </w:tcPr>
          <w:p>
            <w:pPr>
              <w:spacing w:after="0"/>
            </w:pPr>
            <w:r>
              <w:rPr>
                <w:rFonts w:ascii="Aptos" w:hAnsi="Aptos" w:eastAsia="Aptos"/>
                <w:color w:val="404040"/>
                <w:sz w:val="17"/>
              </w:rPr>
              <w:t>Une comparaison explicite.</w:t>
            </w:r>
          </w:p>
        </w:tc>
      </w:tr>
    </w:tbl>
    <w:p>
      <w:pPr>
        <w:spacing w:after="0"/>
      </w:pPr>
    </w:p>
    <w:p>
      <w:pPr>
        <w:pStyle w:val="Heading2"/>
      </w:pPr>
      <w:r>
        <w:t>Modèle de fiche à compléter</w:t>
      </w:r>
    </w:p>
    <w:tbl>
      <w:tblPr>
        <w:tblStyle w:val="TableGrid"/>
        <w:tblW w:type="auto" w:w="0"/>
        <w:jc w:val="center"/>
        <w:tblLayout w:type="fixed"/>
        <w:tblLook w:firstColumn="1" w:firstRow="1" w:lastColumn="0" w:lastRow="0" w:noHBand="0" w:noVBand="1" w:val="04A0"/>
      </w:tblPr>
      <w:tblGrid>
        <w:gridCol w:w="4844"/>
        <w:gridCol w:w="4844"/>
      </w:tblGrid>
      <w:tr>
        <w:trPr>
          <w:cantSplit/>
        </w:trPr>
        <w:tc>
          <w:tcPr>
            <w:tcW w:type="dxa" w:w="3118"/>
            <w:shd w:fill="F2F2F2"/>
            <w:tcMar>
              <w:top w:w="120" w:type="dxa"/>
              <w:start w:w="100" w:type="dxa"/>
              <w:bottom w:w="120" w:type="dxa"/>
              <w:end w:w="100" w:type="dxa"/>
            </w:tcMar>
          </w:tcPr>
          <w:p>
            <w:r>
              <w:rPr>
                <w:rFonts w:ascii="Aptos" w:hAnsi="Aptos" w:eastAsia="Aptos"/>
                <w:b/>
                <w:color w:val="17365D"/>
                <w:sz w:val="18"/>
              </w:rPr>
              <w:t>Système étudié</w:t>
            </w:r>
          </w:p>
        </w:tc>
        <w:tc>
          <w:tcPr>
            <w:tcW w:type="dxa" w:w="6180"/>
            <w:tcMar>
              <w:top w:w="120" w:type="dxa"/>
              <w:start w:w="100" w:type="dxa"/>
              <w:bottom w:w="120" w:type="dxa"/>
              <w:end w:w="100" w:type="dxa"/>
            </w:tcMar>
          </w:tcPr>
          <w:p>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Échelle et période</w:t>
            </w:r>
          </w:p>
        </w:tc>
        <w:tc>
          <w:tcPr>
            <w:tcW w:type="dxa" w:w="6180"/>
            <w:tcMar>
              <w:top w:w="120" w:type="dxa"/>
              <w:start w:w="100" w:type="dxa"/>
              <w:bottom w:w="120" w:type="dxa"/>
              <w:end w:w="100" w:type="dxa"/>
            </w:tcMar>
          </w:tcPr>
          <w:p>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Transition</w:t>
            </w:r>
          </w:p>
        </w:tc>
        <w:tc>
          <w:tcPr>
            <w:tcW w:type="dxa" w:w="6180"/>
            <w:tcMar>
              <w:top w:w="120" w:type="dxa"/>
              <w:start w:w="100" w:type="dxa"/>
              <w:bottom w:w="120" w:type="dxa"/>
              <w:end w:w="100" w:type="dxa"/>
            </w:tcMar>
          </w:tcPr>
          <w:p>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Composition (n)</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Configuration (G)</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Interactions (I)</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Environnement (E)</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Persistance (Π)</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Histoire (H)</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Liens ORI-C retenus</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Statut de chaque lien</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Modes de preuve</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Ouvertures proposées</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Contractions proposées</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Variables mesurables</w:t>
            </w:r>
          </w:p>
        </w:tc>
        <w:tc>
          <w:tcPr>
            <w:tcW w:type="dxa" w:w="6180"/>
            <w:tcMar>
              <w:top w:w="120" w:type="dxa"/>
              <w:start w:w="100" w:type="dxa"/>
              <w:bottom w:w="120" w:type="dxa"/>
              <w:end w:w="100" w:type="dxa"/>
            </w:tcMar>
          </w:tcPr>
          <w:p>
            <w:pPr>
              <w:spacing w:after="280"/>
            </w:pPr>
            <w:r>
              <w:t xml:space="preserve">     </w:t>
            </w:r>
          </w:p>
        </w:tc>
      </w:tr>
      <w:tr>
        <w:trPr>
          <w:cantSplit/>
        </w:trPr>
        <w:tc>
          <w:tcPr>
            <w:tcW w:type="dxa" w:w="3118"/>
            <w:shd w:fill="F2F2F2"/>
            <w:tcMar>
              <w:top w:w="120" w:type="dxa"/>
              <w:start w:w="100" w:type="dxa"/>
              <w:bottom w:w="120" w:type="dxa"/>
              <w:end w:w="100" w:type="dxa"/>
            </w:tcMar>
          </w:tcPr>
          <w:p>
            <w:r>
              <w:rPr>
                <w:rFonts w:ascii="Aptos" w:hAnsi="Aptos" w:eastAsia="Aptos"/>
                <w:b/>
                <w:color w:val="17365D"/>
                <w:sz w:val="18"/>
              </w:rPr>
              <w:t>Observation qui contredirait l’interprétation</w:t>
            </w:r>
          </w:p>
        </w:tc>
        <w:tc>
          <w:tcPr>
            <w:tcW w:type="dxa" w:w="6180"/>
            <w:tcMar>
              <w:top w:w="120" w:type="dxa"/>
              <w:start w:w="100" w:type="dxa"/>
              <w:bottom w:w="120" w:type="dxa"/>
              <w:end w:w="100" w:type="dxa"/>
            </w:tcMar>
          </w:tcPr>
          <w:p>
            <w:pPr>
              <w:spacing w:after="280"/>
            </w:pPr>
            <w:r>
              <w:t xml:space="preserve">     </w:t>
            </w:r>
          </w:p>
        </w:tc>
      </w:tr>
    </w:tbl>
    <w:sectPr w:rsidR="00FC693F" w:rsidRPr="0006063C" w:rsidSect="00034616">
      <w:headerReference w:type="default" r:id="rId9"/>
      <w:footerReference w:type="default" r:id="rId10"/>
      <w:pgSz w:w="12240" w:h="15840"/>
      <w:pgMar w:top="1191" w:right="1276" w:bottom="1134" w:left="1276"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Bdr>
        <w:top w:val="single" w:sz="4" w:space="6" w:color="B7B7B7"/>
      </w:pBdr>
    </w:pPr>
    <w:r>
      <w:rPr>
        <w:rFonts w:ascii="Aptos" w:hAnsi="Aptos" w:eastAsia="Aptos"/>
        <w:color w:val="404040"/>
        <w:sz w:val="16"/>
      </w:rPr>
      <w:t xml:space="preserve">Le vivant comme terrain ORI-C    |    </w:t>
    </w:r>
    <w:r>
      <w:rPr>
        <w:rFonts w:ascii="Aptos" w:hAnsi="Aptos" w:eastAsia="Aptos"/>
        <w:color w:val="40404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eastAsia="Aptos"/>
        <w:b/>
        <w:color w:val="2F6F73"/>
        <w:sz w:val="16"/>
      </w:rPr>
      <w:t>DÉMONSTRATION EN TROIS ACTES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ptos" w:hAnsi="Apto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pPr>
    <w:rPr>
      <w:rFonts w:asciiTheme="majorHAnsi" w:eastAsiaTheme="majorEastAsia" w:hAnsiTheme="majorHAnsi" w:cstheme="majorBidi" w:ascii="Aptos" w:hAnsi="Aptos"/>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ascii="Aptos" w:hAnsi="Aptos"/>
      <w:b/>
      <w:bCs/>
      <w:color w:val="2F6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Aptos" w:hAnsi="Apto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00"/>
    </w:pPr>
    <w:rPr>
      <w:rFonts w:asciiTheme="majorHAnsi" w:eastAsiaTheme="majorEastAsia" w:hAnsiTheme="majorHAnsi" w:cstheme="majorBidi" w:ascii="Aptos" w:hAnsi="Aptos"/>
      <w:b/>
      <w:i/>
      <w:iCs/>
      <w:color w:val="2F6F73"/>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line="283" w:lineRule="auto" w:after="200"/>
    </w:pPr>
    <w:rPr>
      <w:rFonts w:ascii="Aptos" w:hAnsi="Aptos"/>
      <w:color w:val="404040"/>
      <w:sz w:val="24"/>
    </w:rPr>
  </w:style>
  <w:style w:type="paragraph" w:customStyle="1" w:styleId="Small">
    <w:name w:val="Small"/>
    <w:pPr>
      <w:spacing w:after="60" w:line="240" w:lineRule="auto"/>
    </w:pPr>
    <w:rPr>
      <w:rFonts w:ascii="Aptos" w:hAnsi="Aptos"/>
      <w:color w:val="404040"/>
      <w:sz w:val="17"/>
    </w:rPr>
  </w:style>
  <w:style w:type="paragraph" w:customStyle="1" w:styleId="QuoteORI">
    <w:name w:val="QuoteORI"/>
    <w:pPr>
      <w:spacing w:before="160" w:after="160" w:line="276" w:lineRule="auto"/>
      <w:ind w:left="454" w:right="283"/>
    </w:pPr>
    <w:rPr>
      <w:rFonts w:ascii="Aptos" w:hAnsi="Aptos"/>
      <w:i/>
      <w:color w:val="17365D"/>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038/s41586-024-07677-6" TargetMode="External"/><Relationship Id="rId12" Type="http://schemas.openxmlformats.org/officeDocument/2006/relationships/hyperlink" Target="https://doi.org/10.1038/s41586-023-06186-2" TargetMode="External"/><Relationship Id="rId13" Type="http://schemas.openxmlformats.org/officeDocument/2006/relationships/hyperlink" Target="https://doi.org/10.1038/s41586-025-09960-6" TargetMode="External"/><Relationship Id="rId14" Type="http://schemas.openxmlformats.org/officeDocument/2006/relationships/hyperlink" Target="https://doi.org/10.1038/s41586-025-09808-z" TargetMode="External"/><Relationship Id="rId15" Type="http://schemas.openxmlformats.org/officeDocument/2006/relationships/hyperlink" Target="https://doi.org/10.1038/nature09486" TargetMode="External"/><Relationship Id="rId16" Type="http://schemas.openxmlformats.org/officeDocument/2006/relationships/hyperlink" Target="https://doi.org/10.1073/pnas.1523394113" TargetMode="External"/><Relationship Id="rId17" Type="http://schemas.openxmlformats.org/officeDocument/2006/relationships/hyperlink" Target="https://doi.org/10.1146/annurev.earth.031208.100209" TargetMode="External"/><Relationship Id="rId18" Type="http://schemas.openxmlformats.org/officeDocument/2006/relationships/hyperlink" Target="https://doi.org/10.1038/s41579-019-0196-3" TargetMode="External"/><Relationship Id="rId19" Type="http://schemas.openxmlformats.org/officeDocument/2006/relationships/hyperlink" Target="https://doi.org/10.1038/s41467-020-16932-z" TargetMode="External"/><Relationship Id="rId20" Type="http://schemas.openxmlformats.org/officeDocument/2006/relationships/hyperlink" Target="https://doi.org/10.1128/mbio.03552-21" TargetMode="External"/><Relationship Id="rId21" Type="http://schemas.openxmlformats.org/officeDocument/2006/relationships/hyperlink" Target="https://doi.org/10.1093/molbev/msv195" TargetMode="External"/><Relationship Id="rId22" Type="http://schemas.openxmlformats.org/officeDocument/2006/relationships/hyperlink" Target="https://doi.org/10.1146/annurev-genet-120116-0247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vivant comme terrain ORI-C</dc:title>
  <dc:subject>Démonstration en trois actes : application descriptive, reconstruction historique et programme expérimental</dc:subject>
  <dc:creator>python-docx</dc:creator>
  <cp:keywords>ORI-C, vivant, cellule eucaryote, endosymbiose mitochondriale, résistance aux antibiotiques, méthodologie</cp:keywords>
  <dc:description>Document conceptuel et méthodologique</dc:description>
  <cp:lastModifiedBy/>
  <cp:revision>1</cp:revision>
  <dcterms:created xsi:type="dcterms:W3CDTF">2013-12-23T23:15:00Z</dcterms:created>
  <dcterms:modified xsi:type="dcterms:W3CDTF">2013-12-23T23:15:00Z</dcterms:modified>
  <cp:category/>
</cp:coreProperties>
</file>