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7A5A00"/>
          <w:sz w:val="22"/>
        </w:rPr>
        <w:t>RAPPORT SCIENTIFIQUE CONSOLIDÉ</w:t>
      </w:r>
    </w:p>
    <w:p>
      <w:pPr>
        <w:spacing w:after="160"/>
        <w:jc w:val="center"/>
      </w:pPr>
      <w:r>
        <w:rPr>
          <w:rFonts w:ascii="Calibri" w:hAnsi="Calibri"/>
          <w:b/>
          <w:i w:val="0"/>
          <w:color w:val="17365D"/>
          <w:sz w:val="60"/>
        </w:rPr>
        <w:t>ORI-C</w:t>
      </w:r>
    </w:p>
    <w:p>
      <w:pPr>
        <w:spacing w:after="120"/>
        <w:jc w:val="center"/>
      </w:pPr>
      <w:r>
        <w:rPr>
          <w:rFonts w:ascii="Calibri" w:hAnsi="Calibri"/>
          <w:b w:val="0"/>
          <w:i w:val="0"/>
          <w:color w:val="2E74B5"/>
          <w:sz w:val="32"/>
        </w:rPr>
        <w:t>État total du programme, avancées, découvertes et réfutations</w:t>
      </w:r>
    </w:p>
    <w:p>
      <w:pPr>
        <w:spacing w:after="1040"/>
        <w:jc w:val="center"/>
      </w:pPr>
      <w:r>
        <w:rPr>
          <w:rFonts w:ascii="Calibri" w:hAnsi="Calibri"/>
          <w:b w:val="0"/>
          <w:i/>
          <w:color w:val="5B6573"/>
          <w:sz w:val="22"/>
        </w:rPr>
        <w:t>Dossier canonique — données réelles — campagne approfondie</w:t>
      </w:r>
    </w:p>
    <w:tbl>
      <w:tblPr>
        <w:tblW w:type="dxa" w:w="9360"/>
        <w:jc w:val="left"/>
        <w:tblLayout w:type="fixed"/>
        <w:tblLook w:firstColumn="1" w:firstRow="1" w:lastColumn="0" w:lastRow="0" w:noHBand="0" w:noVBand="1" w:val="04A0"/>
        <w:tblInd w:w="180" w:type="dxa"/>
      </w:tblPr>
      <w:tblGrid>
        <w:gridCol w:w="9360"/>
      </w:tblGrid>
      <w:tr>
        <w:tc>
          <w:tcPr>
            <w:tcW w:type="dxa" w:w="9360"/>
            <w:shd w:fill="F4F6F9"/>
            <w:tcMar>
              <w:top w:w="140" w:type="dxa"/>
              <w:bottom w:w="140" w:type="dxa"/>
              <w:start w:w="180" w:type="dxa"/>
              <w:end w:w="180" w:type="dxa"/>
            </w:tcMar>
          </w:tcPr>
          <w:p>
            <w:r/>
            <w:r>
              <w:rPr>
                <w:rFonts w:ascii="Calibri" w:hAnsi="Calibri"/>
                <w:b/>
                <w:i w:val="0"/>
                <w:color w:val="17365D"/>
                <w:sz w:val="22"/>
              </w:rPr>
              <w:t xml:space="preserve">Conclusion centrale  </w:t>
            </w:r>
            <w:r>
              <w:rPr>
                <w:rFonts w:ascii="Calibri" w:hAnsi="Calibri"/>
                <w:b w:val="0"/>
                <w:i w:val="0"/>
                <w:color w:val="000000"/>
                <w:sz w:val="22"/>
              </w:rPr>
              <w:t>ORI-C est aujourd’hui un schéma d’articulation scientifique soumis à des tests sévères, pas une théorie causale générale validée. La campagne a produit des résultats disciplinaires solides, plusieurs réfutations utiles et une cible climatique mieux définie.</w:t>
            </w:r>
          </w:p>
        </w:tc>
      </w:tr>
    </w:tbl>
    <w:p>
      <w:pPr>
        <w:spacing w:after="20"/>
      </w:pPr>
    </w:p>
    <w:p/>
    <w:p/>
    <w:p/>
    <w:p/>
    <w:p>
      <w:pPr>
        <w:jc w:val="center"/>
      </w:pPr>
      <w:r>
        <w:rPr>
          <w:rFonts w:ascii="Calibri" w:hAnsi="Calibri"/>
          <w:b/>
          <w:i w:val="0"/>
          <w:color w:val="17365D"/>
          <w:sz w:val="22"/>
        </w:rPr>
        <w:t>Dossier arrêté au 2 août 2026</w:t>
      </w:r>
    </w:p>
    <w:p>
      <w:pPr>
        <w:jc w:val="center"/>
      </w:pPr>
      <w:r>
        <w:rPr>
          <w:rFonts w:ascii="Calibri" w:hAnsi="Calibri"/>
          <w:b w:val="0"/>
          <w:i w:val="0"/>
          <w:color w:val="9B1C1C"/>
          <w:sz w:val="20"/>
        </w:rPr>
        <w:t>Périmètre strictement séparé de CumulativeSymbolicThreshold</w:t>
      </w:r>
    </w:p>
    <w:p>
      <w:r>
        <w:br w:type="page"/>
      </w:r>
    </w:p>
    <w:p>
      <w:pPr>
        <w:pStyle w:val="Heading1"/>
      </w:pPr>
      <w:r>
        <w:t>Résumé exécutif</w:t>
      </w:r>
    </w:p>
    <w:p>
      <w:r>
        <w:rPr>
          <w:rFonts w:ascii="Calibri" w:hAnsi="Calibri"/>
          <w:b w:val="0"/>
          <w:i w:val="0"/>
          <w:color w:val="000000"/>
          <w:sz w:val="22"/>
        </w:rPr>
        <w:t>Le programme ORI-C étudie si l’histoire d’un système modifie durablement ses états accessibles, sa réponse future ou ses transitions. Le dossier canonique réunit une branche matière, une branche Système solaire/climat, une branche vivant, un socle relationnel et une plateforme de tests. Les travaux récents ont remplacé plusieurs démonstrations internes par des confrontations sur archives réelles et par des témoins de complexité égale.</w:t>
      </w:r>
    </w:p>
    <w:p>
      <w:r>
        <w:rPr>
          <w:rFonts w:ascii="Calibri" w:hAnsi="Calibri"/>
          <w:b w:val="0"/>
          <w:i w:val="0"/>
          <w:color w:val="000000"/>
          <w:sz w:val="22"/>
        </w:rPr>
        <w:t>Le résultat général est exigeant : aucune preuve ne valide encore ORI-C comme mécanisme causal transversal. En revanche, la campagne a clarifié ce qui est robuste, ce qui est réfuté et ce qu’un prochain modèle devra expliquer.</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shd w:fill="F2F4F7"/>
            <w:tcMar>
              <w:top w:w="80" w:type="dxa"/>
              <w:bottom w:w="80" w:type="dxa"/>
              <w:start w:w="120" w:type="dxa"/>
              <w:end w:w="120" w:type="dxa"/>
            </w:tcMar>
            <w:vAlign w:val="center"/>
          </w:tcPr>
          <w:p>
            <w:r/>
            <w:r>
              <w:rPr>
                <w:rFonts w:ascii="Calibri" w:hAnsi="Calibri"/>
                <w:b/>
                <w:i w:val="0"/>
                <w:color w:val="17365D"/>
                <w:sz w:val="19"/>
              </w:rPr>
              <w:t>Constat majeur</w:t>
            </w:r>
          </w:p>
        </w:tc>
        <w:tc>
          <w:tcPr>
            <w:tcW w:type="dxa" w:w="3900"/>
            <w:shd w:fill="F2F4F7"/>
            <w:tcMar>
              <w:top w:w="80" w:type="dxa"/>
              <w:bottom w:w="80" w:type="dxa"/>
              <w:start w:w="120" w:type="dxa"/>
              <w:end w:w="120" w:type="dxa"/>
            </w:tcMar>
            <w:vAlign w:val="center"/>
          </w:tcPr>
          <w:p>
            <w:r/>
            <w:r>
              <w:rPr>
                <w:rFonts w:ascii="Calibri" w:hAnsi="Calibri"/>
                <w:b/>
                <w:i w:val="0"/>
                <w:color w:val="17365D"/>
                <w:sz w:val="19"/>
              </w:rPr>
              <w:t>Résultat consolidé</w:t>
            </w:r>
          </w:p>
        </w:tc>
        <w:tc>
          <w:tcPr>
            <w:tcW w:type="dxa" w:w="3660"/>
            <w:shd w:fill="F2F4F7"/>
            <w:tcMar>
              <w:top w:w="80" w:type="dxa"/>
              <w:bottom w:w="80" w:type="dxa"/>
              <w:start w:w="120" w:type="dxa"/>
              <w:end w:w="120" w:type="dxa"/>
            </w:tcMar>
            <w:vAlign w:val="center"/>
          </w:tcPr>
          <w:p>
            <w:r/>
            <w:r>
              <w:rPr>
                <w:rFonts w:ascii="Calibri" w:hAnsi="Calibri"/>
                <w:b/>
                <w:i w:val="0"/>
                <w:color w:val="17365D"/>
                <w:sz w:val="19"/>
              </w:rPr>
              <w:t>Portée</w:t>
            </w:r>
          </w:p>
        </w:tc>
      </w:tr>
      <w:tr>
        <w:tc>
          <w:tcPr>
            <w:tcW w:type="dxa" w:w="1800"/>
            <w:tcMar>
              <w:top w:w="80" w:type="dxa"/>
              <w:bottom w:w="80" w:type="dxa"/>
              <w:start w:w="120" w:type="dxa"/>
              <w:end w:w="120" w:type="dxa"/>
            </w:tcMar>
            <w:vAlign w:val="center"/>
          </w:tcPr>
          <w:p>
            <w:r/>
            <w:r>
              <w:rPr>
                <w:rFonts w:ascii="Calibri" w:hAnsi="Calibri"/>
                <w:b w:val="0"/>
                <w:i w:val="0"/>
                <w:color w:val="000000"/>
                <w:sz w:val="18"/>
              </w:rPr>
              <w:t>Climat LR04</w:t>
            </w:r>
          </w:p>
        </w:tc>
        <w:tc>
          <w:tcPr>
            <w:tcW w:type="dxa" w:w="3900"/>
            <w:tcMar>
              <w:top w:w="80" w:type="dxa"/>
              <w:bottom w:w="80" w:type="dxa"/>
              <w:start w:w="120" w:type="dxa"/>
              <w:end w:w="120" w:type="dxa"/>
            </w:tcMar>
            <w:vAlign w:val="center"/>
          </w:tcPr>
          <w:p>
            <w:r/>
            <w:r>
              <w:rPr>
                <w:rFonts w:ascii="Calibri" w:hAnsi="Calibri"/>
                <w:b w:val="0"/>
                <w:i w:val="0"/>
                <w:color w:val="000000"/>
                <w:sz w:val="18"/>
              </w:rPr>
              <w:t>Bandes 41 ka et 100 ka au-dessus d’un bruit rouge sur la série complète; 100 ka non stationnaire</w:t>
            </w:r>
          </w:p>
        </w:tc>
        <w:tc>
          <w:tcPr>
            <w:tcW w:type="dxa" w:w="3660"/>
            <w:tcMar>
              <w:top w:w="80" w:type="dxa"/>
              <w:bottom w:w="80" w:type="dxa"/>
              <w:start w:w="120" w:type="dxa"/>
              <w:end w:w="120" w:type="dxa"/>
            </w:tcMar>
            <w:vAlign w:val="center"/>
          </w:tcPr>
          <w:p>
            <w:r/>
            <w:r>
              <w:rPr>
                <w:rFonts w:ascii="Calibri" w:hAnsi="Calibri"/>
                <w:b w:val="0"/>
                <w:i w:val="0"/>
                <w:color w:val="000000"/>
                <w:sz w:val="18"/>
              </w:rPr>
              <w:t>Propriété observationnelle, pas preuve ORI-C</w:t>
            </w:r>
          </w:p>
        </w:tc>
      </w:tr>
      <w:tr>
        <w:tc>
          <w:tcPr>
            <w:tcW w:type="dxa" w:w="1800"/>
            <w:tcMar>
              <w:top w:w="80" w:type="dxa"/>
              <w:bottom w:w="80" w:type="dxa"/>
              <w:start w:w="120" w:type="dxa"/>
              <w:end w:w="120" w:type="dxa"/>
            </w:tcMar>
            <w:vAlign w:val="center"/>
          </w:tcPr>
          <w:p>
            <w:r/>
            <w:r>
              <w:rPr>
                <w:rFonts w:ascii="Calibri" w:hAnsi="Calibri"/>
                <w:b w:val="0"/>
                <w:i w:val="0"/>
                <w:color w:val="000000"/>
                <w:sz w:val="18"/>
              </w:rPr>
              <w:t>Modèle M2</w:t>
            </w:r>
          </w:p>
        </w:tc>
        <w:tc>
          <w:tcPr>
            <w:tcW w:type="dxa" w:w="3900"/>
            <w:tcMar>
              <w:top w:w="80" w:type="dxa"/>
              <w:bottom w:w="80" w:type="dxa"/>
              <w:start w:w="120" w:type="dxa"/>
              <w:end w:w="120" w:type="dxa"/>
            </w:tcMar>
            <w:vAlign w:val="center"/>
          </w:tcPr>
          <w:p>
            <w:r/>
            <w:r>
              <w:rPr>
                <w:rFonts w:ascii="Calibri" w:hAnsi="Calibri"/>
                <w:b w:val="0"/>
                <w:i w:val="0"/>
                <w:color w:val="000000"/>
                <w:sz w:val="18"/>
              </w:rPr>
              <w:t>Échec robuste; 1 critère sur 10; battu par le témoin M1P</w:t>
            </w:r>
          </w:p>
        </w:tc>
        <w:tc>
          <w:tcPr>
            <w:tcW w:type="dxa" w:w="3660"/>
            <w:tcMar>
              <w:top w:w="80" w:type="dxa"/>
              <w:bottom w:w="80" w:type="dxa"/>
              <w:start w:w="120" w:type="dxa"/>
              <w:end w:w="120" w:type="dxa"/>
            </w:tcMar>
            <w:vAlign w:val="center"/>
          </w:tcPr>
          <w:p>
            <w:r/>
            <w:r>
              <w:rPr>
                <w:rFonts w:ascii="Calibri" w:hAnsi="Calibri"/>
                <w:b w:val="0"/>
                <w:i w:val="0"/>
                <w:color w:val="000000"/>
                <w:sz w:val="18"/>
              </w:rPr>
              <w:t>M2 doit rester abandonné</w:t>
            </w:r>
          </w:p>
        </w:tc>
      </w:tr>
      <w:tr>
        <w:tc>
          <w:tcPr>
            <w:tcW w:type="dxa" w:w="1800"/>
            <w:tcMar>
              <w:top w:w="80" w:type="dxa"/>
              <w:bottom w:w="80" w:type="dxa"/>
              <w:start w:w="120" w:type="dxa"/>
              <w:end w:w="120" w:type="dxa"/>
            </w:tcMar>
            <w:vAlign w:val="center"/>
          </w:tcPr>
          <w:p>
            <w:r/>
            <w:r>
              <w:rPr>
                <w:rFonts w:ascii="Calibri" w:hAnsi="Calibri"/>
                <w:b w:val="0"/>
                <w:i w:val="0"/>
                <w:color w:val="000000"/>
                <w:sz w:val="18"/>
              </w:rPr>
              <w:t>Astronomie</w:t>
            </w:r>
          </w:p>
        </w:tc>
        <w:tc>
          <w:tcPr>
            <w:tcW w:type="dxa" w:w="3900"/>
            <w:tcMar>
              <w:top w:w="80" w:type="dxa"/>
              <w:bottom w:w="80" w:type="dxa"/>
              <w:start w:w="120" w:type="dxa"/>
              <w:end w:w="120" w:type="dxa"/>
            </w:tcMar>
            <w:vAlign w:val="center"/>
          </w:tcPr>
          <w:p>
            <w:r/>
            <w:r>
              <w:rPr>
                <w:rFonts w:ascii="Calibri" w:hAnsi="Calibri"/>
                <w:b w:val="0"/>
                <w:i w:val="0"/>
                <w:color w:val="000000"/>
                <w:sz w:val="18"/>
              </w:rPr>
              <w:t>Phase dégradée à long terme, structure spectrale ~405 ka persistante</w:t>
            </w:r>
          </w:p>
        </w:tc>
        <w:tc>
          <w:tcPr>
            <w:tcW w:type="dxa" w:w="3660"/>
            <w:tcMar>
              <w:top w:w="80" w:type="dxa"/>
              <w:bottom w:w="80" w:type="dxa"/>
              <w:start w:w="120" w:type="dxa"/>
              <w:end w:w="120" w:type="dxa"/>
            </w:tcMar>
            <w:vAlign w:val="center"/>
          </w:tcPr>
          <w:p>
            <w:r/>
            <w:r>
              <w:rPr>
                <w:rFonts w:ascii="Calibri" w:hAnsi="Calibri"/>
                <w:b w:val="0"/>
                <w:i w:val="0"/>
                <w:color w:val="000000"/>
                <w:sz w:val="18"/>
              </w:rPr>
              <w:t>Validation numérique partielle</w:t>
            </w:r>
          </w:p>
        </w:tc>
      </w:tr>
      <w:tr>
        <w:tc>
          <w:tcPr>
            <w:tcW w:type="dxa" w:w="1800"/>
            <w:tcMar>
              <w:top w:w="80" w:type="dxa"/>
              <w:bottom w:w="80" w:type="dxa"/>
              <w:start w:w="120" w:type="dxa"/>
              <w:end w:w="120" w:type="dxa"/>
            </w:tcMar>
            <w:vAlign w:val="center"/>
          </w:tcPr>
          <w:p>
            <w:r/>
            <w:r>
              <w:rPr>
                <w:rFonts w:ascii="Calibri" w:hAnsi="Calibri"/>
                <w:b w:val="0"/>
                <w:i w:val="0"/>
                <w:color w:val="000000"/>
                <w:sz w:val="18"/>
              </w:rPr>
              <w:t>Antibiotiques</w:t>
            </w:r>
          </w:p>
        </w:tc>
        <w:tc>
          <w:tcPr>
            <w:tcW w:type="dxa" w:w="3900"/>
            <w:tcMar>
              <w:top w:w="80" w:type="dxa"/>
              <w:bottom w:w="80" w:type="dxa"/>
              <w:start w:w="120" w:type="dxa"/>
              <w:end w:w="120" w:type="dxa"/>
            </w:tcMar>
            <w:vAlign w:val="center"/>
          </w:tcPr>
          <w:p>
            <w:r/>
            <w:r>
              <w:rPr>
                <w:rFonts w:ascii="Calibri" w:hAnsi="Calibri"/>
                <w:b w:val="0"/>
                <w:i w:val="0"/>
                <w:color w:val="000000"/>
                <w:sz w:val="18"/>
              </w:rPr>
              <w:t>Signal historique moyen ~1,8 %, incertain</w:t>
            </w:r>
          </w:p>
        </w:tc>
        <w:tc>
          <w:tcPr>
            <w:tcW w:type="dxa" w:w="3660"/>
            <w:tcMar>
              <w:top w:w="80" w:type="dxa"/>
              <w:bottom w:w="80" w:type="dxa"/>
              <w:start w:w="120" w:type="dxa"/>
              <w:end w:w="120" w:type="dxa"/>
            </w:tcMar>
            <w:vAlign w:val="center"/>
          </w:tcPr>
          <w:p>
            <w:r/>
            <w:r>
              <w:rPr>
                <w:rFonts w:ascii="Calibri" w:hAnsi="Calibri"/>
                <w:b w:val="0"/>
                <w:i w:val="0"/>
                <w:color w:val="000000"/>
                <w:sz w:val="18"/>
              </w:rPr>
              <w:t>Exploratoire, non confirmatoire</w:t>
            </w:r>
          </w:p>
        </w:tc>
      </w:tr>
      <w:tr>
        <w:tc>
          <w:tcPr>
            <w:tcW w:type="dxa" w:w="1800"/>
            <w:tcMar>
              <w:top w:w="80" w:type="dxa"/>
              <w:bottom w:w="80" w:type="dxa"/>
              <w:start w:w="120" w:type="dxa"/>
              <w:end w:w="120" w:type="dxa"/>
            </w:tcMar>
            <w:vAlign w:val="center"/>
          </w:tcPr>
          <w:p>
            <w:r/>
            <w:r>
              <w:rPr>
                <w:rFonts w:ascii="Calibri" w:hAnsi="Calibri"/>
                <w:b w:val="0"/>
                <w:i w:val="0"/>
                <w:color w:val="000000"/>
                <w:sz w:val="18"/>
              </w:rPr>
              <w:t>Matière</w:t>
            </w:r>
          </w:p>
        </w:tc>
        <w:tc>
          <w:tcPr>
            <w:tcW w:type="dxa" w:w="3900"/>
            <w:tcMar>
              <w:top w:w="80" w:type="dxa"/>
              <w:bottom w:w="80" w:type="dxa"/>
              <w:start w:w="120" w:type="dxa"/>
              <w:end w:w="120" w:type="dxa"/>
            </w:tcMar>
            <w:vAlign w:val="center"/>
          </w:tcPr>
          <w:p>
            <w:r/>
            <w:r>
              <w:rPr>
                <w:rFonts w:ascii="Calibri" w:hAnsi="Calibri"/>
                <w:b w:val="0"/>
                <w:i w:val="0"/>
                <w:color w:val="000000"/>
                <w:sz w:val="18"/>
              </w:rPr>
              <w:t>Six dimensions actuelles sans information propre</w:t>
            </w:r>
          </w:p>
        </w:tc>
        <w:tc>
          <w:tcPr>
            <w:tcW w:type="dxa" w:w="3660"/>
            <w:tcMar>
              <w:top w:w="80" w:type="dxa"/>
              <w:bottom w:w="80" w:type="dxa"/>
              <w:start w:w="120" w:type="dxa"/>
              <w:end w:w="120" w:type="dxa"/>
            </w:tcMar>
            <w:vAlign w:val="center"/>
          </w:tcPr>
          <w:p>
            <w:r/>
            <w:r>
              <w:rPr>
                <w:rFonts w:ascii="Calibri" w:hAnsi="Calibri"/>
                <w:b w:val="0"/>
                <w:i w:val="0"/>
                <w:color w:val="000000"/>
                <w:sz w:val="18"/>
              </w:rPr>
              <w:t>Recodage indépendant requis</w:t>
            </w:r>
          </w:p>
        </w:tc>
      </w:tr>
      <w:tr>
        <w:tc>
          <w:tcPr>
            <w:tcW w:type="dxa" w:w="1800"/>
            <w:tcMar>
              <w:top w:w="80" w:type="dxa"/>
              <w:bottom w:w="80" w:type="dxa"/>
              <w:start w:w="120" w:type="dxa"/>
              <w:end w:w="120" w:type="dxa"/>
            </w:tcMar>
            <w:vAlign w:val="center"/>
          </w:tcPr>
          <w:p>
            <w:r/>
            <w:r>
              <w:rPr>
                <w:rFonts w:ascii="Calibri" w:hAnsi="Calibri"/>
                <w:b w:val="0"/>
                <w:i w:val="0"/>
                <w:color w:val="000000"/>
                <w:sz w:val="18"/>
              </w:rPr>
              <w:t>Pacc</w:t>
            </w:r>
          </w:p>
        </w:tc>
        <w:tc>
          <w:tcPr>
            <w:tcW w:type="dxa" w:w="3900"/>
            <w:tcMar>
              <w:top w:w="80" w:type="dxa"/>
              <w:bottom w:w="80" w:type="dxa"/>
              <w:start w:w="120" w:type="dxa"/>
              <w:end w:w="120" w:type="dxa"/>
            </w:tcMar>
            <w:vAlign w:val="center"/>
          </w:tcPr>
          <w:p>
            <w:r/>
            <w:r>
              <w:rPr>
                <w:rFonts w:ascii="Calibri" w:hAnsi="Calibri"/>
                <w:b w:val="0"/>
                <w:i w:val="0"/>
                <w:color w:val="000000"/>
                <w:sz w:val="18"/>
              </w:rPr>
              <w:t>Saturation à 1 dans deux branches</w:t>
            </w:r>
          </w:p>
        </w:tc>
        <w:tc>
          <w:tcPr>
            <w:tcW w:type="dxa" w:w="3660"/>
            <w:tcMar>
              <w:top w:w="80" w:type="dxa"/>
              <w:bottom w:w="80" w:type="dxa"/>
              <w:start w:w="120" w:type="dxa"/>
              <w:end w:w="120" w:type="dxa"/>
            </w:tcMar>
            <w:vAlign w:val="center"/>
          </w:tcPr>
          <w:p>
            <w:r/>
            <w:r>
              <w:rPr>
                <w:rFonts w:ascii="Calibri" w:hAnsi="Calibri"/>
                <w:b w:val="0"/>
                <w:i w:val="0"/>
                <w:color w:val="000000"/>
                <w:sz w:val="18"/>
              </w:rPr>
              <w:t>Métrique observationnelle actuelle invalide</w:t>
            </w:r>
          </w:p>
        </w:tc>
      </w:tr>
    </w:tbl>
    <w:p>
      <w:pPr>
        <w:spacing w:after="40"/>
      </w:pPr>
    </w:p>
    <w:tbl>
      <w:tblPr>
        <w:tblW w:type="dxa" w:w="9360"/>
        <w:jc w:val="left"/>
        <w:tblLayout w:type="fixed"/>
        <w:tblLook w:firstColumn="1" w:firstRow="1" w:lastColumn="0" w:lastRow="0" w:noHBand="0" w:noVBand="1" w:val="04A0"/>
        <w:tblInd w:w="180" w:type="dxa"/>
      </w:tblPr>
      <w:tblGrid>
        <w:gridCol w:w="9360"/>
      </w:tblGrid>
      <w:tr>
        <w:tc>
          <w:tcPr>
            <w:tcW w:type="dxa" w:w="9360"/>
            <w:shd w:fill="FFF8E8"/>
            <w:tcMar>
              <w:top w:w="140" w:type="dxa"/>
              <w:bottom w:w="140" w:type="dxa"/>
              <w:start w:w="180" w:type="dxa"/>
              <w:end w:w="180" w:type="dxa"/>
            </w:tcMar>
          </w:tcPr>
          <w:p>
            <w:r/>
            <w:r>
              <w:rPr>
                <w:rFonts w:ascii="Calibri" w:hAnsi="Calibri"/>
                <w:b/>
                <w:i w:val="0"/>
                <w:color w:val="7A5A00"/>
                <w:sz w:val="22"/>
              </w:rPr>
              <w:t xml:space="preserve">Découverte structurante  </w:t>
            </w:r>
            <w:r>
              <w:rPr>
                <w:rFonts w:ascii="Calibri" w:hAnsi="Calibri"/>
                <w:b w:val="0"/>
                <w:i w:val="0"/>
                <w:color w:val="000000"/>
                <w:sz w:val="22"/>
              </w:rPr>
              <w:t>La cible climatique pertinente n’est pas une oscillation stationnaire à 100 ka, mais l’émergence tardive et non stationnaire de cette bande. Toute nouvelle famille doit produire cette transition hors échantillon.</w:t>
            </w:r>
          </w:p>
        </w:tc>
      </w:tr>
    </w:tbl>
    <w:p>
      <w:pPr>
        <w:spacing w:after="20"/>
      </w:pPr>
    </w:p>
    <w:p>
      <w:pPr>
        <w:pStyle w:val="Heading1"/>
      </w:pPr>
      <w:r>
        <w:t>1. Périmètre, objectifs et discipline de preuve</w:t>
      </w:r>
    </w:p>
    <w:p>
      <w:r>
        <w:rPr>
          <w:rFonts w:ascii="Calibri" w:hAnsi="Calibri"/>
          <w:b w:val="0"/>
          <w:i w:val="0"/>
          <w:color w:val="000000"/>
          <w:sz w:val="22"/>
        </w:rPr>
        <w:t>ORI-C est maintenu comme un programme distinct. Il ne doit jamais être fusionné avec CumulativeSymbolicThreshold, dont le périmètre scientifique est plus étroit. La chaîne ORI-C est requalifiée comme schéma d’articulation : elle organise des hypothèses et des tests, mais ne constitue pas encore une métrique complète.</w:t>
      </w:r>
    </w:p>
    <w:p>
      <w:pPr>
        <w:pStyle w:val="ListBullet"/>
        <w:spacing w:after="80" w:line="280" w:lineRule="auto"/>
        <w:ind w:left="720" w:hanging="360"/>
      </w:pPr>
      <w:r>
        <w:rPr>
          <w:rFonts w:ascii="Calibri" w:hAnsi="Calibri"/>
          <w:b w:val="0"/>
          <w:i w:val="0"/>
          <w:color w:val="000000"/>
          <w:sz w:val="22"/>
        </w:rPr>
        <w:t>Données empiriques : archives observationnelles ou expérimentales réelles.</w:t>
      </w:r>
    </w:p>
    <w:p>
      <w:pPr>
        <w:pStyle w:val="ListBullet"/>
        <w:spacing w:after="80" w:line="280" w:lineRule="auto"/>
        <w:ind w:left="720" w:hanging="360"/>
      </w:pPr>
      <w:r>
        <w:rPr>
          <w:rFonts w:ascii="Calibri" w:hAnsi="Calibri"/>
          <w:b w:val="0"/>
          <w:i w:val="0"/>
          <w:color w:val="000000"/>
          <w:sz w:val="22"/>
        </w:rPr>
        <w:t>Simulations : admises uniquement comme modèles, intégrations physiques ou distributions nulles, jamais comme substitut aux données.</w:t>
      </w:r>
    </w:p>
    <w:p>
      <w:pPr>
        <w:pStyle w:val="ListBullet"/>
        <w:spacing w:after="80" w:line="280" w:lineRule="auto"/>
        <w:ind w:left="720" w:hanging="360"/>
      </w:pPr>
      <w:r>
        <w:rPr>
          <w:rFonts w:ascii="Calibri" w:hAnsi="Calibri"/>
          <w:b w:val="0"/>
          <w:i w:val="0"/>
          <w:color w:val="000000"/>
          <w:sz w:val="22"/>
        </w:rPr>
        <w:t>Comparaisons : priorité aux témoins de complexité égale, validations hors échantillon et contrôles négatifs.</w:t>
      </w:r>
    </w:p>
    <w:p>
      <w:pPr>
        <w:pStyle w:val="ListBullet"/>
        <w:spacing w:after="80" w:line="280" w:lineRule="auto"/>
        <w:ind w:left="720" w:hanging="360"/>
      </w:pPr>
      <w:r>
        <w:rPr>
          <w:rFonts w:ascii="Calibri" w:hAnsi="Calibri"/>
          <w:b w:val="0"/>
          <w:i w:val="0"/>
          <w:color w:val="000000"/>
          <w:sz w:val="22"/>
        </w:rPr>
        <w:t>Interprétation : séparation stricte entre preuve disciplinaire, validation numérique et apport propre d’ORI-C.</w:t>
      </w:r>
    </w:p>
    <w:p>
      <w:pPr>
        <w:pStyle w:val="Heading1"/>
      </w:pPr>
      <w:r>
        <w:t>2. Architecture du programme</w:t>
      </w:r>
    </w:p>
    <w:tbl>
      <w:tblPr>
        <w:tblStyle w:val="TableGrid"/>
        <w:tblW w:type="dxa" w:w="9360"/>
        <w:jc w:val="left"/>
        <w:tblLayout w:type="fixed"/>
        <w:tblLook w:firstColumn="1" w:firstRow="1" w:lastColumn="0" w:lastRow="0" w:noHBand="0" w:noVBand="1" w:val="04A0"/>
        <w:tblInd w:w="120" w:type="dxa"/>
      </w:tblPr>
      <w:tblGrid>
        <w:gridCol w:w="1800"/>
        <w:gridCol w:w="4260"/>
        <w:gridCol w:w="3300"/>
      </w:tblGrid>
      <w:tr>
        <w:trPr>
          <w:tblHeader w:val="true"/>
        </w:trPr>
        <w:tc>
          <w:tcPr>
            <w:tcW w:type="dxa" w:w="1800"/>
            <w:shd w:fill="F2F4F7"/>
            <w:tcMar>
              <w:top w:w="80" w:type="dxa"/>
              <w:bottom w:w="80" w:type="dxa"/>
              <w:start w:w="120" w:type="dxa"/>
              <w:end w:w="120" w:type="dxa"/>
            </w:tcMar>
            <w:vAlign w:val="center"/>
          </w:tcPr>
          <w:p>
            <w:r/>
            <w:r>
              <w:rPr>
                <w:rFonts w:ascii="Calibri" w:hAnsi="Calibri"/>
                <w:b/>
                <w:i w:val="0"/>
                <w:color w:val="17365D"/>
                <w:sz w:val="19"/>
              </w:rPr>
              <w:t>Composante</w:t>
            </w:r>
          </w:p>
        </w:tc>
        <w:tc>
          <w:tcPr>
            <w:tcW w:type="dxa" w:w="4260"/>
            <w:shd w:fill="F2F4F7"/>
            <w:tcMar>
              <w:top w:w="80" w:type="dxa"/>
              <w:bottom w:w="80" w:type="dxa"/>
              <w:start w:w="120" w:type="dxa"/>
              <w:end w:w="120" w:type="dxa"/>
            </w:tcMar>
            <w:vAlign w:val="center"/>
          </w:tcPr>
          <w:p>
            <w:r/>
            <w:r>
              <w:rPr>
                <w:rFonts w:ascii="Calibri" w:hAnsi="Calibri"/>
                <w:b/>
                <w:i w:val="0"/>
                <w:color w:val="17365D"/>
                <w:sz w:val="19"/>
              </w:rPr>
              <w:t>Question</w:t>
            </w:r>
          </w:p>
        </w:tc>
        <w:tc>
          <w:tcPr>
            <w:tcW w:type="dxa" w:w="3300"/>
            <w:shd w:fill="F2F4F7"/>
            <w:tcMar>
              <w:top w:w="80" w:type="dxa"/>
              <w:bottom w:w="80" w:type="dxa"/>
              <w:start w:w="120" w:type="dxa"/>
              <w:end w:w="120" w:type="dxa"/>
            </w:tcMar>
            <w:vAlign w:val="center"/>
          </w:tcPr>
          <w:p>
            <w:r/>
            <w:r>
              <w:rPr>
                <w:rFonts w:ascii="Calibri" w:hAnsi="Calibri"/>
                <w:b/>
                <w:i w:val="0"/>
                <w:color w:val="17365D"/>
                <w:sz w:val="19"/>
              </w:rPr>
              <w:t>État</w:t>
            </w:r>
          </w:p>
        </w:tc>
      </w:tr>
      <w:tr>
        <w:tc>
          <w:tcPr>
            <w:tcW w:type="dxa" w:w="1800"/>
            <w:tcMar>
              <w:top w:w="80" w:type="dxa"/>
              <w:bottom w:w="80" w:type="dxa"/>
              <w:start w:w="120" w:type="dxa"/>
              <w:end w:w="120" w:type="dxa"/>
            </w:tcMar>
            <w:vAlign w:val="center"/>
          </w:tcPr>
          <w:p>
            <w:r/>
            <w:r>
              <w:rPr>
                <w:rFonts w:ascii="Calibri" w:hAnsi="Calibri"/>
                <w:b w:val="0"/>
                <w:i w:val="0"/>
                <w:color w:val="000000"/>
                <w:sz w:val="18"/>
              </w:rPr>
              <w:t>Socle relationnel</w:t>
            </w:r>
          </w:p>
        </w:tc>
        <w:tc>
          <w:tcPr>
            <w:tcW w:type="dxa" w:w="4260"/>
            <w:tcMar>
              <w:top w:w="80" w:type="dxa"/>
              <w:bottom w:w="80" w:type="dxa"/>
              <w:start w:w="120" w:type="dxa"/>
              <w:end w:w="120" w:type="dxa"/>
            </w:tcMar>
            <w:vAlign w:val="center"/>
          </w:tcPr>
          <w:p>
            <w:r/>
            <w:r>
              <w:rPr>
                <w:rFonts w:ascii="Calibri" w:hAnsi="Calibri"/>
                <w:b w:val="0"/>
                <w:i w:val="0"/>
                <w:color w:val="000000"/>
                <w:sz w:val="18"/>
              </w:rPr>
              <w:t>Les attributs ORI-C ajoutent-ils une information au-delà de la chronologie ?</w:t>
            </w:r>
          </w:p>
        </w:tc>
        <w:tc>
          <w:tcPr>
            <w:tcW w:type="dxa" w:w="3300"/>
            <w:tcMar>
              <w:top w:w="80" w:type="dxa"/>
              <w:bottom w:w="80" w:type="dxa"/>
              <w:start w:w="120" w:type="dxa"/>
              <w:end w:w="120" w:type="dxa"/>
            </w:tcMar>
            <w:vAlign w:val="center"/>
          </w:tcPr>
          <w:p>
            <w:r/>
            <w:r>
              <w:rPr>
                <w:rFonts w:ascii="Calibri" w:hAnsi="Calibri"/>
                <w:b w:val="0"/>
                <w:i w:val="0"/>
                <w:color w:val="000000"/>
                <w:sz w:val="18"/>
              </w:rPr>
              <w:t>Test prédictif négatif</w:t>
            </w:r>
          </w:p>
        </w:tc>
      </w:tr>
      <w:tr>
        <w:tc>
          <w:tcPr>
            <w:tcW w:type="dxa" w:w="1800"/>
            <w:tcMar>
              <w:top w:w="80" w:type="dxa"/>
              <w:bottom w:w="80" w:type="dxa"/>
              <w:start w:w="120" w:type="dxa"/>
              <w:end w:w="120" w:type="dxa"/>
            </w:tcMar>
            <w:vAlign w:val="center"/>
          </w:tcPr>
          <w:p>
            <w:r/>
            <w:r>
              <w:rPr>
                <w:rFonts w:ascii="Calibri" w:hAnsi="Calibri"/>
                <w:b w:val="0"/>
                <w:i w:val="0"/>
                <w:color w:val="000000"/>
                <w:sz w:val="18"/>
              </w:rPr>
              <w:t>Branche matière</w:t>
            </w:r>
          </w:p>
        </w:tc>
        <w:tc>
          <w:tcPr>
            <w:tcW w:type="dxa" w:w="4260"/>
            <w:tcMar>
              <w:top w:w="80" w:type="dxa"/>
              <w:bottom w:w="80" w:type="dxa"/>
              <w:start w:w="120" w:type="dxa"/>
              <w:end w:w="120" w:type="dxa"/>
            </w:tcMar>
            <w:vAlign w:val="center"/>
          </w:tcPr>
          <w:p>
            <w:r/>
            <w:r>
              <w:rPr>
                <w:rFonts w:ascii="Calibri" w:hAnsi="Calibri"/>
                <w:b w:val="0"/>
                <w:i w:val="0"/>
                <w:color w:val="000000"/>
                <w:sz w:val="18"/>
              </w:rPr>
              <w:t>Les six dimensions sont-elles des observables indépendantes ?</w:t>
            </w:r>
          </w:p>
        </w:tc>
        <w:tc>
          <w:tcPr>
            <w:tcW w:type="dxa" w:w="3300"/>
            <w:tcMar>
              <w:top w:w="80" w:type="dxa"/>
              <w:bottom w:w="80" w:type="dxa"/>
              <w:start w:w="120" w:type="dxa"/>
              <w:end w:w="120" w:type="dxa"/>
            </w:tcMar>
            <w:vAlign w:val="center"/>
          </w:tcPr>
          <w:p>
            <w:r/>
            <w:r>
              <w:rPr>
                <w:rFonts w:ascii="Calibri" w:hAnsi="Calibri"/>
                <w:b w:val="0"/>
                <w:i w:val="0"/>
                <w:color w:val="000000"/>
                <w:sz w:val="18"/>
              </w:rPr>
              <w:t>Non, codage actuel redondant</w:t>
            </w:r>
          </w:p>
        </w:tc>
      </w:tr>
      <w:tr>
        <w:tc>
          <w:tcPr>
            <w:tcW w:type="dxa" w:w="1800"/>
            <w:tcMar>
              <w:top w:w="80" w:type="dxa"/>
              <w:bottom w:w="80" w:type="dxa"/>
              <w:start w:w="120" w:type="dxa"/>
              <w:end w:w="120" w:type="dxa"/>
            </w:tcMar>
            <w:vAlign w:val="center"/>
          </w:tcPr>
          <w:p>
            <w:r/>
            <w:r>
              <w:rPr>
                <w:rFonts w:ascii="Calibri" w:hAnsi="Calibri"/>
                <w:b w:val="0"/>
                <w:i w:val="0"/>
                <w:color w:val="000000"/>
                <w:sz w:val="18"/>
              </w:rPr>
              <w:t>Astronomie</w:t>
            </w:r>
          </w:p>
        </w:tc>
        <w:tc>
          <w:tcPr>
            <w:tcW w:type="dxa" w:w="4260"/>
            <w:tcMar>
              <w:top w:w="80" w:type="dxa"/>
              <w:bottom w:w="80" w:type="dxa"/>
              <w:start w:w="120" w:type="dxa"/>
              <w:end w:w="120" w:type="dxa"/>
            </w:tcMar>
            <w:vAlign w:val="center"/>
          </w:tcPr>
          <w:p>
            <w:r/>
            <w:r>
              <w:rPr>
                <w:rFonts w:ascii="Calibri" w:hAnsi="Calibri"/>
                <w:b w:val="0"/>
                <w:i w:val="0"/>
                <w:color w:val="000000"/>
                <w:sz w:val="18"/>
              </w:rPr>
              <w:t>Les intégrations et spectres sont-ils numériquement robustes ?</w:t>
            </w:r>
          </w:p>
        </w:tc>
        <w:tc>
          <w:tcPr>
            <w:tcW w:type="dxa" w:w="3300"/>
            <w:tcMar>
              <w:top w:w="80" w:type="dxa"/>
              <w:bottom w:w="80" w:type="dxa"/>
              <w:start w:w="120" w:type="dxa"/>
              <w:end w:w="120" w:type="dxa"/>
            </w:tcMar>
            <w:vAlign w:val="center"/>
          </w:tcPr>
          <w:p>
            <w:r/>
            <w:r>
              <w:rPr>
                <w:rFonts w:ascii="Calibri" w:hAnsi="Calibri"/>
                <w:b w:val="0"/>
                <w:i w:val="0"/>
                <w:color w:val="000000"/>
                <w:sz w:val="18"/>
              </w:rPr>
              <w:t>Partiellement validé; ablations longues restantes</w:t>
            </w:r>
          </w:p>
        </w:tc>
      </w:tr>
      <w:tr>
        <w:tc>
          <w:tcPr>
            <w:tcW w:type="dxa" w:w="1800"/>
            <w:tcMar>
              <w:top w:w="80" w:type="dxa"/>
              <w:bottom w:w="80" w:type="dxa"/>
              <w:start w:w="120" w:type="dxa"/>
              <w:end w:w="120" w:type="dxa"/>
            </w:tcMar>
            <w:vAlign w:val="center"/>
          </w:tcPr>
          <w:p>
            <w:r/>
            <w:r>
              <w:rPr>
                <w:rFonts w:ascii="Calibri" w:hAnsi="Calibri"/>
                <w:b w:val="0"/>
                <w:i w:val="0"/>
                <w:color w:val="000000"/>
                <w:sz w:val="18"/>
              </w:rPr>
              <w:t>Climat/mémoire</w:t>
            </w:r>
          </w:p>
        </w:tc>
        <w:tc>
          <w:tcPr>
            <w:tcW w:type="dxa" w:w="4260"/>
            <w:tcMar>
              <w:top w:w="80" w:type="dxa"/>
              <w:bottom w:w="80" w:type="dxa"/>
              <w:start w:w="120" w:type="dxa"/>
              <w:end w:w="120" w:type="dxa"/>
            </w:tcMar>
            <w:vAlign w:val="center"/>
          </w:tcPr>
          <w:p>
            <w:r/>
            <w:r>
              <w:rPr>
                <w:rFonts w:ascii="Calibri" w:hAnsi="Calibri"/>
                <w:b w:val="0"/>
                <w:i w:val="0"/>
                <w:color w:val="000000"/>
                <w:sz w:val="18"/>
              </w:rPr>
              <w:t>Une mémoire améliore-t-elle la prédiction et produit-elle 100 ka ?</w:t>
            </w:r>
          </w:p>
        </w:tc>
        <w:tc>
          <w:tcPr>
            <w:tcW w:type="dxa" w:w="3300"/>
            <w:tcMar>
              <w:top w:w="80" w:type="dxa"/>
              <w:bottom w:w="80" w:type="dxa"/>
              <w:start w:w="120" w:type="dxa"/>
              <w:end w:w="120" w:type="dxa"/>
            </w:tcMar>
            <w:vAlign w:val="center"/>
          </w:tcPr>
          <w:p>
            <w:r/>
            <w:r>
              <w:rPr>
                <w:rFonts w:ascii="Calibri" w:hAnsi="Calibri"/>
                <w:b w:val="0"/>
                <w:i w:val="0"/>
                <w:color w:val="000000"/>
                <w:sz w:val="18"/>
              </w:rPr>
              <w:t>M2 réfuté</w:t>
            </w:r>
          </w:p>
        </w:tc>
      </w:tr>
      <w:tr>
        <w:tc>
          <w:tcPr>
            <w:tcW w:type="dxa" w:w="1800"/>
            <w:tcMar>
              <w:top w:w="80" w:type="dxa"/>
              <w:bottom w:w="80" w:type="dxa"/>
              <w:start w:w="120" w:type="dxa"/>
              <w:end w:w="120" w:type="dxa"/>
            </w:tcMar>
            <w:vAlign w:val="center"/>
          </w:tcPr>
          <w:p>
            <w:r/>
            <w:r>
              <w:rPr>
                <w:rFonts w:ascii="Calibri" w:hAnsi="Calibri"/>
                <w:b w:val="0"/>
                <w:i w:val="0"/>
                <w:color w:val="000000"/>
                <w:sz w:val="18"/>
              </w:rPr>
              <w:t>Vivant/antibiotiques</w:t>
            </w:r>
          </w:p>
        </w:tc>
        <w:tc>
          <w:tcPr>
            <w:tcW w:type="dxa" w:w="4260"/>
            <w:tcMar>
              <w:top w:w="80" w:type="dxa"/>
              <w:bottom w:w="80" w:type="dxa"/>
              <w:start w:w="120" w:type="dxa"/>
              <w:end w:w="120" w:type="dxa"/>
            </w:tcMar>
            <w:vAlign w:val="center"/>
          </w:tcPr>
          <w:p>
            <w:r/>
            <w:r>
              <w:rPr>
                <w:rFonts w:ascii="Calibri" w:hAnsi="Calibri"/>
                <w:b w:val="0"/>
                <w:i w:val="0"/>
                <w:color w:val="000000"/>
                <w:sz w:val="18"/>
              </w:rPr>
              <w:t>L’histoire d’exposition améliore-t-elle la survie future ?</w:t>
            </w:r>
          </w:p>
        </w:tc>
        <w:tc>
          <w:tcPr>
            <w:tcW w:type="dxa" w:w="3300"/>
            <w:tcMar>
              <w:top w:w="80" w:type="dxa"/>
              <w:bottom w:w="80" w:type="dxa"/>
              <w:start w:w="120" w:type="dxa"/>
              <w:end w:w="120" w:type="dxa"/>
            </w:tcMar>
            <w:vAlign w:val="center"/>
          </w:tcPr>
          <w:p>
            <w:r/>
            <w:r>
              <w:rPr>
                <w:rFonts w:ascii="Calibri" w:hAnsi="Calibri"/>
                <w:b w:val="0"/>
                <w:i w:val="0"/>
                <w:color w:val="000000"/>
                <w:sz w:val="18"/>
              </w:rPr>
              <w:t>Signal faible, jeu externe requis</w:t>
            </w:r>
          </w:p>
        </w:tc>
      </w:tr>
      <w:tr>
        <w:tc>
          <w:tcPr>
            <w:tcW w:type="dxa" w:w="1800"/>
            <w:tcMar>
              <w:top w:w="80" w:type="dxa"/>
              <w:bottom w:w="80" w:type="dxa"/>
              <w:start w:w="120" w:type="dxa"/>
              <w:end w:w="120" w:type="dxa"/>
            </w:tcMar>
            <w:vAlign w:val="center"/>
          </w:tcPr>
          <w:p>
            <w:r/>
            <w:r>
              <w:rPr>
                <w:rFonts w:ascii="Calibri" w:hAnsi="Calibri"/>
                <w:b w:val="0"/>
                <w:i w:val="0"/>
                <w:color w:val="000000"/>
                <w:sz w:val="18"/>
              </w:rPr>
              <w:t>Plateforme</w:t>
            </w:r>
          </w:p>
        </w:tc>
        <w:tc>
          <w:tcPr>
            <w:tcW w:type="dxa" w:w="4260"/>
            <w:tcMar>
              <w:top w:w="80" w:type="dxa"/>
              <w:bottom w:w="80" w:type="dxa"/>
              <w:start w:w="120" w:type="dxa"/>
              <w:end w:w="120" w:type="dxa"/>
            </w:tcMar>
            <w:vAlign w:val="center"/>
          </w:tcPr>
          <w:p>
            <w:r/>
            <w:r>
              <w:rPr>
                <w:rFonts w:ascii="Calibri" w:hAnsi="Calibri"/>
                <w:b w:val="0"/>
                <w:i w:val="0"/>
                <w:color w:val="000000"/>
                <w:sz w:val="18"/>
              </w:rPr>
              <w:t>Les protocoles sont-ils portables et falsifiables ?</w:t>
            </w:r>
          </w:p>
        </w:tc>
        <w:tc>
          <w:tcPr>
            <w:tcW w:type="dxa" w:w="3300"/>
            <w:tcMar>
              <w:top w:w="80" w:type="dxa"/>
              <w:bottom w:w="80" w:type="dxa"/>
              <w:start w:w="120" w:type="dxa"/>
              <w:end w:w="120" w:type="dxa"/>
            </w:tcMar>
            <w:vAlign w:val="center"/>
          </w:tcPr>
          <w:p>
            <w:r/>
            <w:r>
              <w:rPr>
                <w:rFonts w:ascii="Calibri" w:hAnsi="Calibri"/>
                <w:b w:val="0"/>
                <w:i w:val="0"/>
                <w:color w:val="000000"/>
                <w:sz w:val="18"/>
              </w:rPr>
              <w:t>Fortement amélioré; limites multi-plateformes</w:t>
            </w:r>
          </w:p>
        </w:tc>
      </w:tr>
    </w:tbl>
    <w:p>
      <w:pPr>
        <w:spacing w:after="40"/>
      </w:pPr>
    </w:p>
    <w:p>
      <w:pPr>
        <w:pStyle w:val="Heading1"/>
      </w:pPr>
      <w:r>
        <w:t>3. Données réelles mobilisées</w:t>
      </w:r>
    </w:p>
    <w:tbl>
      <w:tblPr>
        <w:tblStyle w:val="TableGrid"/>
        <w:tblW w:type="dxa" w:w="9360"/>
        <w:jc w:val="left"/>
        <w:tblLayout w:type="fixed"/>
        <w:tblLook w:firstColumn="1" w:firstRow="1" w:lastColumn="0" w:lastRow="0" w:noHBand="0" w:noVBand="1" w:val="04A0"/>
        <w:tblInd w:w="120" w:type="dxa"/>
      </w:tblPr>
      <w:tblGrid>
        <w:gridCol w:w="2200"/>
        <w:gridCol w:w="3500"/>
        <w:gridCol w:w="3660"/>
      </w:tblGrid>
      <w:tr>
        <w:trPr>
          <w:tblHeader w:val="true"/>
        </w:trPr>
        <w:tc>
          <w:tcPr>
            <w:tcW w:type="dxa" w:w="2200"/>
            <w:shd w:fill="F2F4F7"/>
            <w:tcMar>
              <w:top w:w="80" w:type="dxa"/>
              <w:bottom w:w="80" w:type="dxa"/>
              <w:start w:w="120" w:type="dxa"/>
              <w:end w:w="120" w:type="dxa"/>
            </w:tcMar>
            <w:vAlign w:val="center"/>
          </w:tcPr>
          <w:p>
            <w:r/>
            <w:r>
              <w:rPr>
                <w:rFonts w:ascii="Calibri" w:hAnsi="Calibri"/>
                <w:b/>
                <w:i w:val="0"/>
                <w:color w:val="17365D"/>
                <w:sz w:val="19"/>
              </w:rPr>
              <w:t>Jeu / archive</w:t>
            </w:r>
          </w:p>
        </w:tc>
        <w:tc>
          <w:tcPr>
            <w:tcW w:type="dxa" w:w="3500"/>
            <w:shd w:fill="F2F4F7"/>
            <w:tcMar>
              <w:top w:w="80" w:type="dxa"/>
              <w:bottom w:w="80" w:type="dxa"/>
              <w:start w:w="120" w:type="dxa"/>
              <w:end w:w="120" w:type="dxa"/>
            </w:tcMar>
            <w:vAlign w:val="center"/>
          </w:tcPr>
          <w:p>
            <w:r/>
            <w:r>
              <w:rPr>
                <w:rFonts w:ascii="Calibri" w:hAnsi="Calibri"/>
                <w:b/>
                <w:i w:val="0"/>
                <w:color w:val="17365D"/>
                <w:sz w:val="19"/>
              </w:rPr>
              <w:t>Usage</w:t>
            </w:r>
          </w:p>
        </w:tc>
        <w:tc>
          <w:tcPr>
            <w:tcW w:type="dxa" w:w="3660"/>
            <w:shd w:fill="F2F4F7"/>
            <w:tcMar>
              <w:top w:w="80" w:type="dxa"/>
              <w:bottom w:w="80" w:type="dxa"/>
              <w:start w:w="120" w:type="dxa"/>
              <w:end w:w="120" w:type="dxa"/>
            </w:tcMar>
            <w:vAlign w:val="center"/>
          </w:tcPr>
          <w:p>
            <w:r/>
            <w:r>
              <w:rPr>
                <w:rFonts w:ascii="Calibri" w:hAnsi="Calibri"/>
                <w:b/>
                <w:i w:val="0"/>
                <w:color w:val="17365D"/>
                <w:sz w:val="19"/>
              </w:rPr>
              <w:t>Provenance / limite</w:t>
            </w:r>
          </w:p>
        </w:tc>
      </w:tr>
      <w:tr>
        <w:tc>
          <w:tcPr>
            <w:tcW w:type="dxa" w:w="2200"/>
            <w:tcMar>
              <w:top w:w="80" w:type="dxa"/>
              <w:bottom w:w="80" w:type="dxa"/>
              <w:start w:w="120" w:type="dxa"/>
              <w:end w:w="120" w:type="dxa"/>
            </w:tcMar>
            <w:vAlign w:val="center"/>
          </w:tcPr>
          <w:p>
            <w:r/>
            <w:r>
              <w:rPr>
                <w:rFonts w:ascii="Calibri" w:hAnsi="Calibri"/>
                <w:b w:val="0"/>
                <w:i w:val="0"/>
                <w:color w:val="000000"/>
                <w:sz w:val="18"/>
              </w:rPr>
              <w:t>LR04 benthic δ18O</w:t>
            </w:r>
          </w:p>
        </w:tc>
        <w:tc>
          <w:tcPr>
            <w:tcW w:type="dxa" w:w="3500"/>
            <w:tcMar>
              <w:top w:w="80" w:type="dxa"/>
              <w:bottom w:w="80" w:type="dxa"/>
              <w:start w:w="120" w:type="dxa"/>
              <w:end w:w="120" w:type="dxa"/>
            </w:tcMar>
            <w:vAlign w:val="center"/>
          </w:tcPr>
          <w:p>
            <w:r/>
            <w:r>
              <w:rPr>
                <w:rFonts w:ascii="Calibri" w:hAnsi="Calibri"/>
                <w:b w:val="0"/>
                <w:i w:val="0"/>
                <w:color w:val="000000"/>
                <w:sz w:val="18"/>
              </w:rPr>
              <w:t>Paléoclimat 0–5,32 Ma, incertitude et spectres</w:t>
            </w:r>
          </w:p>
        </w:tc>
        <w:tc>
          <w:tcPr>
            <w:tcW w:type="dxa" w:w="3660"/>
            <w:tcMar>
              <w:top w:w="80" w:type="dxa"/>
              <w:bottom w:w="80" w:type="dxa"/>
              <w:start w:w="120" w:type="dxa"/>
              <w:end w:w="120" w:type="dxa"/>
            </w:tcMar>
            <w:vAlign w:val="center"/>
          </w:tcPr>
          <w:p>
            <w:r/>
            <w:r>
              <w:rPr>
                <w:rFonts w:ascii="Calibri" w:hAnsi="Calibri"/>
                <w:b w:val="0"/>
                <w:i w:val="0"/>
                <w:color w:val="000000"/>
                <w:sz w:val="18"/>
              </w:rPr>
              <w:t>Chronologie orbitalement accordée; non indépendante du forçage</w:t>
            </w:r>
          </w:p>
        </w:tc>
      </w:tr>
      <w:tr>
        <w:tc>
          <w:tcPr>
            <w:tcW w:type="dxa" w:w="2200"/>
            <w:tcMar>
              <w:top w:w="80" w:type="dxa"/>
              <w:bottom w:w="80" w:type="dxa"/>
              <w:start w:w="120" w:type="dxa"/>
              <w:end w:w="120" w:type="dxa"/>
            </w:tcMar>
            <w:vAlign w:val="center"/>
          </w:tcPr>
          <w:p>
            <w:r/>
            <w:r>
              <w:rPr>
                <w:rFonts w:ascii="Calibri" w:hAnsi="Calibri"/>
                <w:b w:val="0"/>
                <w:i w:val="0"/>
                <w:color w:val="000000"/>
                <w:sz w:val="18"/>
              </w:rPr>
              <w:t>La2004 / La2010 a–d</w:t>
            </w:r>
          </w:p>
        </w:tc>
        <w:tc>
          <w:tcPr>
            <w:tcW w:type="dxa" w:w="3500"/>
            <w:tcMar>
              <w:top w:w="80" w:type="dxa"/>
              <w:bottom w:w="80" w:type="dxa"/>
              <w:start w:w="120" w:type="dxa"/>
              <w:end w:w="120" w:type="dxa"/>
            </w:tcMar>
            <w:vAlign w:val="center"/>
          </w:tcPr>
          <w:p>
            <w:r/>
            <w:r>
              <w:rPr>
                <w:rFonts w:ascii="Calibri" w:hAnsi="Calibri"/>
                <w:b w:val="0"/>
                <w:i w:val="0"/>
                <w:color w:val="000000"/>
                <w:sz w:val="18"/>
              </w:rPr>
              <w:t>Forçage orbital, dispersion, référence spectrale</w:t>
            </w:r>
          </w:p>
        </w:tc>
        <w:tc>
          <w:tcPr>
            <w:tcW w:type="dxa" w:w="3660"/>
            <w:tcMar>
              <w:top w:w="80" w:type="dxa"/>
              <w:bottom w:w="80" w:type="dxa"/>
              <w:start w:w="120" w:type="dxa"/>
              <w:end w:w="120" w:type="dxa"/>
            </w:tcMar>
            <w:vAlign w:val="center"/>
          </w:tcPr>
          <w:p>
            <w:r/>
            <w:r>
              <w:rPr>
                <w:rFonts w:ascii="Calibri" w:hAnsi="Calibri"/>
                <w:b w:val="0"/>
                <w:i w:val="0"/>
                <w:color w:val="000000"/>
                <w:sz w:val="18"/>
              </w:rPr>
              <w:t>Quatre solutions admissibles comparées</w:t>
            </w:r>
          </w:p>
        </w:tc>
      </w:tr>
      <w:tr>
        <w:tc>
          <w:tcPr>
            <w:tcW w:type="dxa" w:w="2200"/>
            <w:tcMar>
              <w:top w:w="80" w:type="dxa"/>
              <w:bottom w:w="80" w:type="dxa"/>
              <w:start w:w="120" w:type="dxa"/>
              <w:end w:w="120" w:type="dxa"/>
            </w:tcMar>
            <w:vAlign w:val="center"/>
          </w:tcPr>
          <w:p>
            <w:r/>
            <w:r>
              <w:rPr>
                <w:rFonts w:ascii="Calibri" w:hAnsi="Calibri"/>
                <w:b w:val="0"/>
                <w:i w:val="0"/>
                <w:color w:val="000000"/>
                <w:sz w:val="18"/>
              </w:rPr>
              <w:t>GISTEMP</w:t>
            </w:r>
          </w:p>
        </w:tc>
        <w:tc>
          <w:tcPr>
            <w:tcW w:type="dxa" w:w="3500"/>
            <w:tcMar>
              <w:top w:w="80" w:type="dxa"/>
              <w:bottom w:w="80" w:type="dxa"/>
              <w:start w:w="120" w:type="dxa"/>
              <w:end w:w="120" w:type="dxa"/>
            </w:tcMar>
            <w:vAlign w:val="center"/>
          </w:tcPr>
          <w:p>
            <w:r/>
            <w:r>
              <w:rPr>
                <w:rFonts w:ascii="Calibri" w:hAnsi="Calibri"/>
                <w:b w:val="0"/>
                <w:i w:val="0"/>
                <w:color w:val="000000"/>
                <w:sz w:val="18"/>
              </w:rPr>
              <w:t>Température moderne et ensemble d’incertitude</w:t>
            </w:r>
          </w:p>
        </w:tc>
        <w:tc>
          <w:tcPr>
            <w:tcW w:type="dxa" w:w="3660"/>
            <w:tcMar>
              <w:top w:w="80" w:type="dxa"/>
              <w:bottom w:w="80" w:type="dxa"/>
              <w:start w:w="120" w:type="dxa"/>
              <w:end w:w="120" w:type="dxa"/>
            </w:tcMar>
            <w:vAlign w:val="center"/>
          </w:tcPr>
          <w:p>
            <w:r/>
            <w:r>
              <w:rPr>
                <w:rFonts w:ascii="Calibri" w:hAnsi="Calibri"/>
                <w:b w:val="0"/>
                <w:i w:val="0"/>
                <w:color w:val="000000"/>
                <w:sz w:val="18"/>
              </w:rPr>
              <w:t>Reconstruction observationnelle; pas scénarios d’hystérésis</w:t>
            </w:r>
          </w:p>
        </w:tc>
      </w:tr>
      <w:tr>
        <w:tc>
          <w:tcPr>
            <w:tcW w:type="dxa" w:w="2200"/>
            <w:tcMar>
              <w:top w:w="80" w:type="dxa"/>
              <w:bottom w:w="80" w:type="dxa"/>
              <w:start w:w="120" w:type="dxa"/>
              <w:end w:w="120" w:type="dxa"/>
            </w:tcMar>
            <w:vAlign w:val="center"/>
          </w:tcPr>
          <w:p>
            <w:r/>
            <w:r>
              <w:rPr>
                <w:rFonts w:ascii="Calibri" w:hAnsi="Calibri"/>
                <w:b w:val="0"/>
                <w:i w:val="0"/>
                <w:color w:val="000000"/>
                <w:sz w:val="18"/>
              </w:rPr>
              <w:t>Windels et al., Zenodo 7550302</w:t>
            </w:r>
          </w:p>
        </w:tc>
        <w:tc>
          <w:tcPr>
            <w:tcW w:type="dxa" w:w="3500"/>
            <w:tcMar>
              <w:top w:w="80" w:type="dxa"/>
              <w:bottom w:w="80" w:type="dxa"/>
              <w:start w:w="120" w:type="dxa"/>
              <w:end w:w="120" w:type="dxa"/>
            </w:tcMar>
            <w:vAlign w:val="center"/>
          </w:tcPr>
          <w:p>
            <w:r/>
            <w:r>
              <w:rPr>
                <w:rFonts w:ascii="Calibri" w:hAnsi="Calibri"/>
                <w:b w:val="0"/>
                <w:i w:val="0"/>
                <w:color w:val="000000"/>
                <w:sz w:val="18"/>
              </w:rPr>
              <w:t>Cycles d’antibiotique et survie</w:t>
            </w:r>
          </w:p>
        </w:tc>
        <w:tc>
          <w:tcPr>
            <w:tcW w:type="dxa" w:w="3660"/>
            <w:tcMar>
              <w:top w:w="80" w:type="dxa"/>
              <w:bottom w:w="80" w:type="dxa"/>
              <w:start w:w="120" w:type="dxa"/>
              <w:end w:w="120" w:type="dxa"/>
            </w:tcMar>
            <w:vAlign w:val="center"/>
          </w:tcPr>
          <w:p>
            <w:r/>
            <w:r>
              <w:rPr>
                <w:rFonts w:ascii="Calibri" w:hAnsi="Calibri"/>
                <w:b w:val="0"/>
                <w:i w:val="0"/>
                <w:color w:val="000000"/>
                <w:sz w:val="18"/>
              </w:rPr>
              <w:t>Amikacine; jointure longitudinale incomplète</w:t>
            </w:r>
          </w:p>
        </w:tc>
      </w:tr>
      <w:tr>
        <w:tc>
          <w:tcPr>
            <w:tcW w:type="dxa" w:w="2200"/>
            <w:tcMar>
              <w:top w:w="80" w:type="dxa"/>
              <w:bottom w:w="80" w:type="dxa"/>
              <w:start w:w="120" w:type="dxa"/>
              <w:end w:w="120" w:type="dxa"/>
            </w:tcMar>
            <w:vAlign w:val="center"/>
          </w:tcPr>
          <w:p>
            <w:r/>
            <w:r>
              <w:rPr>
                <w:rFonts w:ascii="Calibri" w:hAnsi="Calibri"/>
                <w:b w:val="0"/>
                <w:i w:val="0"/>
                <w:color w:val="000000"/>
                <w:sz w:val="18"/>
              </w:rPr>
              <w:t>NASA Exoplanet Archive</w:t>
            </w:r>
          </w:p>
        </w:tc>
        <w:tc>
          <w:tcPr>
            <w:tcW w:type="dxa" w:w="3500"/>
            <w:tcMar>
              <w:top w:w="80" w:type="dxa"/>
              <w:bottom w:w="80" w:type="dxa"/>
              <w:start w:w="120" w:type="dxa"/>
              <w:end w:w="120" w:type="dxa"/>
            </w:tcMar>
            <w:vAlign w:val="center"/>
          </w:tcPr>
          <w:p>
            <w:r/>
            <w:r>
              <w:rPr>
                <w:rFonts w:ascii="Calibri" w:hAnsi="Calibri"/>
                <w:b w:val="0"/>
                <w:i w:val="0"/>
                <w:color w:val="000000"/>
                <w:sz w:val="18"/>
              </w:rPr>
              <w:t>Contrôles et vallée des rayons</w:t>
            </w:r>
          </w:p>
        </w:tc>
        <w:tc>
          <w:tcPr>
            <w:tcW w:type="dxa" w:w="3660"/>
            <w:tcMar>
              <w:top w:w="80" w:type="dxa"/>
              <w:bottom w:w="80" w:type="dxa"/>
              <w:start w:w="120" w:type="dxa"/>
              <w:end w:w="120" w:type="dxa"/>
            </w:tcMar>
            <w:vAlign w:val="center"/>
          </w:tcPr>
          <w:p>
            <w:r/>
            <w:r>
              <w:rPr>
                <w:rFonts w:ascii="Calibri" w:hAnsi="Calibri"/>
                <w:b w:val="0"/>
                <w:i w:val="0"/>
                <w:color w:val="000000"/>
                <w:sz w:val="18"/>
              </w:rPr>
              <w:t>Provenance et requête conservées</w:t>
            </w:r>
          </w:p>
        </w:tc>
      </w:tr>
      <w:tr>
        <w:tc>
          <w:tcPr>
            <w:tcW w:type="dxa" w:w="2200"/>
            <w:tcMar>
              <w:top w:w="80" w:type="dxa"/>
              <w:bottom w:w="80" w:type="dxa"/>
              <w:start w:w="120" w:type="dxa"/>
              <w:end w:w="120" w:type="dxa"/>
            </w:tcMar>
            <w:vAlign w:val="center"/>
          </w:tcPr>
          <w:p>
            <w:r/>
            <w:r>
              <w:rPr>
                <w:rFonts w:ascii="Calibri" w:hAnsi="Calibri"/>
                <w:b w:val="0"/>
                <w:i w:val="0"/>
                <w:color w:val="000000"/>
                <w:sz w:val="18"/>
              </w:rPr>
              <w:t>JPL Horizons DE441</w:t>
            </w:r>
          </w:p>
        </w:tc>
        <w:tc>
          <w:tcPr>
            <w:tcW w:type="dxa" w:w="3500"/>
            <w:tcMar>
              <w:top w:w="80" w:type="dxa"/>
              <w:bottom w:w="80" w:type="dxa"/>
              <w:start w:w="120" w:type="dxa"/>
              <w:end w:w="120" w:type="dxa"/>
            </w:tcMar>
            <w:vAlign w:val="center"/>
          </w:tcPr>
          <w:p>
            <w:r/>
            <w:r>
              <w:rPr>
                <w:rFonts w:ascii="Calibri" w:hAnsi="Calibri"/>
                <w:b w:val="0"/>
                <w:i w:val="0"/>
                <w:color w:val="000000"/>
                <w:sz w:val="18"/>
              </w:rPr>
              <w:t>Conditions initiales N-body</w:t>
            </w:r>
          </w:p>
        </w:tc>
        <w:tc>
          <w:tcPr>
            <w:tcW w:type="dxa" w:w="3660"/>
            <w:tcMar>
              <w:top w:w="80" w:type="dxa"/>
              <w:bottom w:w="80" w:type="dxa"/>
              <w:start w:w="120" w:type="dxa"/>
              <w:end w:w="120" w:type="dxa"/>
            </w:tcMar>
            <w:vAlign w:val="center"/>
          </w:tcPr>
          <w:p>
            <w:r/>
            <w:r>
              <w:rPr>
                <w:rFonts w:ascii="Calibri" w:hAnsi="Calibri"/>
                <w:b w:val="0"/>
                <w:i w:val="0"/>
                <w:color w:val="000000"/>
                <w:sz w:val="18"/>
              </w:rPr>
              <w:t>Référence physique; REBOUNDx absent sous Windows</w:t>
            </w:r>
          </w:p>
        </w:tc>
      </w:tr>
      <w:tr>
        <w:tc>
          <w:tcPr>
            <w:tcW w:type="dxa" w:w="2200"/>
            <w:tcMar>
              <w:top w:w="80" w:type="dxa"/>
              <w:bottom w:w="80" w:type="dxa"/>
              <w:start w:w="120" w:type="dxa"/>
              <w:end w:w="120" w:type="dxa"/>
            </w:tcMar>
            <w:vAlign w:val="center"/>
          </w:tcPr>
          <w:p>
            <w:r/>
            <w:r>
              <w:rPr>
                <w:rFonts w:ascii="Calibri" w:hAnsi="Calibri"/>
                <w:b w:val="0"/>
                <w:i w:val="0"/>
                <w:color w:val="000000"/>
                <w:sz w:val="18"/>
              </w:rPr>
              <w:t>Transitions matière</w:t>
            </w:r>
          </w:p>
        </w:tc>
        <w:tc>
          <w:tcPr>
            <w:tcW w:type="dxa" w:w="3500"/>
            <w:tcMar>
              <w:top w:w="80" w:type="dxa"/>
              <w:bottom w:w="80" w:type="dxa"/>
              <w:start w:w="120" w:type="dxa"/>
              <w:end w:w="120" w:type="dxa"/>
            </w:tcMar>
            <w:vAlign w:val="center"/>
          </w:tcPr>
          <w:p>
            <w:r/>
            <w:r>
              <w:rPr>
                <w:rFonts w:ascii="Calibri" w:hAnsi="Calibri"/>
                <w:b w:val="0"/>
                <w:i w:val="0"/>
                <w:color w:val="000000"/>
                <w:sz w:val="18"/>
              </w:rPr>
              <w:t>40 transitions et six dimensions</w:t>
            </w:r>
          </w:p>
        </w:tc>
        <w:tc>
          <w:tcPr>
            <w:tcW w:type="dxa" w:w="3660"/>
            <w:tcMar>
              <w:top w:w="80" w:type="dxa"/>
              <w:bottom w:w="80" w:type="dxa"/>
              <w:start w:w="120" w:type="dxa"/>
              <w:end w:w="120" w:type="dxa"/>
            </w:tcMar>
            <w:vAlign w:val="center"/>
          </w:tcPr>
          <w:p>
            <w:r/>
            <w:r>
              <w:rPr>
                <w:rFonts w:ascii="Calibri" w:hAnsi="Calibri"/>
                <w:b w:val="0"/>
                <w:i w:val="0"/>
                <w:color w:val="000000"/>
                <w:sz w:val="18"/>
              </w:rPr>
              <w:t>Codages actuels essentiellement dérivés du régime</w:t>
            </w:r>
          </w:p>
        </w:tc>
      </w:tr>
    </w:tbl>
    <w:p>
      <w:pPr>
        <w:spacing w:after="40"/>
      </w:pPr>
    </w:p>
    <w:p>
      <w:pPr>
        <w:pStyle w:val="Heading1"/>
      </w:pPr>
      <w:r>
        <w:t>4. Avancées techniques et reproductibilité</w:t>
      </w:r>
    </w:p>
    <w:p>
      <w:pPr>
        <w:pStyle w:val="ListBullet"/>
        <w:spacing w:after="80" w:line="280" w:lineRule="auto"/>
        <w:ind w:left="720" w:hanging="360"/>
      </w:pPr>
      <w:r>
        <w:rPr>
          <w:rFonts w:ascii="Calibri" w:hAnsi="Calibri"/>
          <w:b w:val="0"/>
          <w:i w:val="0"/>
          <w:color w:val="000000"/>
          <w:sz w:val="22"/>
        </w:rPr>
        <w:t>Construction d’un dossier canonique séparé des anciens dossiers et de CumulativeSymbolicThreshold.</w:t>
      </w:r>
    </w:p>
    <w:p>
      <w:pPr>
        <w:pStyle w:val="ListBullet"/>
        <w:spacing w:after="80" w:line="280" w:lineRule="auto"/>
        <w:ind w:left="720" w:hanging="360"/>
      </w:pPr>
      <w:r>
        <w:rPr>
          <w:rFonts w:ascii="Calibri" w:hAnsi="Calibri"/>
          <w:b w:val="0"/>
          <w:i w:val="0"/>
          <w:color w:val="000000"/>
          <w:sz w:val="22"/>
        </w:rPr>
        <w:t>Provenance rendue portable : chemins relatifs, dates d’accès, requêtes et empreintes SHA-256.</w:t>
      </w:r>
    </w:p>
    <w:p>
      <w:pPr>
        <w:pStyle w:val="ListBullet"/>
        <w:spacing w:after="80" w:line="280" w:lineRule="auto"/>
        <w:ind w:left="720" w:hanging="360"/>
      </w:pPr>
      <w:r>
        <w:rPr>
          <w:rFonts w:ascii="Calibri" w:hAnsi="Calibri"/>
          <w:b w:val="0"/>
          <w:i w:val="0"/>
          <w:color w:val="000000"/>
          <w:sz w:val="22"/>
        </w:rPr>
        <w:t>Nettoyage des caches, fichiers .pyc, résidus de construction et données synthétiques hors périmètre empirique.</w:t>
      </w:r>
    </w:p>
    <w:p>
      <w:pPr>
        <w:pStyle w:val="ListBullet"/>
        <w:spacing w:after="80" w:line="280" w:lineRule="auto"/>
        <w:ind w:left="720" w:hanging="360"/>
      </w:pPr>
      <w:r>
        <w:rPr>
          <w:rFonts w:ascii="Calibri" w:hAnsi="Calibri"/>
          <w:b w:val="0"/>
          <w:i w:val="0"/>
          <w:color w:val="000000"/>
          <w:sz w:val="22"/>
        </w:rPr>
        <w:t>Installation de pytest, SciPy, scikit-learn et REBOUND 4.6.0 dans l’environnement d’exécution.</w:t>
      </w:r>
    </w:p>
    <w:p>
      <w:pPr>
        <w:pStyle w:val="ListBullet"/>
        <w:spacing w:after="80" w:line="280" w:lineRule="auto"/>
        <w:ind w:left="720" w:hanging="360"/>
      </w:pPr>
      <w:r>
        <w:rPr>
          <w:rFonts w:ascii="Calibri" w:hAnsi="Calibri"/>
          <w:b w:val="0"/>
          <w:i w:val="0"/>
          <w:color w:val="000000"/>
          <w:sz w:val="22"/>
        </w:rPr>
        <w:t>177 tests logiciels réussis; un échec attendu sur deux références non datées; un test REBOUNDx ignoré.</w:t>
      </w:r>
    </w:p>
    <w:p>
      <w:pPr>
        <w:pStyle w:val="ListBullet"/>
        <w:spacing w:after="80" w:line="280" w:lineRule="auto"/>
        <w:ind w:left="720" w:hanging="360"/>
      </w:pPr>
      <w:r>
        <w:rPr>
          <w:rFonts w:ascii="Calibri" w:hAnsi="Calibri"/>
          <w:b w:val="0"/>
          <w:i w:val="0"/>
          <w:color w:val="000000"/>
          <w:sz w:val="22"/>
        </w:rPr>
        <w:t>Correction d’un chemin ancien codé vers ORI-C_dossier_unique qui empêchait la comparaison La2010.</w:t>
      </w:r>
    </w:p>
    <w:p>
      <w:pPr>
        <w:pStyle w:val="ListBullet"/>
        <w:spacing w:after="80" w:line="280" w:lineRule="auto"/>
        <w:ind w:left="720" w:hanging="360"/>
      </w:pPr>
      <w:r>
        <w:rPr>
          <w:rFonts w:ascii="Calibri" w:hAnsi="Calibri"/>
          <w:b w:val="0"/>
          <w:i w:val="0"/>
          <w:color w:val="000000"/>
          <w:sz w:val="22"/>
        </w:rPr>
        <w:t>Manifeste final de cette campagne : 859 fichiers conformes, zéro absent, modifié ou non listé.</w:t>
      </w:r>
    </w:p>
    <w:tbl>
      <w:tblPr>
        <w:tblW w:type="dxa" w:w="9360"/>
        <w:jc w:val="left"/>
        <w:tblLayout w:type="fixed"/>
        <w:tblLook w:firstColumn="1" w:firstRow="1" w:lastColumn="0" w:lastRow="0" w:noHBand="0" w:noVBand="1" w:val="04A0"/>
        <w:tblInd w:w="180" w:type="dxa"/>
      </w:tblPr>
      <w:tblGrid>
        <w:gridCol w:w="9360"/>
      </w:tblGrid>
      <w:tr>
        <w:tc>
          <w:tcPr>
            <w:tcW w:type="dxa" w:w="9360"/>
            <w:shd w:fill="FDECEC"/>
            <w:tcMar>
              <w:top w:w="140" w:type="dxa"/>
              <w:bottom w:w="140" w:type="dxa"/>
              <w:start w:w="180" w:type="dxa"/>
              <w:end w:w="180" w:type="dxa"/>
            </w:tcMar>
          </w:tcPr>
          <w:p>
            <w:r/>
            <w:r>
              <w:rPr>
                <w:rFonts w:ascii="Calibri" w:hAnsi="Calibri"/>
                <w:b/>
                <w:i w:val="0"/>
                <w:color w:val="9B1C1C"/>
                <w:sz w:val="22"/>
              </w:rPr>
              <w:t xml:space="preserve">Limite reproductible  </w:t>
            </w:r>
            <w:r>
              <w:rPr>
                <w:rFonts w:ascii="Calibri" w:hAnsi="Calibri"/>
                <w:b w:val="0"/>
                <w:i w:val="0"/>
                <w:color w:val="000000"/>
                <w:sz w:val="22"/>
              </w:rPr>
              <w:t>REBOUNDx 4.6.2 ne se compile pas dans l’environnement Windows disponible faute de Microsoft Visual C++ 14+. La relativité générale n’a donc pas été rejouée; REBOUND gravitationnel pur fonctionne.</w:t>
            </w:r>
          </w:p>
        </w:tc>
      </w:tr>
    </w:tbl>
    <w:p>
      <w:pPr>
        <w:spacing w:after="20"/>
      </w:pPr>
    </w:p>
    <w:p>
      <w:pPr>
        <w:pStyle w:val="Heading1"/>
      </w:pPr>
      <w:r>
        <w:t>5. Résultats — socle relationnel</w:t>
      </w:r>
    </w:p>
    <w:p>
      <w:r>
        <w:rPr>
          <w:rFonts w:ascii="Calibri" w:hAnsi="Calibri"/>
          <w:b w:val="0"/>
          <w:i w:val="0"/>
          <w:color w:val="000000"/>
          <w:sz w:val="22"/>
        </w:rPr>
        <w:t>Un benchmark leave-one-target-node-out a comparé la chronologie seule à la chronologie enrichie du régime ORI-C. Il porte sur 42 liens positifs, 673 négatifs et 34 plis.</w:t>
      </w:r>
    </w:p>
    <w:tbl>
      <w:tblPr>
        <w:tblStyle w:val="TableGrid"/>
        <w:tblW w:type="dxa" w:w="9360"/>
        <w:jc w:val="left"/>
        <w:tblLayout w:type="fixed"/>
        <w:tblLook w:firstColumn="1" w:firstRow="1" w:lastColumn="0" w:lastRow="0" w:noHBand="0" w:noVBand="1" w:val="04A0"/>
        <w:tblInd w:w="120" w:type="dxa"/>
      </w:tblPr>
      <w:tblGrid>
        <w:gridCol w:w="3000"/>
        <w:gridCol w:w="1500"/>
        <w:gridCol w:w="4860"/>
      </w:tblGrid>
      <w:tr>
        <w:trPr>
          <w:tblHeader w:val="true"/>
        </w:trPr>
        <w:tc>
          <w:tcPr>
            <w:tcW w:type="dxa" w:w="3000"/>
            <w:shd w:fill="F2F4F7"/>
            <w:tcMar>
              <w:top w:w="80" w:type="dxa"/>
              <w:bottom w:w="80" w:type="dxa"/>
              <w:start w:w="120" w:type="dxa"/>
              <w:end w:w="120" w:type="dxa"/>
            </w:tcMar>
            <w:vAlign w:val="center"/>
          </w:tcPr>
          <w:p>
            <w:r/>
            <w:r>
              <w:rPr>
                <w:rFonts w:ascii="Calibri" w:hAnsi="Calibri"/>
                <w:b/>
                <w:i w:val="0"/>
                <w:color w:val="17365D"/>
                <w:sz w:val="19"/>
              </w:rPr>
              <w:t>Modèle</w:t>
            </w:r>
          </w:p>
        </w:tc>
        <w:tc>
          <w:tcPr>
            <w:tcW w:type="dxa" w:w="1500"/>
            <w:shd w:fill="F2F4F7"/>
            <w:tcMar>
              <w:top w:w="80" w:type="dxa"/>
              <w:bottom w:w="80" w:type="dxa"/>
              <w:start w:w="120" w:type="dxa"/>
              <w:end w:w="120" w:type="dxa"/>
            </w:tcMar>
            <w:vAlign w:val="center"/>
          </w:tcPr>
          <w:p>
            <w:r/>
            <w:r>
              <w:rPr>
                <w:rFonts w:ascii="Calibri" w:hAnsi="Calibri"/>
                <w:b/>
                <w:i w:val="0"/>
                <w:color w:val="17365D"/>
                <w:sz w:val="19"/>
              </w:rPr>
              <w:t>AUC</w:t>
            </w:r>
          </w:p>
        </w:tc>
        <w:tc>
          <w:tcPr>
            <w:tcW w:type="dxa" w:w="4860"/>
            <w:shd w:fill="F2F4F7"/>
            <w:tcMar>
              <w:top w:w="80" w:type="dxa"/>
              <w:bottom w:w="80" w:type="dxa"/>
              <w:start w:w="120" w:type="dxa"/>
              <w:end w:w="120" w:type="dxa"/>
            </w:tcMar>
            <w:vAlign w:val="center"/>
          </w:tcPr>
          <w:p>
            <w:r/>
            <w:r>
              <w:rPr>
                <w:rFonts w:ascii="Calibri" w:hAnsi="Calibri"/>
                <w:b/>
                <w:i w:val="0"/>
                <w:color w:val="17365D"/>
                <w:sz w:val="19"/>
              </w:rPr>
              <w:t>Interprétation</w:t>
            </w:r>
          </w:p>
        </w:tc>
      </w:tr>
      <w:tr>
        <w:tc>
          <w:tcPr>
            <w:tcW w:type="dxa" w:w="3000"/>
            <w:tcMar>
              <w:top w:w="80" w:type="dxa"/>
              <w:bottom w:w="80" w:type="dxa"/>
              <w:start w:w="120" w:type="dxa"/>
              <w:end w:w="120" w:type="dxa"/>
            </w:tcMar>
            <w:vAlign w:val="center"/>
          </w:tcPr>
          <w:p>
            <w:r/>
            <w:r>
              <w:rPr>
                <w:rFonts w:ascii="Calibri" w:hAnsi="Calibri"/>
                <w:b w:val="0"/>
                <w:i w:val="0"/>
                <w:color w:val="000000"/>
                <w:sz w:val="18"/>
              </w:rPr>
              <w:t>Chronologie seule</w:t>
            </w:r>
          </w:p>
        </w:tc>
        <w:tc>
          <w:tcPr>
            <w:tcW w:type="dxa" w:w="1500"/>
            <w:tcMar>
              <w:top w:w="80" w:type="dxa"/>
              <w:bottom w:w="80" w:type="dxa"/>
              <w:start w:w="120" w:type="dxa"/>
              <w:end w:w="120" w:type="dxa"/>
            </w:tcMar>
            <w:vAlign w:val="center"/>
          </w:tcPr>
          <w:p>
            <w:r/>
            <w:r>
              <w:rPr>
                <w:rFonts w:ascii="Calibri" w:hAnsi="Calibri"/>
                <w:b w:val="0"/>
                <w:i w:val="0"/>
                <w:color w:val="000000"/>
                <w:sz w:val="18"/>
              </w:rPr>
              <w:t>0,91453</w:t>
            </w:r>
          </w:p>
        </w:tc>
        <w:tc>
          <w:tcPr>
            <w:tcW w:type="dxa" w:w="4860"/>
            <w:tcMar>
              <w:top w:w="80" w:type="dxa"/>
              <w:bottom w:w="80" w:type="dxa"/>
              <w:start w:w="120" w:type="dxa"/>
              <w:end w:w="120" w:type="dxa"/>
            </w:tcMar>
            <w:vAlign w:val="center"/>
          </w:tcPr>
          <w:p>
            <w:r/>
            <w:r>
              <w:rPr>
                <w:rFonts w:ascii="Calibri" w:hAnsi="Calibri"/>
                <w:b w:val="0"/>
                <w:i w:val="0"/>
                <w:color w:val="000000"/>
                <w:sz w:val="18"/>
              </w:rPr>
              <w:t>Référence</w:t>
            </w:r>
          </w:p>
        </w:tc>
      </w:tr>
      <w:tr>
        <w:tc>
          <w:tcPr>
            <w:tcW w:type="dxa" w:w="3000"/>
            <w:tcMar>
              <w:top w:w="80" w:type="dxa"/>
              <w:bottom w:w="80" w:type="dxa"/>
              <w:start w:w="120" w:type="dxa"/>
              <w:end w:w="120" w:type="dxa"/>
            </w:tcMar>
            <w:vAlign w:val="center"/>
          </w:tcPr>
          <w:p>
            <w:r/>
            <w:r>
              <w:rPr>
                <w:rFonts w:ascii="Calibri" w:hAnsi="Calibri"/>
                <w:b w:val="0"/>
                <w:i w:val="0"/>
                <w:color w:val="000000"/>
                <w:sz w:val="18"/>
              </w:rPr>
              <w:t>Chronologie + régime ORI-C</w:t>
            </w:r>
          </w:p>
        </w:tc>
        <w:tc>
          <w:tcPr>
            <w:tcW w:type="dxa" w:w="1500"/>
            <w:tcMar>
              <w:top w:w="80" w:type="dxa"/>
              <w:bottom w:w="80" w:type="dxa"/>
              <w:start w:w="120" w:type="dxa"/>
              <w:end w:w="120" w:type="dxa"/>
            </w:tcMar>
            <w:vAlign w:val="center"/>
          </w:tcPr>
          <w:p>
            <w:r/>
            <w:r>
              <w:rPr>
                <w:rFonts w:ascii="Calibri" w:hAnsi="Calibri"/>
                <w:b w:val="0"/>
                <w:i w:val="0"/>
                <w:color w:val="000000"/>
                <w:sz w:val="18"/>
              </w:rPr>
              <w:t>0,90993</w:t>
            </w:r>
          </w:p>
        </w:tc>
        <w:tc>
          <w:tcPr>
            <w:tcW w:type="dxa" w:w="4860"/>
            <w:tcMar>
              <w:top w:w="80" w:type="dxa"/>
              <w:bottom w:w="80" w:type="dxa"/>
              <w:start w:w="120" w:type="dxa"/>
              <w:end w:w="120" w:type="dxa"/>
            </w:tcMar>
            <w:vAlign w:val="center"/>
          </w:tcPr>
          <w:p>
            <w:r/>
            <w:r>
              <w:rPr>
                <w:rFonts w:ascii="Calibri" w:hAnsi="Calibri"/>
                <w:b w:val="0"/>
                <w:i w:val="0"/>
                <w:color w:val="000000"/>
                <w:sz w:val="18"/>
              </w:rPr>
              <w:t>Aucune amélioration</w:t>
            </w:r>
          </w:p>
        </w:tc>
      </w:tr>
      <w:tr>
        <w:tc>
          <w:tcPr>
            <w:tcW w:type="dxa" w:w="3000"/>
            <w:tcMar>
              <w:top w:w="80" w:type="dxa"/>
              <w:bottom w:w="80" w:type="dxa"/>
              <w:start w:w="120" w:type="dxa"/>
              <w:end w:w="120" w:type="dxa"/>
            </w:tcMar>
            <w:vAlign w:val="center"/>
          </w:tcPr>
          <w:p>
            <w:r/>
            <w:r>
              <w:rPr>
                <w:rFonts w:ascii="Calibri" w:hAnsi="Calibri"/>
                <w:b w:val="0"/>
                <w:i w:val="0"/>
                <w:color w:val="000000"/>
                <w:sz w:val="18"/>
              </w:rPr>
              <w:t>Différence</w:t>
            </w:r>
          </w:p>
        </w:tc>
        <w:tc>
          <w:tcPr>
            <w:tcW w:type="dxa" w:w="1500"/>
            <w:tcMar>
              <w:top w:w="80" w:type="dxa"/>
              <w:bottom w:w="80" w:type="dxa"/>
              <w:start w:w="120" w:type="dxa"/>
              <w:end w:w="120" w:type="dxa"/>
            </w:tcMar>
            <w:vAlign w:val="center"/>
          </w:tcPr>
          <w:p>
            <w:r/>
            <w:r>
              <w:rPr>
                <w:rFonts w:ascii="Calibri" w:hAnsi="Calibri"/>
                <w:b w:val="0"/>
                <w:i w:val="0"/>
                <w:color w:val="000000"/>
                <w:sz w:val="18"/>
              </w:rPr>
              <w:t>−0,00460</w:t>
            </w:r>
          </w:p>
        </w:tc>
        <w:tc>
          <w:tcPr>
            <w:tcW w:type="dxa" w:w="4860"/>
            <w:tcMar>
              <w:top w:w="80" w:type="dxa"/>
              <w:bottom w:w="80" w:type="dxa"/>
              <w:start w:w="120" w:type="dxa"/>
              <w:end w:w="120" w:type="dxa"/>
            </w:tcMar>
            <w:vAlign w:val="center"/>
          </w:tcPr>
          <w:p>
            <w:r/>
            <w:r>
              <w:rPr>
                <w:rFonts w:ascii="Calibri" w:hAnsi="Calibri"/>
                <w:b w:val="0"/>
                <w:i w:val="0"/>
                <w:color w:val="000000"/>
                <w:sz w:val="18"/>
              </w:rPr>
              <w:t>p unilatéral = 0,3387 sur 1 000 permutations</w:t>
            </w:r>
          </w:p>
        </w:tc>
      </w:tr>
    </w:tbl>
    <w:p>
      <w:pPr>
        <w:spacing w:after="40"/>
      </w:pPr>
    </w:p>
    <w:p>
      <w:r>
        <w:rPr>
          <w:rFonts w:ascii="Calibri" w:hAnsi="Calibri"/>
          <w:b w:val="0"/>
          <w:i w:val="0"/>
          <w:color w:val="000000"/>
          <w:sz w:val="22"/>
        </w:rPr>
        <w:t>Décision : la carte relationnelle reste descriptive. Les attributs actuels n’apportent pas d’information prédictive hors chronologie.</w:t>
      </w:r>
    </w:p>
    <w:p>
      <w:pPr>
        <w:pStyle w:val="Heading1"/>
      </w:pPr>
      <w:r>
        <w:t>6. Résultats — branche matière</w:t>
      </w:r>
    </w:p>
    <w:p>
      <w:r>
        <w:rPr>
          <w:rFonts w:ascii="Calibri" w:hAnsi="Calibri"/>
          <w:b w:val="0"/>
          <w:i w:val="0"/>
          <w:color w:val="000000"/>
          <w:sz w:val="22"/>
        </w:rPr>
        <w:t>Sur 40 transitions, n, G, I, E et Pi possèdent chacune 3 bits d’entropie, entièrement expliqués par le régime. Leur information propre est nulle. H est constante à son niveau de base. Le gain conditionnel des six dimensions pour la fermeture de domaine est nul.</w:t>
      </w:r>
    </w:p>
    <w:tbl>
      <w:tblPr>
        <w:tblW w:type="dxa" w:w="9360"/>
        <w:jc w:val="left"/>
        <w:tblLayout w:type="fixed"/>
        <w:tblLook w:firstColumn="1" w:firstRow="1" w:lastColumn="0" w:lastRow="0" w:noHBand="0" w:noVBand="1" w:val="04A0"/>
        <w:tblInd w:w="180" w:type="dxa"/>
      </w:tblPr>
      <w:tblGrid>
        <w:gridCol w:w="9360"/>
      </w:tblGrid>
      <w:tr>
        <w:tc>
          <w:tcPr>
            <w:tcW w:type="dxa" w:w="9360"/>
            <w:shd w:fill="FDECEC"/>
            <w:tcMar>
              <w:top w:w="140" w:type="dxa"/>
              <w:bottom w:w="140" w:type="dxa"/>
              <w:start w:w="180" w:type="dxa"/>
              <w:end w:w="180" w:type="dxa"/>
            </w:tcMar>
          </w:tcPr>
          <w:p>
            <w:r/>
            <w:r>
              <w:rPr>
                <w:rFonts w:ascii="Calibri" w:hAnsi="Calibri"/>
                <w:b/>
                <w:i w:val="0"/>
                <w:color w:val="9B1C1C"/>
                <w:sz w:val="22"/>
              </w:rPr>
              <w:t xml:space="preserve">Réfutation  </w:t>
            </w:r>
            <w:r>
              <w:rPr>
                <w:rFonts w:ascii="Calibri" w:hAnsi="Calibri"/>
                <w:b w:val="0"/>
                <w:i w:val="0"/>
                <w:color w:val="000000"/>
                <w:sz w:val="22"/>
              </w:rPr>
              <w:t>Le remplissage formel des six colonnes ne constitue pas six mesures indépendantes. Les dimensions actuelles sont des réécritures du régime et doivent être remplacées par des observables sourcées et plusieurs codeurs indépendants.</w:t>
            </w:r>
          </w:p>
        </w:tc>
      </w:tr>
    </w:tbl>
    <w:p>
      <w:pPr>
        <w:spacing w:after="20"/>
      </w:pPr>
    </w:p>
    <w:p>
      <w:pPr>
        <w:pStyle w:val="Heading1"/>
      </w:pPr>
      <w:r>
        <w:t>7. Résultats — astronomie</w:t>
      </w:r>
    </w:p>
    <w:p>
      <w:r>
        <w:rPr>
          <w:rFonts w:ascii="Calibri" w:hAnsi="Calibri"/>
          <w:b w:val="0"/>
          <w:i w:val="0"/>
          <w:color w:val="000000"/>
          <w:sz w:val="22"/>
        </w:rPr>
        <w:t>La comparaison N-body/La2004 montre une divergence progressive de phase tandis que la structure spectrale longue reste appariée.</w:t>
      </w:r>
    </w:p>
    <w:tbl>
      <w:tblPr>
        <w:tblStyle w:val="TableGrid"/>
        <w:tblW w:type="dxa" w:w="9360"/>
        <w:jc w:val="left"/>
        <w:tblLayout w:type="fixed"/>
        <w:tblLook w:firstColumn="1" w:firstRow="1" w:lastColumn="0" w:lastRow="0" w:noHBand="0" w:noVBand="1" w:val="04A0"/>
        <w:tblInd w:w="120" w:type="dxa"/>
      </w:tblPr>
      <w:tblGrid>
        <w:gridCol w:w="2400"/>
        <w:gridCol w:w="2700"/>
        <w:gridCol w:w="4260"/>
      </w:tblGrid>
      <w:tr>
        <w:trPr>
          <w:tblHeader w:val="true"/>
        </w:trPr>
        <w:tc>
          <w:tcPr>
            <w:tcW w:type="dxa" w:w="2400"/>
            <w:shd w:fill="F2F4F7"/>
            <w:tcMar>
              <w:top w:w="80" w:type="dxa"/>
              <w:bottom w:w="80" w:type="dxa"/>
              <w:start w:w="120" w:type="dxa"/>
              <w:end w:w="120" w:type="dxa"/>
            </w:tcMar>
            <w:vAlign w:val="center"/>
          </w:tcPr>
          <w:p>
            <w:r/>
            <w:r>
              <w:rPr>
                <w:rFonts w:ascii="Calibri" w:hAnsi="Calibri"/>
                <w:b/>
                <w:i w:val="0"/>
                <w:color w:val="17365D"/>
                <w:sz w:val="19"/>
              </w:rPr>
              <w:t>Fenêtre</w:t>
            </w:r>
          </w:p>
        </w:tc>
        <w:tc>
          <w:tcPr>
            <w:tcW w:type="dxa" w:w="2700"/>
            <w:shd w:fill="F2F4F7"/>
            <w:tcMar>
              <w:top w:w="80" w:type="dxa"/>
              <w:bottom w:w="80" w:type="dxa"/>
              <w:start w:w="120" w:type="dxa"/>
              <w:end w:w="120" w:type="dxa"/>
            </w:tcMar>
            <w:vAlign w:val="center"/>
          </w:tcPr>
          <w:p>
            <w:r/>
            <w:r>
              <w:rPr>
                <w:rFonts w:ascii="Calibri" w:hAnsi="Calibri"/>
                <w:b/>
                <w:i w:val="0"/>
                <w:color w:val="17365D"/>
                <w:sz w:val="19"/>
              </w:rPr>
              <w:t>Corrélation de phase</w:t>
            </w:r>
          </w:p>
        </w:tc>
        <w:tc>
          <w:tcPr>
            <w:tcW w:type="dxa" w:w="4260"/>
            <w:shd w:fill="F2F4F7"/>
            <w:tcMar>
              <w:top w:w="80" w:type="dxa"/>
              <w:bottom w:w="80" w:type="dxa"/>
              <w:start w:w="120" w:type="dxa"/>
              <w:end w:w="120" w:type="dxa"/>
            </w:tcMar>
            <w:vAlign w:val="center"/>
          </w:tcPr>
          <w:p>
            <w:r/>
            <w:r>
              <w:rPr>
                <w:rFonts w:ascii="Calibri" w:hAnsi="Calibri"/>
                <w:b/>
                <w:i w:val="0"/>
                <w:color w:val="17365D"/>
                <w:sz w:val="19"/>
              </w:rPr>
              <w:t>Période dominante appariée</w:t>
            </w:r>
          </w:p>
        </w:tc>
      </w:tr>
      <w:tr>
        <w:tc>
          <w:tcPr>
            <w:tcW w:type="dxa" w:w="2400"/>
            <w:tcMar>
              <w:top w:w="80" w:type="dxa"/>
              <w:bottom w:w="80" w:type="dxa"/>
              <w:start w:w="120" w:type="dxa"/>
              <w:end w:w="120" w:type="dxa"/>
            </w:tcMar>
            <w:vAlign w:val="center"/>
          </w:tcPr>
          <w:p>
            <w:r/>
            <w:r>
              <w:rPr>
                <w:rFonts w:ascii="Calibri" w:hAnsi="Calibri"/>
                <w:b w:val="0"/>
                <w:i w:val="0"/>
                <w:color w:val="000000"/>
                <w:sz w:val="18"/>
              </w:rPr>
              <w:t>100 ka</w:t>
            </w:r>
          </w:p>
        </w:tc>
        <w:tc>
          <w:tcPr>
            <w:tcW w:type="dxa" w:w="2700"/>
            <w:tcMar>
              <w:top w:w="80" w:type="dxa"/>
              <w:bottom w:w="80" w:type="dxa"/>
              <w:start w:w="120" w:type="dxa"/>
              <w:end w:w="120" w:type="dxa"/>
            </w:tcMar>
            <w:vAlign w:val="center"/>
          </w:tcPr>
          <w:p>
            <w:r/>
            <w:r>
              <w:rPr>
                <w:rFonts w:ascii="Calibri" w:hAnsi="Calibri"/>
                <w:b w:val="0"/>
                <w:i w:val="0"/>
                <w:color w:val="000000"/>
                <w:sz w:val="18"/>
              </w:rPr>
              <w:t>0,99997</w:t>
            </w:r>
          </w:p>
        </w:tc>
        <w:tc>
          <w:tcPr>
            <w:tcW w:type="dxa" w:w="4260"/>
            <w:tcMar>
              <w:top w:w="80" w:type="dxa"/>
              <w:bottom w:w="80" w:type="dxa"/>
              <w:start w:w="120" w:type="dxa"/>
              <w:end w:w="120" w:type="dxa"/>
            </w:tcMar>
            <w:vAlign w:val="center"/>
          </w:tcPr>
          <w:p>
            <w:r/>
            <w:r>
              <w:rPr>
                <w:rFonts w:ascii="Calibri" w:hAnsi="Calibri"/>
                <w:b w:val="0"/>
                <w:i w:val="0"/>
                <w:color w:val="000000"/>
                <w:sz w:val="18"/>
              </w:rPr>
              <w:t>50,5 ka</w:t>
            </w:r>
          </w:p>
        </w:tc>
      </w:tr>
      <w:tr>
        <w:tc>
          <w:tcPr>
            <w:tcW w:type="dxa" w:w="2400"/>
            <w:tcMar>
              <w:top w:w="80" w:type="dxa"/>
              <w:bottom w:w="80" w:type="dxa"/>
              <w:start w:w="120" w:type="dxa"/>
              <w:end w:w="120" w:type="dxa"/>
            </w:tcMar>
            <w:vAlign w:val="center"/>
          </w:tcPr>
          <w:p>
            <w:r/>
            <w:r>
              <w:rPr>
                <w:rFonts w:ascii="Calibri" w:hAnsi="Calibri"/>
                <w:b w:val="0"/>
                <w:i w:val="0"/>
                <w:color w:val="000000"/>
                <w:sz w:val="18"/>
              </w:rPr>
              <w:t>6,9 Ma</w:t>
            </w:r>
          </w:p>
        </w:tc>
        <w:tc>
          <w:tcPr>
            <w:tcW w:type="dxa" w:w="2700"/>
            <w:tcMar>
              <w:top w:w="80" w:type="dxa"/>
              <w:bottom w:w="80" w:type="dxa"/>
              <w:start w:w="120" w:type="dxa"/>
              <w:end w:w="120" w:type="dxa"/>
            </w:tcMar>
            <w:vAlign w:val="center"/>
          </w:tcPr>
          <w:p>
            <w:r/>
            <w:r>
              <w:rPr>
                <w:rFonts w:ascii="Calibri" w:hAnsi="Calibri"/>
                <w:b w:val="0"/>
                <w:i w:val="0"/>
                <w:color w:val="000000"/>
                <w:sz w:val="18"/>
              </w:rPr>
              <w:t>0,91248</w:t>
            </w:r>
          </w:p>
        </w:tc>
        <w:tc>
          <w:tcPr>
            <w:tcW w:type="dxa" w:w="4260"/>
            <w:tcMar>
              <w:top w:w="80" w:type="dxa"/>
              <w:bottom w:w="80" w:type="dxa"/>
              <w:start w:w="120" w:type="dxa"/>
              <w:end w:w="120" w:type="dxa"/>
            </w:tcMar>
            <w:vAlign w:val="center"/>
          </w:tcPr>
          <w:p>
            <w:r/>
            <w:r>
              <w:rPr>
                <w:rFonts w:ascii="Calibri" w:hAnsi="Calibri"/>
                <w:b w:val="0"/>
                <w:i w:val="0"/>
                <w:color w:val="000000"/>
                <w:sz w:val="18"/>
              </w:rPr>
              <w:t>405,94 ka</w:t>
            </w:r>
          </w:p>
        </w:tc>
      </w:tr>
      <w:tr>
        <w:tc>
          <w:tcPr>
            <w:tcW w:type="dxa" w:w="2400"/>
            <w:tcMar>
              <w:top w:w="80" w:type="dxa"/>
              <w:bottom w:w="80" w:type="dxa"/>
              <w:start w:w="120" w:type="dxa"/>
              <w:end w:w="120" w:type="dxa"/>
            </w:tcMar>
            <w:vAlign w:val="center"/>
          </w:tcPr>
          <w:p>
            <w:r/>
            <w:r>
              <w:rPr>
                <w:rFonts w:ascii="Calibri" w:hAnsi="Calibri"/>
                <w:b w:val="0"/>
                <w:i w:val="0"/>
                <w:color w:val="000000"/>
                <w:sz w:val="18"/>
              </w:rPr>
              <w:t>20 Ma</w:t>
            </w:r>
          </w:p>
        </w:tc>
        <w:tc>
          <w:tcPr>
            <w:tcW w:type="dxa" w:w="2700"/>
            <w:tcMar>
              <w:top w:w="80" w:type="dxa"/>
              <w:bottom w:w="80" w:type="dxa"/>
              <w:start w:w="120" w:type="dxa"/>
              <w:end w:w="120" w:type="dxa"/>
            </w:tcMar>
            <w:vAlign w:val="center"/>
          </w:tcPr>
          <w:p>
            <w:r/>
            <w:r>
              <w:rPr>
                <w:rFonts w:ascii="Calibri" w:hAnsi="Calibri"/>
                <w:b w:val="0"/>
                <w:i w:val="0"/>
                <w:color w:val="000000"/>
                <w:sz w:val="18"/>
              </w:rPr>
              <w:t>0,49567</w:t>
            </w:r>
          </w:p>
        </w:tc>
        <w:tc>
          <w:tcPr>
            <w:tcW w:type="dxa" w:w="4260"/>
            <w:tcMar>
              <w:top w:w="80" w:type="dxa"/>
              <w:bottom w:w="80" w:type="dxa"/>
              <w:start w:w="120" w:type="dxa"/>
              <w:end w:w="120" w:type="dxa"/>
            </w:tcMar>
            <w:vAlign w:val="center"/>
          </w:tcPr>
          <w:p>
            <w:r/>
            <w:r>
              <w:rPr>
                <w:rFonts w:ascii="Calibri" w:hAnsi="Calibri"/>
                <w:b w:val="0"/>
                <w:i w:val="0"/>
                <w:color w:val="000000"/>
                <w:sz w:val="18"/>
              </w:rPr>
              <w:t>408,18 ka</w:t>
            </w:r>
          </w:p>
        </w:tc>
      </w:tr>
    </w:tbl>
    <w:p>
      <w:pPr>
        <w:spacing w:after="40"/>
      </w:pPr>
    </w:p>
    <w:p>
      <w:r>
        <w:rPr>
          <w:rFonts w:ascii="Calibri" w:hAnsi="Calibri"/>
          <w:b w:val="0"/>
          <w:i w:val="0"/>
          <w:color w:val="000000"/>
          <w:sz w:val="22"/>
        </w:rPr>
        <w:t>Le quickcheck REBOUND 200 ans conserve tous les corps liés, avec une erreur relative maximale d’énergie de 5,31×10⁻¹³ et de moment angulaire de 1,08×10⁻¹⁴. Son pic dominant de 4,01 ans est uniquement un contrôle numérique.</w:t>
      </w:r>
    </w:p>
    <w:p>
      <w:r>
        <w:rPr>
          <w:rFonts w:ascii="Calibri" w:hAnsi="Calibri"/>
          <w:b w:val="0"/>
          <w:i w:val="0"/>
          <w:color w:val="000000"/>
          <w:sz w:val="22"/>
        </w:rPr>
        <w:t>Les quatre solutions La2010 ont été comparées sur 2 601 points : dispersion relative moyenne d’excentricité 5,19×10⁻⁴; maximum absolu 1,06×10⁻⁴.</w:t>
      </w:r>
    </w:p>
    <w:p>
      <w:r>
        <w:rPr>
          <w:rFonts w:ascii="Calibri" w:hAnsi="Calibri"/>
          <w:b w:val="0"/>
          <w:i w:val="0"/>
          <w:color w:val="000000"/>
          <w:sz w:val="22"/>
        </w:rPr>
        <w:t>Portée : ces résultats soutiennent la distinction phase/spectre. Ils ne démontrent ni une mémoire climatique ni un mécanisme ORI-C.</w:t>
      </w:r>
    </w:p>
    <w:p>
      <w:pPr>
        <w:pStyle w:val="Heading1"/>
      </w:pPr>
      <w:r>
        <w:t>8. Résultats — climat et mémoire historique</w:t>
      </w:r>
    </w:p>
    <w:p>
      <w:pPr>
        <w:pStyle w:val="Heading2"/>
      </w:pPr>
      <w:r>
        <w:t>8.1 Propriété observationnelle de LR04</w:t>
      </w:r>
    </w:p>
    <w:p>
      <w:r>
        <w:rPr>
          <w:rFonts w:ascii="Calibri" w:hAnsi="Calibri"/>
          <w:b w:val="0"/>
          <w:i w:val="0"/>
          <w:color w:val="000000"/>
          <w:sz w:val="22"/>
        </w:rPr>
        <w:t>Chaque fenêtre a été comparée à 5 000 réalisations d’un bruit rouge AR(1), avec correction de Bonferroni pour les bandes 41 ka et 100 ka.</w:t>
      </w:r>
    </w:p>
    <w:tbl>
      <w:tblPr>
        <w:tblStyle w:val="TableGrid"/>
        <w:tblW w:type="dxa" w:w="9360"/>
        <w:jc w:val="left"/>
        <w:tblLayout w:type="fixed"/>
        <w:tblLook w:firstColumn="1" w:firstRow="1" w:lastColumn="0" w:lastRow="0" w:noHBand="0" w:noVBand="1" w:val="04A0"/>
        <w:tblInd w:w="120" w:type="dxa"/>
      </w:tblPr>
      <w:tblGrid>
        <w:gridCol w:w="1800"/>
        <w:gridCol w:w="1800"/>
        <w:gridCol w:w="1900"/>
        <w:gridCol w:w="3860"/>
      </w:tblGrid>
      <w:tr>
        <w:trPr>
          <w:tblHeader w:val="true"/>
        </w:trPr>
        <w:tc>
          <w:tcPr>
            <w:tcW w:type="dxa" w:w="1800"/>
            <w:shd w:fill="F2F4F7"/>
            <w:tcMar>
              <w:top w:w="80" w:type="dxa"/>
              <w:bottom w:w="80" w:type="dxa"/>
              <w:start w:w="120" w:type="dxa"/>
              <w:end w:w="120" w:type="dxa"/>
            </w:tcMar>
            <w:vAlign w:val="center"/>
          </w:tcPr>
          <w:p>
            <w:r/>
            <w:r>
              <w:rPr>
                <w:rFonts w:ascii="Calibri" w:hAnsi="Calibri"/>
                <w:b/>
                <w:i w:val="0"/>
                <w:color w:val="17365D"/>
                <w:sz w:val="19"/>
              </w:rPr>
              <w:t>Fenêtre</w:t>
            </w:r>
          </w:p>
        </w:tc>
        <w:tc>
          <w:tcPr>
            <w:tcW w:type="dxa" w:w="1800"/>
            <w:shd w:fill="F2F4F7"/>
            <w:tcMar>
              <w:top w:w="80" w:type="dxa"/>
              <w:bottom w:w="80" w:type="dxa"/>
              <w:start w:w="120" w:type="dxa"/>
              <w:end w:w="120" w:type="dxa"/>
            </w:tcMar>
            <w:vAlign w:val="center"/>
          </w:tcPr>
          <w:p>
            <w:r/>
            <w:r>
              <w:rPr>
                <w:rFonts w:ascii="Calibri" w:hAnsi="Calibri"/>
                <w:b/>
                <w:i w:val="0"/>
                <w:color w:val="17365D"/>
                <w:sz w:val="19"/>
              </w:rPr>
              <w:t>41 ka, p corrigé</w:t>
            </w:r>
          </w:p>
        </w:tc>
        <w:tc>
          <w:tcPr>
            <w:tcW w:type="dxa" w:w="1900"/>
            <w:shd w:fill="F2F4F7"/>
            <w:tcMar>
              <w:top w:w="80" w:type="dxa"/>
              <w:bottom w:w="80" w:type="dxa"/>
              <w:start w:w="120" w:type="dxa"/>
              <w:end w:w="120" w:type="dxa"/>
            </w:tcMar>
            <w:vAlign w:val="center"/>
          </w:tcPr>
          <w:p>
            <w:r/>
            <w:r>
              <w:rPr>
                <w:rFonts w:ascii="Calibri" w:hAnsi="Calibri"/>
                <w:b/>
                <w:i w:val="0"/>
                <w:color w:val="17365D"/>
                <w:sz w:val="19"/>
              </w:rPr>
              <w:t>100 ka, p corrigé</w:t>
            </w:r>
          </w:p>
        </w:tc>
        <w:tc>
          <w:tcPr>
            <w:tcW w:type="dxa" w:w="3860"/>
            <w:shd w:fill="F2F4F7"/>
            <w:tcMar>
              <w:top w:w="80" w:type="dxa"/>
              <w:bottom w:w="80" w:type="dxa"/>
              <w:start w:w="120" w:type="dxa"/>
              <w:end w:w="120" w:type="dxa"/>
            </w:tcMar>
            <w:vAlign w:val="center"/>
          </w:tcPr>
          <w:p>
            <w:r/>
            <w:r>
              <w:rPr>
                <w:rFonts w:ascii="Calibri" w:hAnsi="Calibri"/>
                <w:b/>
                <w:i w:val="0"/>
                <w:color w:val="17365D"/>
                <w:sz w:val="19"/>
              </w:rPr>
              <w:t>Lecture</w:t>
            </w:r>
          </w:p>
        </w:tc>
      </w:tr>
      <w:tr>
        <w:tc>
          <w:tcPr>
            <w:tcW w:type="dxa" w:w="1800"/>
            <w:tcMar>
              <w:top w:w="80" w:type="dxa"/>
              <w:bottom w:w="80" w:type="dxa"/>
              <w:start w:w="120" w:type="dxa"/>
              <w:end w:w="120" w:type="dxa"/>
            </w:tcMar>
            <w:vAlign w:val="center"/>
          </w:tcPr>
          <w:p>
            <w:r/>
            <w:r>
              <w:rPr>
                <w:rFonts w:ascii="Calibri" w:hAnsi="Calibri"/>
                <w:b w:val="0"/>
                <w:i w:val="0"/>
                <w:color w:val="000000"/>
                <w:sz w:val="18"/>
              </w:rPr>
              <w:t>0–2600 ka</w:t>
            </w:r>
          </w:p>
        </w:tc>
        <w:tc>
          <w:tcPr>
            <w:tcW w:type="dxa" w:w="1800"/>
            <w:tcMar>
              <w:top w:w="80" w:type="dxa"/>
              <w:bottom w:w="80" w:type="dxa"/>
              <w:start w:w="120" w:type="dxa"/>
              <w:end w:w="120" w:type="dxa"/>
            </w:tcMar>
            <w:vAlign w:val="center"/>
          </w:tcPr>
          <w:p>
            <w:r/>
            <w:r>
              <w:rPr>
                <w:rFonts w:ascii="Calibri" w:hAnsi="Calibri"/>
                <w:b w:val="0"/>
                <w:i w:val="0"/>
                <w:color w:val="000000"/>
                <w:sz w:val="18"/>
              </w:rPr>
              <w:t>0,000400</w:t>
            </w:r>
          </w:p>
        </w:tc>
        <w:tc>
          <w:tcPr>
            <w:tcW w:type="dxa" w:w="1900"/>
            <w:tcMar>
              <w:top w:w="80" w:type="dxa"/>
              <w:bottom w:w="80" w:type="dxa"/>
              <w:start w:w="120" w:type="dxa"/>
              <w:end w:w="120" w:type="dxa"/>
            </w:tcMar>
            <w:vAlign w:val="center"/>
          </w:tcPr>
          <w:p>
            <w:r/>
            <w:r>
              <w:rPr>
                <w:rFonts w:ascii="Calibri" w:hAnsi="Calibri"/>
                <w:b w:val="0"/>
                <w:i w:val="0"/>
                <w:color w:val="000000"/>
                <w:sz w:val="18"/>
              </w:rPr>
              <w:t>0,000800</w:t>
            </w:r>
          </w:p>
        </w:tc>
        <w:tc>
          <w:tcPr>
            <w:tcW w:type="dxa" w:w="3860"/>
            <w:tcMar>
              <w:top w:w="80" w:type="dxa"/>
              <w:bottom w:w="80" w:type="dxa"/>
              <w:start w:w="120" w:type="dxa"/>
              <w:end w:w="120" w:type="dxa"/>
            </w:tcMar>
            <w:vAlign w:val="center"/>
          </w:tcPr>
          <w:p>
            <w:r/>
            <w:r>
              <w:rPr>
                <w:rFonts w:ascii="Calibri" w:hAnsi="Calibri"/>
                <w:b w:val="0"/>
                <w:i w:val="0"/>
                <w:color w:val="000000"/>
                <w:sz w:val="18"/>
              </w:rPr>
              <w:t>Deux bandes au-dessus du bruit rouge</w:t>
            </w:r>
          </w:p>
        </w:tc>
      </w:tr>
      <w:tr>
        <w:tc>
          <w:tcPr>
            <w:tcW w:type="dxa" w:w="1800"/>
            <w:tcMar>
              <w:top w:w="80" w:type="dxa"/>
              <w:bottom w:w="80" w:type="dxa"/>
              <w:start w:w="120" w:type="dxa"/>
              <w:end w:w="120" w:type="dxa"/>
            </w:tcMar>
            <w:vAlign w:val="center"/>
          </w:tcPr>
          <w:p>
            <w:r/>
            <w:r>
              <w:rPr>
                <w:rFonts w:ascii="Calibri" w:hAnsi="Calibri"/>
                <w:b w:val="0"/>
                <w:i w:val="0"/>
                <w:color w:val="000000"/>
                <w:sz w:val="18"/>
              </w:rPr>
              <w:t>0–1200 ka</w:t>
            </w:r>
          </w:p>
        </w:tc>
        <w:tc>
          <w:tcPr>
            <w:tcW w:type="dxa" w:w="1800"/>
            <w:tcMar>
              <w:top w:w="80" w:type="dxa"/>
              <w:bottom w:w="80" w:type="dxa"/>
              <w:start w:w="120" w:type="dxa"/>
              <w:end w:w="120" w:type="dxa"/>
            </w:tcMar>
            <w:vAlign w:val="center"/>
          </w:tcPr>
          <w:p>
            <w:r/>
            <w:r>
              <w:rPr>
                <w:rFonts w:ascii="Calibri" w:hAnsi="Calibri"/>
                <w:b w:val="0"/>
                <w:i w:val="0"/>
                <w:color w:val="000000"/>
                <w:sz w:val="18"/>
              </w:rPr>
              <w:t>0,000400</w:t>
            </w:r>
          </w:p>
        </w:tc>
        <w:tc>
          <w:tcPr>
            <w:tcW w:type="dxa" w:w="1900"/>
            <w:tcMar>
              <w:top w:w="80" w:type="dxa"/>
              <w:bottom w:w="80" w:type="dxa"/>
              <w:start w:w="120" w:type="dxa"/>
              <w:end w:w="120" w:type="dxa"/>
            </w:tcMar>
            <w:vAlign w:val="center"/>
          </w:tcPr>
          <w:p>
            <w:r/>
            <w:r>
              <w:rPr>
                <w:rFonts w:ascii="Calibri" w:hAnsi="Calibri"/>
                <w:b w:val="0"/>
                <w:i w:val="0"/>
                <w:color w:val="000000"/>
                <w:sz w:val="18"/>
              </w:rPr>
              <w:t>0,000400</w:t>
            </w:r>
          </w:p>
        </w:tc>
        <w:tc>
          <w:tcPr>
            <w:tcW w:type="dxa" w:w="3860"/>
            <w:tcMar>
              <w:top w:w="80" w:type="dxa"/>
              <w:bottom w:w="80" w:type="dxa"/>
              <w:start w:w="120" w:type="dxa"/>
              <w:end w:w="120" w:type="dxa"/>
            </w:tcMar>
            <w:vAlign w:val="center"/>
          </w:tcPr>
          <w:p>
            <w:r/>
            <w:r>
              <w:rPr>
                <w:rFonts w:ascii="Calibri" w:hAnsi="Calibri"/>
                <w:b w:val="0"/>
                <w:i w:val="0"/>
                <w:color w:val="000000"/>
                <w:sz w:val="18"/>
              </w:rPr>
              <w:t>100 ka très présent</w:t>
            </w:r>
          </w:p>
        </w:tc>
      </w:tr>
      <w:tr>
        <w:tc>
          <w:tcPr>
            <w:tcW w:type="dxa" w:w="1800"/>
            <w:tcMar>
              <w:top w:w="80" w:type="dxa"/>
              <w:bottom w:w="80" w:type="dxa"/>
              <w:start w:w="120" w:type="dxa"/>
              <w:end w:w="120" w:type="dxa"/>
            </w:tcMar>
            <w:vAlign w:val="center"/>
          </w:tcPr>
          <w:p>
            <w:r/>
            <w:r>
              <w:rPr>
                <w:rFonts w:ascii="Calibri" w:hAnsi="Calibri"/>
                <w:b w:val="0"/>
                <w:i w:val="0"/>
                <w:color w:val="000000"/>
                <w:sz w:val="18"/>
              </w:rPr>
              <w:t>700–1900 ka</w:t>
            </w:r>
          </w:p>
        </w:tc>
        <w:tc>
          <w:tcPr>
            <w:tcW w:type="dxa" w:w="1800"/>
            <w:tcMar>
              <w:top w:w="80" w:type="dxa"/>
              <w:bottom w:w="80" w:type="dxa"/>
              <w:start w:w="120" w:type="dxa"/>
              <w:end w:w="120" w:type="dxa"/>
            </w:tcMar>
            <w:vAlign w:val="center"/>
          </w:tcPr>
          <w:p>
            <w:r/>
            <w:r>
              <w:rPr>
                <w:rFonts w:ascii="Calibri" w:hAnsi="Calibri"/>
                <w:b w:val="0"/>
                <w:i w:val="0"/>
                <w:color w:val="000000"/>
                <w:sz w:val="18"/>
              </w:rPr>
              <w:t>0,000400</w:t>
            </w:r>
          </w:p>
        </w:tc>
        <w:tc>
          <w:tcPr>
            <w:tcW w:type="dxa" w:w="1900"/>
            <w:tcMar>
              <w:top w:w="80" w:type="dxa"/>
              <w:bottom w:w="80" w:type="dxa"/>
              <w:start w:w="120" w:type="dxa"/>
              <w:end w:w="120" w:type="dxa"/>
            </w:tcMar>
            <w:vAlign w:val="center"/>
          </w:tcPr>
          <w:p>
            <w:r/>
            <w:r>
              <w:rPr>
                <w:rFonts w:ascii="Calibri" w:hAnsi="Calibri"/>
                <w:b w:val="0"/>
                <w:i w:val="0"/>
                <w:color w:val="000000"/>
                <w:sz w:val="18"/>
              </w:rPr>
              <w:t>1,000</w:t>
            </w:r>
          </w:p>
        </w:tc>
        <w:tc>
          <w:tcPr>
            <w:tcW w:type="dxa" w:w="3860"/>
            <w:tcMar>
              <w:top w:w="80" w:type="dxa"/>
              <w:bottom w:w="80" w:type="dxa"/>
              <w:start w:w="120" w:type="dxa"/>
              <w:end w:w="120" w:type="dxa"/>
            </w:tcMar>
            <w:vAlign w:val="center"/>
          </w:tcPr>
          <w:p>
            <w:r/>
            <w:r>
              <w:rPr>
                <w:rFonts w:ascii="Calibri" w:hAnsi="Calibri"/>
                <w:b w:val="0"/>
                <w:i w:val="0"/>
                <w:color w:val="000000"/>
                <w:sz w:val="18"/>
              </w:rPr>
              <w:t>100 ka absent</w:t>
            </w:r>
          </w:p>
        </w:tc>
      </w:tr>
      <w:tr>
        <w:tc>
          <w:tcPr>
            <w:tcW w:type="dxa" w:w="1800"/>
            <w:tcMar>
              <w:top w:w="80" w:type="dxa"/>
              <w:bottom w:w="80" w:type="dxa"/>
              <w:start w:w="120" w:type="dxa"/>
              <w:end w:w="120" w:type="dxa"/>
            </w:tcMar>
            <w:vAlign w:val="center"/>
          </w:tcPr>
          <w:p>
            <w:r/>
            <w:r>
              <w:rPr>
                <w:rFonts w:ascii="Calibri" w:hAnsi="Calibri"/>
                <w:b w:val="0"/>
                <w:i w:val="0"/>
                <w:color w:val="000000"/>
                <w:sz w:val="18"/>
              </w:rPr>
              <w:t>1400–2600 ka</w:t>
            </w:r>
          </w:p>
        </w:tc>
        <w:tc>
          <w:tcPr>
            <w:tcW w:type="dxa" w:w="1800"/>
            <w:tcMar>
              <w:top w:w="80" w:type="dxa"/>
              <w:bottom w:w="80" w:type="dxa"/>
              <w:start w:w="120" w:type="dxa"/>
              <w:end w:w="120" w:type="dxa"/>
            </w:tcMar>
            <w:vAlign w:val="center"/>
          </w:tcPr>
          <w:p>
            <w:r/>
            <w:r>
              <w:rPr>
                <w:rFonts w:ascii="Calibri" w:hAnsi="Calibri"/>
                <w:b w:val="0"/>
                <w:i w:val="0"/>
                <w:color w:val="000000"/>
                <w:sz w:val="18"/>
              </w:rPr>
              <w:t>0,000400</w:t>
            </w:r>
          </w:p>
        </w:tc>
        <w:tc>
          <w:tcPr>
            <w:tcW w:type="dxa" w:w="1900"/>
            <w:tcMar>
              <w:top w:w="80" w:type="dxa"/>
              <w:bottom w:w="80" w:type="dxa"/>
              <w:start w:w="120" w:type="dxa"/>
              <w:end w:w="120" w:type="dxa"/>
            </w:tcMar>
            <w:vAlign w:val="center"/>
          </w:tcPr>
          <w:p>
            <w:r/>
            <w:r>
              <w:rPr>
                <w:rFonts w:ascii="Calibri" w:hAnsi="Calibri"/>
                <w:b w:val="0"/>
                <w:i w:val="0"/>
                <w:color w:val="000000"/>
                <w:sz w:val="18"/>
              </w:rPr>
              <w:t>0,74545</w:t>
            </w:r>
          </w:p>
        </w:tc>
        <w:tc>
          <w:tcPr>
            <w:tcW w:type="dxa" w:w="3860"/>
            <w:tcMar>
              <w:top w:w="80" w:type="dxa"/>
              <w:bottom w:w="80" w:type="dxa"/>
              <w:start w:w="120" w:type="dxa"/>
              <w:end w:w="120" w:type="dxa"/>
            </w:tcMar>
            <w:vAlign w:val="center"/>
          </w:tcPr>
          <w:p>
            <w:r/>
            <w:r>
              <w:rPr>
                <w:rFonts w:ascii="Calibri" w:hAnsi="Calibri"/>
                <w:b w:val="0"/>
                <w:i w:val="0"/>
                <w:color w:val="000000"/>
                <w:sz w:val="18"/>
              </w:rPr>
              <w:t>100 ka absent</w:t>
            </w:r>
          </w:p>
        </w:tc>
      </w:tr>
    </w:tbl>
    <w:p>
      <w:pPr>
        <w:spacing w:after="40"/>
      </w:pPr>
    </w:p>
    <w:p>
      <w:r>
        <w:rPr>
          <w:rFonts w:ascii="Calibri" w:hAnsi="Calibri"/>
          <w:b w:val="0"/>
          <w:i w:val="0"/>
          <w:color w:val="000000"/>
          <w:sz w:val="22"/>
        </w:rPr>
        <w:t>Découverte : 41 ka est stable, tandis que 100 ka émerge tardivement. Ce résultat contraint les modèles mais ne prouve aucune causalité ORI-C.</w:t>
      </w:r>
    </w:p>
    <w:p>
      <w:pPr>
        <w:pStyle w:val="Heading2"/>
      </w:pPr>
      <w:r>
        <w:t>8.2 Réfutation approfondie de M2</w:t>
      </w:r>
    </w:p>
    <w:tbl>
      <w:tblPr>
        <w:tblStyle w:val="TableGrid"/>
        <w:tblW w:type="dxa" w:w="9360"/>
        <w:jc w:val="left"/>
        <w:tblLayout w:type="fixed"/>
        <w:tblLook w:firstColumn="1" w:firstRow="1" w:lastColumn="0" w:lastRow="0" w:noHBand="0" w:noVBand="1" w:val="04A0"/>
        <w:tblInd w:w="120" w:type="dxa"/>
      </w:tblPr>
      <w:tblGrid>
        <w:gridCol w:w="1900"/>
        <w:gridCol w:w="4800"/>
        <w:gridCol w:w="2660"/>
      </w:tblGrid>
      <w:tr>
        <w:trPr>
          <w:tblHeader w:val="true"/>
        </w:trPr>
        <w:tc>
          <w:tcPr>
            <w:tcW w:type="dxa" w:w="1900"/>
            <w:shd w:fill="F2F4F7"/>
            <w:tcMar>
              <w:top w:w="80" w:type="dxa"/>
              <w:bottom w:w="80" w:type="dxa"/>
              <w:start w:w="120" w:type="dxa"/>
              <w:end w:w="120" w:type="dxa"/>
            </w:tcMar>
            <w:vAlign w:val="center"/>
          </w:tcPr>
          <w:p>
            <w:r/>
            <w:r>
              <w:rPr>
                <w:rFonts w:ascii="Calibri" w:hAnsi="Calibri"/>
                <w:b/>
                <w:i w:val="0"/>
                <w:color w:val="17365D"/>
                <w:sz w:val="19"/>
              </w:rPr>
              <w:t>Test</w:t>
            </w:r>
          </w:p>
        </w:tc>
        <w:tc>
          <w:tcPr>
            <w:tcW w:type="dxa" w:w="4800"/>
            <w:shd w:fill="F2F4F7"/>
            <w:tcMar>
              <w:top w:w="80" w:type="dxa"/>
              <w:bottom w:w="80" w:type="dxa"/>
              <w:start w:w="120" w:type="dxa"/>
              <w:end w:w="120" w:type="dxa"/>
            </w:tcMar>
            <w:vAlign w:val="center"/>
          </w:tcPr>
          <w:p>
            <w:r/>
            <w:r>
              <w:rPr>
                <w:rFonts w:ascii="Calibri" w:hAnsi="Calibri"/>
                <w:b/>
                <w:i w:val="0"/>
                <w:color w:val="17365D"/>
                <w:sz w:val="19"/>
              </w:rPr>
              <w:t>Résultat essentiel</w:t>
            </w:r>
          </w:p>
        </w:tc>
        <w:tc>
          <w:tcPr>
            <w:tcW w:type="dxa" w:w="2660"/>
            <w:shd w:fill="F2F4F7"/>
            <w:tcMar>
              <w:top w:w="80" w:type="dxa"/>
              <w:bottom w:w="80" w:type="dxa"/>
              <w:start w:w="120" w:type="dxa"/>
              <w:end w:w="120" w:type="dxa"/>
            </w:tcMar>
            <w:vAlign w:val="center"/>
          </w:tcPr>
          <w:p>
            <w:r/>
            <w:r>
              <w:rPr>
                <w:rFonts w:ascii="Calibri" w:hAnsi="Calibri"/>
                <w:b/>
                <w:i w:val="0"/>
                <w:color w:val="17365D"/>
                <w:sz w:val="19"/>
              </w:rPr>
              <w:t>Verdict</w:t>
            </w:r>
          </w:p>
        </w:tc>
      </w:tr>
      <w:tr>
        <w:tc>
          <w:tcPr>
            <w:tcW w:type="dxa" w:w="1900"/>
            <w:tcMar>
              <w:top w:w="80" w:type="dxa"/>
              <w:bottom w:w="80" w:type="dxa"/>
              <w:start w:w="120" w:type="dxa"/>
              <w:end w:w="120" w:type="dxa"/>
            </w:tcMar>
            <w:vAlign w:val="center"/>
          </w:tcPr>
          <w:p>
            <w:r/>
            <w:r>
              <w:rPr>
                <w:rFonts w:ascii="Calibri" w:hAnsi="Calibri"/>
                <w:b w:val="0"/>
                <w:i w:val="0"/>
                <w:color w:val="000000"/>
                <w:sz w:val="18"/>
              </w:rPr>
              <w:t>Harnais principal</w:t>
            </w:r>
          </w:p>
        </w:tc>
        <w:tc>
          <w:tcPr>
            <w:tcW w:type="dxa" w:w="4800"/>
            <w:tcMar>
              <w:top w:w="80" w:type="dxa"/>
              <w:bottom w:w="80" w:type="dxa"/>
              <w:start w:w="120" w:type="dxa"/>
              <w:end w:w="120" w:type="dxa"/>
            </w:tcMar>
            <w:vAlign w:val="center"/>
          </w:tcPr>
          <w:p>
            <w:r/>
            <w:r>
              <w:rPr>
                <w:rFonts w:ascii="Calibri" w:hAnsi="Calibri"/>
                <w:b w:val="0"/>
                <w:i w:val="0"/>
                <w:color w:val="000000"/>
                <w:sz w:val="18"/>
              </w:rPr>
              <w:t>1 critère sur 10; r₁ résiduel = 0,97026</w:t>
            </w:r>
          </w:p>
        </w:tc>
        <w:tc>
          <w:tcPr>
            <w:tcW w:type="dxa" w:w="2660"/>
            <w:tcMar>
              <w:top w:w="80" w:type="dxa"/>
              <w:bottom w:w="80" w:type="dxa"/>
              <w:start w:w="120" w:type="dxa"/>
              <w:end w:w="120" w:type="dxa"/>
            </w:tcMar>
            <w:vAlign w:val="center"/>
          </w:tcPr>
          <w:p>
            <w:r/>
            <w:r>
              <w:rPr>
                <w:rFonts w:ascii="Calibri" w:hAnsi="Calibri"/>
                <w:b w:val="0"/>
                <w:i w:val="0"/>
                <w:color w:val="000000"/>
                <w:sz w:val="18"/>
              </w:rPr>
              <w:t>Échec</w:t>
            </w:r>
          </w:p>
        </w:tc>
      </w:tr>
      <w:tr>
        <w:tc>
          <w:tcPr>
            <w:tcW w:type="dxa" w:w="1900"/>
            <w:tcMar>
              <w:top w:w="80" w:type="dxa"/>
              <w:bottom w:w="80" w:type="dxa"/>
              <w:start w:w="120" w:type="dxa"/>
              <w:end w:w="120" w:type="dxa"/>
            </w:tcMar>
            <w:vAlign w:val="center"/>
          </w:tcPr>
          <w:p>
            <w:r/>
            <w:r>
              <w:rPr>
                <w:rFonts w:ascii="Calibri" w:hAnsi="Calibri"/>
                <w:b w:val="0"/>
                <w:i w:val="0"/>
                <w:color w:val="000000"/>
                <w:sz w:val="18"/>
              </w:rPr>
              <w:t>Spectre hors échantillon</w:t>
            </w:r>
          </w:p>
        </w:tc>
        <w:tc>
          <w:tcPr>
            <w:tcW w:type="dxa" w:w="4800"/>
            <w:tcMar>
              <w:top w:w="80" w:type="dxa"/>
              <w:bottom w:w="80" w:type="dxa"/>
              <w:start w:w="120" w:type="dxa"/>
              <w:end w:w="120" w:type="dxa"/>
            </w:tcMar>
            <w:vAlign w:val="center"/>
          </w:tcPr>
          <w:p>
            <w:r/>
            <w:r>
              <w:rPr>
                <w:rFonts w:ascii="Calibri" w:hAnsi="Calibri"/>
                <w:b w:val="0"/>
                <w:i w:val="0"/>
                <w:color w:val="000000"/>
                <w:sz w:val="18"/>
              </w:rPr>
              <w:t>M2 100/41 = 0,00469; LR04 = 2,60362</w:t>
            </w:r>
          </w:p>
        </w:tc>
        <w:tc>
          <w:tcPr>
            <w:tcW w:type="dxa" w:w="2660"/>
            <w:tcMar>
              <w:top w:w="80" w:type="dxa"/>
              <w:bottom w:w="80" w:type="dxa"/>
              <w:start w:w="120" w:type="dxa"/>
              <w:end w:w="120" w:type="dxa"/>
            </w:tcMar>
            <w:vAlign w:val="center"/>
          </w:tcPr>
          <w:p>
            <w:r/>
            <w:r>
              <w:rPr>
                <w:rFonts w:ascii="Calibri" w:hAnsi="Calibri"/>
                <w:b w:val="0"/>
                <w:i w:val="0"/>
                <w:color w:val="000000"/>
                <w:sz w:val="18"/>
              </w:rPr>
              <w:t>Cible non reproduite</w:t>
            </w:r>
          </w:p>
        </w:tc>
      </w:tr>
      <w:tr>
        <w:tc>
          <w:tcPr>
            <w:tcW w:type="dxa" w:w="1900"/>
            <w:tcMar>
              <w:top w:w="80" w:type="dxa"/>
              <w:bottom w:w="80" w:type="dxa"/>
              <w:start w:w="120" w:type="dxa"/>
              <w:end w:w="120" w:type="dxa"/>
            </w:tcMar>
            <w:vAlign w:val="center"/>
          </w:tcPr>
          <w:p>
            <w:r/>
            <w:r>
              <w:rPr>
                <w:rFonts w:ascii="Calibri" w:hAnsi="Calibri"/>
                <w:b w:val="0"/>
                <w:i w:val="0"/>
                <w:color w:val="000000"/>
                <w:sz w:val="18"/>
              </w:rPr>
              <w:t>T1 incertitude LR04</w:t>
            </w:r>
          </w:p>
        </w:tc>
        <w:tc>
          <w:tcPr>
            <w:tcW w:type="dxa" w:w="4800"/>
            <w:tcMar>
              <w:top w:w="80" w:type="dxa"/>
              <w:bottom w:w="80" w:type="dxa"/>
              <w:start w:w="120" w:type="dxa"/>
              <w:end w:w="120" w:type="dxa"/>
            </w:tcMar>
            <w:vAlign w:val="center"/>
          </w:tcPr>
          <w:p>
            <w:r/>
            <w:r>
              <w:rPr>
                <w:rFonts w:ascii="Calibri" w:hAnsi="Calibri"/>
                <w:b w:val="0"/>
                <w:i w:val="0"/>
                <w:color w:val="000000"/>
                <w:sz w:val="18"/>
              </w:rPr>
              <w:t>Gain M2/M1 = 0,3765 fois l’incertitude</w:t>
            </w:r>
          </w:p>
        </w:tc>
        <w:tc>
          <w:tcPr>
            <w:tcW w:type="dxa" w:w="2660"/>
            <w:tcMar>
              <w:top w:w="80" w:type="dxa"/>
              <w:bottom w:w="80" w:type="dxa"/>
              <w:start w:w="120" w:type="dxa"/>
              <w:end w:w="120" w:type="dxa"/>
            </w:tcMar>
            <w:vAlign w:val="center"/>
          </w:tcPr>
          <w:p>
            <w:r/>
            <w:r>
              <w:rPr>
                <w:rFonts w:ascii="Calibri" w:hAnsi="Calibri"/>
                <w:b w:val="0"/>
                <w:i w:val="0"/>
                <w:color w:val="000000"/>
                <w:sz w:val="18"/>
              </w:rPr>
              <w:t>Non interprétable</w:t>
            </w:r>
          </w:p>
        </w:tc>
      </w:tr>
      <w:tr>
        <w:tc>
          <w:tcPr>
            <w:tcW w:type="dxa" w:w="1900"/>
            <w:tcMar>
              <w:top w:w="80" w:type="dxa"/>
              <w:bottom w:w="80" w:type="dxa"/>
              <w:start w:w="120" w:type="dxa"/>
              <w:end w:w="120" w:type="dxa"/>
            </w:tcMar>
            <w:vAlign w:val="center"/>
          </w:tcPr>
          <w:p>
            <w:r/>
            <w:r>
              <w:rPr>
                <w:rFonts w:ascii="Calibri" w:hAnsi="Calibri"/>
                <w:b w:val="0"/>
                <w:i w:val="0"/>
                <w:color w:val="000000"/>
                <w:sz w:val="18"/>
              </w:rPr>
              <w:t>T2 sur 5,3 Ma</w:t>
            </w:r>
          </w:p>
        </w:tc>
        <w:tc>
          <w:tcPr>
            <w:tcW w:type="dxa" w:w="4800"/>
            <w:tcMar>
              <w:top w:w="80" w:type="dxa"/>
              <w:bottom w:w="80" w:type="dxa"/>
              <w:start w:w="120" w:type="dxa"/>
              <w:end w:w="120" w:type="dxa"/>
            </w:tcMar>
            <w:vAlign w:val="center"/>
          </w:tcPr>
          <w:p>
            <w:r/>
            <w:r>
              <w:rPr>
                <w:rFonts w:ascii="Calibri" w:hAnsi="Calibri"/>
                <w:b w:val="0"/>
                <w:i w:val="0"/>
                <w:color w:val="000000"/>
                <w:sz w:val="18"/>
              </w:rPr>
              <w:t>RMSE M2 6,7566; M1P 2,7674</w:t>
            </w:r>
          </w:p>
        </w:tc>
        <w:tc>
          <w:tcPr>
            <w:tcW w:type="dxa" w:w="2660"/>
            <w:tcMar>
              <w:top w:w="80" w:type="dxa"/>
              <w:bottom w:w="80" w:type="dxa"/>
              <w:start w:w="120" w:type="dxa"/>
              <w:end w:w="120" w:type="dxa"/>
            </w:tcMar>
            <w:vAlign w:val="center"/>
          </w:tcPr>
          <w:p>
            <w:r/>
            <w:r>
              <w:rPr>
                <w:rFonts w:ascii="Calibri" w:hAnsi="Calibri"/>
                <w:b w:val="0"/>
                <w:i w:val="0"/>
                <w:color w:val="000000"/>
                <w:sz w:val="18"/>
              </w:rPr>
              <w:t>M2 fortement battu</w:t>
            </w:r>
          </w:p>
        </w:tc>
      </w:tr>
      <w:tr>
        <w:tc>
          <w:tcPr>
            <w:tcW w:type="dxa" w:w="1900"/>
            <w:tcMar>
              <w:top w:w="80" w:type="dxa"/>
              <w:bottom w:w="80" w:type="dxa"/>
              <w:start w:w="120" w:type="dxa"/>
              <w:end w:w="120" w:type="dxa"/>
            </w:tcMar>
            <w:vAlign w:val="center"/>
          </w:tcPr>
          <w:p>
            <w:r/>
            <w:r>
              <w:rPr>
                <w:rFonts w:ascii="Calibri" w:hAnsi="Calibri"/>
                <w:b w:val="0"/>
                <w:i w:val="0"/>
                <w:color w:val="000000"/>
                <w:sz w:val="18"/>
              </w:rPr>
              <w:t>T4 chronologie</w:t>
            </w:r>
          </w:p>
        </w:tc>
        <w:tc>
          <w:tcPr>
            <w:tcW w:type="dxa" w:w="4800"/>
            <w:tcMar>
              <w:top w:w="80" w:type="dxa"/>
              <w:bottom w:w="80" w:type="dxa"/>
              <w:start w:w="120" w:type="dxa"/>
              <w:end w:w="120" w:type="dxa"/>
            </w:tcMar>
            <w:vAlign w:val="center"/>
          </w:tcPr>
          <w:p>
            <w:r/>
            <w:r>
              <w:rPr>
                <w:rFonts w:ascii="Calibri" w:hAnsi="Calibri"/>
                <w:b w:val="0"/>
                <w:i w:val="0"/>
                <w:color w:val="000000"/>
                <w:sz w:val="18"/>
              </w:rPr>
              <w:t>Franchissement LR04 4 350 ka; M2 1 850 ka</w:t>
            </w:r>
          </w:p>
        </w:tc>
        <w:tc>
          <w:tcPr>
            <w:tcW w:type="dxa" w:w="2660"/>
            <w:tcMar>
              <w:top w:w="80" w:type="dxa"/>
              <w:bottom w:w="80" w:type="dxa"/>
              <w:start w:w="120" w:type="dxa"/>
              <w:end w:w="120" w:type="dxa"/>
            </w:tcMar>
            <w:vAlign w:val="center"/>
          </w:tcPr>
          <w:p>
            <w:r/>
            <w:r>
              <w:rPr>
                <w:rFonts w:ascii="Calibri" w:hAnsi="Calibri"/>
                <w:b w:val="0"/>
                <w:i w:val="0"/>
                <w:color w:val="000000"/>
                <w:sz w:val="18"/>
              </w:rPr>
              <w:t>Transition mal placée</w:t>
            </w:r>
          </w:p>
        </w:tc>
      </w:tr>
      <w:tr>
        <w:tc>
          <w:tcPr>
            <w:tcW w:type="dxa" w:w="1900"/>
            <w:tcMar>
              <w:top w:w="80" w:type="dxa"/>
              <w:bottom w:w="80" w:type="dxa"/>
              <w:start w:w="120" w:type="dxa"/>
              <w:end w:w="120" w:type="dxa"/>
            </w:tcMar>
            <w:vAlign w:val="center"/>
          </w:tcPr>
          <w:p>
            <w:r/>
            <w:r>
              <w:rPr>
                <w:rFonts w:ascii="Calibri" w:hAnsi="Calibri"/>
                <w:b w:val="0"/>
                <w:i w:val="0"/>
                <w:color w:val="000000"/>
                <w:sz w:val="18"/>
              </w:rPr>
              <w:t>G1 cinq blocs</w:t>
            </w:r>
          </w:p>
        </w:tc>
        <w:tc>
          <w:tcPr>
            <w:tcW w:type="dxa" w:w="4800"/>
            <w:tcMar>
              <w:top w:w="80" w:type="dxa"/>
              <w:bottom w:w="80" w:type="dxa"/>
              <w:start w:w="120" w:type="dxa"/>
              <w:end w:w="120" w:type="dxa"/>
            </w:tcMar>
            <w:vAlign w:val="center"/>
          </w:tcPr>
          <w:p>
            <w:r/>
            <w:r>
              <w:rPr>
                <w:rFonts w:ascii="Calibri" w:hAnsi="Calibri"/>
                <w:b w:val="0"/>
                <w:i w:val="0"/>
                <w:color w:val="000000"/>
                <w:sz w:val="18"/>
              </w:rPr>
              <w:t>M2 perd contre M1P dans 5/5 blocs</w:t>
            </w:r>
          </w:p>
        </w:tc>
        <w:tc>
          <w:tcPr>
            <w:tcW w:type="dxa" w:w="2660"/>
            <w:tcMar>
              <w:top w:w="80" w:type="dxa"/>
              <w:bottom w:w="80" w:type="dxa"/>
              <w:start w:w="120" w:type="dxa"/>
              <w:end w:w="120" w:type="dxa"/>
            </w:tcMar>
            <w:vAlign w:val="center"/>
          </w:tcPr>
          <w:p>
            <w:r/>
            <w:r>
              <w:rPr>
                <w:rFonts w:ascii="Calibri" w:hAnsi="Calibri"/>
                <w:b w:val="0"/>
                <w:i w:val="0"/>
                <w:color w:val="000000"/>
                <w:sz w:val="18"/>
              </w:rPr>
              <w:t>Robuste</w:t>
            </w:r>
          </w:p>
        </w:tc>
      </w:tr>
      <w:tr>
        <w:tc>
          <w:tcPr>
            <w:tcW w:type="dxa" w:w="1900"/>
            <w:tcMar>
              <w:top w:w="80" w:type="dxa"/>
              <w:bottom w:w="80" w:type="dxa"/>
              <w:start w:w="120" w:type="dxa"/>
              <w:end w:w="120" w:type="dxa"/>
            </w:tcMar>
            <w:vAlign w:val="center"/>
          </w:tcPr>
          <w:p>
            <w:r/>
            <w:r>
              <w:rPr>
                <w:rFonts w:ascii="Calibri" w:hAnsi="Calibri"/>
                <w:b w:val="0"/>
                <w:i w:val="0"/>
                <w:color w:val="000000"/>
                <w:sz w:val="18"/>
              </w:rPr>
              <w:t>G2 sens du temps</w:t>
            </w:r>
          </w:p>
        </w:tc>
        <w:tc>
          <w:tcPr>
            <w:tcW w:type="dxa" w:w="4800"/>
            <w:tcMar>
              <w:top w:w="80" w:type="dxa"/>
              <w:bottom w:w="80" w:type="dxa"/>
              <w:start w:w="120" w:type="dxa"/>
              <w:end w:w="120" w:type="dxa"/>
            </w:tcMar>
            <w:vAlign w:val="center"/>
          </w:tcPr>
          <w:p>
            <w:r/>
            <w:r>
              <w:rPr>
                <w:rFonts w:ascii="Calibri" w:hAnsi="Calibri"/>
                <w:b w:val="0"/>
                <w:i w:val="0"/>
                <w:color w:val="000000"/>
                <w:sz w:val="18"/>
              </w:rPr>
              <w:t>Asymétrie M2 8,21 %; M1P 8,42 %</w:t>
            </w:r>
          </w:p>
        </w:tc>
        <w:tc>
          <w:tcPr>
            <w:tcW w:type="dxa" w:w="2660"/>
            <w:tcMar>
              <w:top w:w="80" w:type="dxa"/>
              <w:bottom w:w="80" w:type="dxa"/>
              <w:start w:w="120" w:type="dxa"/>
              <w:end w:w="120" w:type="dxa"/>
            </w:tcMar>
            <w:vAlign w:val="center"/>
          </w:tcPr>
          <w:p>
            <w:r/>
            <w:r>
              <w:rPr>
                <w:rFonts w:ascii="Calibri" w:hAnsi="Calibri"/>
                <w:b w:val="0"/>
                <w:i w:val="0"/>
                <w:color w:val="000000"/>
                <w:sz w:val="18"/>
              </w:rPr>
              <w:t>Non spécifique</w:t>
            </w:r>
          </w:p>
        </w:tc>
      </w:tr>
      <w:tr>
        <w:tc>
          <w:tcPr>
            <w:tcW w:type="dxa" w:w="1900"/>
            <w:tcMar>
              <w:top w:w="80" w:type="dxa"/>
              <w:bottom w:w="80" w:type="dxa"/>
              <w:start w:w="120" w:type="dxa"/>
              <w:end w:w="120" w:type="dxa"/>
            </w:tcMar>
            <w:vAlign w:val="center"/>
          </w:tcPr>
          <w:p>
            <w:r/>
            <w:r>
              <w:rPr>
                <w:rFonts w:ascii="Calibri" w:hAnsi="Calibri"/>
                <w:b w:val="0"/>
                <w:i w:val="0"/>
                <w:color w:val="000000"/>
                <w:sz w:val="18"/>
              </w:rPr>
              <w:t>G3 insolation</w:t>
            </w:r>
          </w:p>
        </w:tc>
        <w:tc>
          <w:tcPr>
            <w:tcW w:type="dxa" w:w="4800"/>
            <w:tcMar>
              <w:top w:w="80" w:type="dxa"/>
              <w:bottom w:w="80" w:type="dxa"/>
              <w:start w:w="120" w:type="dxa"/>
              <w:end w:w="120" w:type="dxa"/>
            </w:tcMar>
            <w:vAlign w:val="center"/>
          </w:tcPr>
          <w:p>
            <w:r/>
            <w:r>
              <w:rPr>
                <w:rFonts w:ascii="Calibri" w:hAnsi="Calibri"/>
                <w:b w:val="0"/>
                <w:i w:val="0"/>
                <w:color w:val="000000"/>
                <w:sz w:val="18"/>
              </w:rPr>
              <w:t>Déficit M2 30,99–31,56 % dans 4/4 conventions</w:t>
            </w:r>
          </w:p>
        </w:tc>
        <w:tc>
          <w:tcPr>
            <w:tcW w:type="dxa" w:w="2660"/>
            <w:tcMar>
              <w:top w:w="80" w:type="dxa"/>
              <w:bottom w:w="80" w:type="dxa"/>
              <w:start w:w="120" w:type="dxa"/>
              <w:end w:w="120" w:type="dxa"/>
            </w:tcMar>
            <w:vAlign w:val="center"/>
          </w:tcPr>
          <w:p>
            <w:r/>
            <w:r>
              <w:rPr>
                <w:rFonts w:ascii="Calibri" w:hAnsi="Calibri"/>
                <w:b w:val="0"/>
                <w:i w:val="0"/>
                <w:color w:val="000000"/>
                <w:sz w:val="18"/>
              </w:rPr>
              <w:t>Robuste</w:t>
            </w:r>
          </w:p>
        </w:tc>
      </w:tr>
      <w:tr>
        <w:tc>
          <w:tcPr>
            <w:tcW w:type="dxa" w:w="1900"/>
            <w:tcMar>
              <w:top w:w="80" w:type="dxa"/>
              <w:bottom w:w="80" w:type="dxa"/>
              <w:start w:w="120" w:type="dxa"/>
              <w:end w:w="120" w:type="dxa"/>
            </w:tcMar>
            <w:vAlign w:val="center"/>
          </w:tcPr>
          <w:p>
            <w:r/>
            <w:r>
              <w:rPr>
                <w:rFonts w:ascii="Calibri" w:hAnsi="Calibri"/>
                <w:b w:val="0"/>
                <w:i w:val="0"/>
                <w:color w:val="000000"/>
                <w:sz w:val="18"/>
              </w:rPr>
              <w:t>G4 nulls de Fourier</w:t>
            </w:r>
          </w:p>
        </w:tc>
        <w:tc>
          <w:tcPr>
            <w:tcW w:type="dxa" w:w="4800"/>
            <w:tcMar>
              <w:top w:w="80" w:type="dxa"/>
              <w:bottom w:w="80" w:type="dxa"/>
              <w:start w:w="120" w:type="dxa"/>
              <w:end w:w="120" w:type="dxa"/>
            </w:tcMar>
            <w:vAlign w:val="center"/>
          </w:tcPr>
          <w:p>
            <w:r/>
            <w:r>
              <w:rPr>
                <w:rFonts w:ascii="Calibri" w:hAnsi="Calibri"/>
                <w:b w:val="0"/>
                <w:i w:val="0"/>
                <w:color w:val="000000"/>
                <w:sz w:val="18"/>
              </w:rPr>
              <w:t>p unilatérale = 0,9231</w:t>
            </w:r>
          </w:p>
        </w:tc>
        <w:tc>
          <w:tcPr>
            <w:tcW w:type="dxa" w:w="2660"/>
            <w:tcMar>
              <w:top w:w="80" w:type="dxa"/>
              <w:bottom w:w="80" w:type="dxa"/>
              <w:start w:w="120" w:type="dxa"/>
              <w:end w:w="120" w:type="dxa"/>
            </w:tcMar>
            <w:vAlign w:val="center"/>
          </w:tcPr>
          <w:p>
            <w:r/>
            <w:r>
              <w:rPr>
                <w:rFonts w:ascii="Calibri" w:hAnsi="Calibri"/>
                <w:b w:val="0"/>
                <w:i w:val="0"/>
                <w:color w:val="000000"/>
                <w:sz w:val="18"/>
              </w:rPr>
              <w:t>Aucun avantage causal détecté</w:t>
            </w:r>
          </w:p>
        </w:tc>
      </w:tr>
    </w:tbl>
    <w:p>
      <w:pPr>
        <w:spacing w:after="40"/>
      </w:pPr>
    </w:p>
    <w:tbl>
      <w:tblPr>
        <w:tblW w:type="dxa" w:w="9360"/>
        <w:jc w:val="left"/>
        <w:tblLayout w:type="fixed"/>
        <w:tblLook w:firstColumn="1" w:firstRow="1" w:lastColumn="0" w:lastRow="0" w:noHBand="0" w:noVBand="1" w:val="04A0"/>
        <w:tblInd w:w="180" w:type="dxa"/>
      </w:tblPr>
      <w:tblGrid>
        <w:gridCol w:w="9360"/>
      </w:tblGrid>
      <w:tr>
        <w:tc>
          <w:tcPr>
            <w:tcW w:type="dxa" w:w="9360"/>
            <w:shd w:fill="FDECEC"/>
            <w:tcMar>
              <w:top w:w="140" w:type="dxa"/>
              <w:bottom w:w="140" w:type="dxa"/>
              <w:start w:w="180" w:type="dxa"/>
              <w:end w:w="180" w:type="dxa"/>
            </w:tcMar>
          </w:tcPr>
          <w:p>
            <w:r/>
            <w:r>
              <w:rPr>
                <w:rFonts w:ascii="Calibri" w:hAnsi="Calibri"/>
                <w:b/>
                <w:i w:val="0"/>
                <w:color w:val="9B1C1C"/>
                <w:sz w:val="22"/>
              </w:rPr>
              <w:t xml:space="preserve">Décision scientifique  </w:t>
            </w:r>
            <w:r>
              <w:rPr>
                <w:rFonts w:ascii="Calibri" w:hAnsi="Calibri"/>
                <w:b w:val="0"/>
                <w:i w:val="0"/>
                <w:color w:val="000000"/>
                <w:sz w:val="22"/>
              </w:rPr>
              <w:t>M2 doit rester abandonné. Le modifier encore après ces résultats créerait un risque élevé de réglage post hoc. Une nouvelle famille doit être formulée et préenregistrée avant confrontation.</w:t>
            </w:r>
          </w:p>
        </w:tc>
      </w:tr>
    </w:tbl>
    <w:p>
      <w:pPr>
        <w:spacing w:after="20"/>
      </w:pPr>
    </w:p>
    <w:p>
      <w:pPr>
        <w:pStyle w:val="Heading1"/>
      </w:pPr>
      <w:r>
        <w:t>9. Résultats — exoplanètes</w:t>
      </w:r>
    </w:p>
    <w:p>
      <w:r>
        <w:rPr>
          <w:rFonts w:ascii="Calibri" w:hAnsi="Calibri"/>
          <w:b w:val="0"/>
          <w:i w:val="0"/>
          <w:color w:val="000000"/>
          <w:sz w:val="22"/>
        </w:rPr>
        <w:t>Le modèle contrôlé d’histoire exoplanétaire passe les quatre variables structurelles et leurs ablations, mais aucune variable ne franchit les critères matériels ou de persistance après un palier long de 300 Ma.</w:t>
      </w:r>
    </w:p>
    <w:p>
      <w:r>
        <w:rPr>
          <w:rFonts w:ascii="Calibri" w:hAnsi="Calibri"/>
          <w:b w:val="0"/>
          <w:i w:val="0"/>
          <w:color w:val="000000"/>
          <w:sz w:val="22"/>
        </w:rPr>
        <w:t>Verdict : succès logique d’un modèle réduit, pas résultat physique. Les trajectoires sont prescrites et le modèle n’est pas calibré contre ROCKE-3D, WACCM6 ou GEOCLIM.</w:t>
      </w:r>
    </w:p>
    <w:p>
      <w:pPr>
        <w:pStyle w:val="Heading1"/>
      </w:pPr>
      <w:r>
        <w:t>10. Résultats — résistance aux antibiotiques</w:t>
      </w:r>
    </w:p>
    <w:p>
      <w:r>
        <w:rPr>
          <w:rFonts w:ascii="Calibri" w:hAnsi="Calibri"/>
          <w:b w:val="0"/>
          <w:i w:val="0"/>
          <w:color w:val="000000"/>
          <w:sz w:val="22"/>
        </w:rPr>
        <w:t>Le benchmark Windels utilise 358 prédictions issues de 148 lignées et 200 partitions séparant strictement les lignées.</w:t>
      </w:r>
    </w:p>
    <w:tbl>
      <w:tblPr>
        <w:tblStyle w:val="TableGrid"/>
        <w:tblW w:type="dxa" w:w="9360"/>
        <w:jc w:val="left"/>
        <w:tblLayout w:type="fixed"/>
        <w:tblLook w:firstColumn="1" w:firstRow="1" w:lastColumn="0" w:lastRow="0" w:noHBand="0" w:noVBand="1" w:val="04A0"/>
        <w:tblInd w:w="120" w:type="dxa"/>
      </w:tblPr>
      <w:tblGrid>
        <w:gridCol w:w="3000"/>
        <w:gridCol w:w="2100"/>
        <w:gridCol w:w="4260"/>
      </w:tblGrid>
      <w:tr>
        <w:trPr>
          <w:tblHeader w:val="true"/>
        </w:trPr>
        <w:tc>
          <w:tcPr>
            <w:tcW w:type="dxa" w:w="3000"/>
            <w:shd w:fill="F2F4F7"/>
            <w:tcMar>
              <w:top w:w="80" w:type="dxa"/>
              <w:bottom w:w="80" w:type="dxa"/>
              <w:start w:w="120" w:type="dxa"/>
              <w:end w:w="120" w:type="dxa"/>
            </w:tcMar>
            <w:vAlign w:val="center"/>
          </w:tcPr>
          <w:p>
            <w:r/>
            <w:r>
              <w:rPr>
                <w:rFonts w:ascii="Calibri" w:hAnsi="Calibri"/>
                <w:b/>
                <w:i w:val="0"/>
                <w:color w:val="17365D"/>
                <w:sz w:val="19"/>
              </w:rPr>
              <w:t>Modèle</w:t>
            </w:r>
          </w:p>
        </w:tc>
        <w:tc>
          <w:tcPr>
            <w:tcW w:type="dxa" w:w="2100"/>
            <w:shd w:fill="F2F4F7"/>
            <w:tcMar>
              <w:top w:w="80" w:type="dxa"/>
              <w:bottom w:w="80" w:type="dxa"/>
              <w:start w:w="120" w:type="dxa"/>
              <w:end w:w="120" w:type="dxa"/>
            </w:tcMar>
            <w:vAlign w:val="center"/>
          </w:tcPr>
          <w:p>
            <w:r/>
            <w:r>
              <w:rPr>
                <w:rFonts w:ascii="Calibri" w:hAnsi="Calibri"/>
                <w:b/>
                <w:i w:val="0"/>
                <w:color w:val="17365D"/>
                <w:sz w:val="19"/>
              </w:rPr>
              <w:t>MAE moyenne</w:t>
            </w:r>
          </w:p>
        </w:tc>
        <w:tc>
          <w:tcPr>
            <w:tcW w:type="dxa" w:w="4260"/>
            <w:shd w:fill="F2F4F7"/>
            <w:tcMar>
              <w:top w:w="80" w:type="dxa"/>
              <w:bottom w:w="80" w:type="dxa"/>
              <w:start w:w="120" w:type="dxa"/>
              <w:end w:w="120" w:type="dxa"/>
            </w:tcMar>
            <w:vAlign w:val="center"/>
          </w:tcPr>
          <w:p>
            <w:r/>
            <w:r>
              <w:rPr>
                <w:rFonts w:ascii="Calibri" w:hAnsi="Calibri"/>
                <w:b/>
                <w:i w:val="0"/>
                <w:color w:val="17365D"/>
                <w:sz w:val="19"/>
              </w:rPr>
              <w:t>Lecture</w:t>
            </w:r>
          </w:p>
        </w:tc>
      </w:tr>
      <w:tr>
        <w:tc>
          <w:tcPr>
            <w:tcW w:type="dxa" w:w="3000"/>
            <w:tcMar>
              <w:top w:w="80" w:type="dxa"/>
              <w:bottom w:w="80" w:type="dxa"/>
              <w:start w:w="120" w:type="dxa"/>
              <w:end w:w="120" w:type="dxa"/>
            </w:tcMar>
            <w:vAlign w:val="center"/>
          </w:tcPr>
          <w:p>
            <w:r/>
            <w:r>
              <w:rPr>
                <w:rFonts w:ascii="Calibri" w:hAnsi="Calibri"/>
                <w:b w:val="0"/>
                <w:i w:val="0"/>
                <w:color w:val="000000"/>
                <w:sz w:val="18"/>
              </w:rPr>
              <w:t>État courant</w:t>
            </w:r>
          </w:p>
        </w:tc>
        <w:tc>
          <w:tcPr>
            <w:tcW w:type="dxa" w:w="2100"/>
            <w:tcMar>
              <w:top w:w="80" w:type="dxa"/>
              <w:bottom w:w="80" w:type="dxa"/>
              <w:start w:w="120" w:type="dxa"/>
              <w:end w:w="120" w:type="dxa"/>
            </w:tcMar>
            <w:vAlign w:val="center"/>
          </w:tcPr>
          <w:p>
            <w:r/>
            <w:r>
              <w:rPr>
                <w:rFonts w:ascii="Calibri" w:hAnsi="Calibri"/>
                <w:b w:val="0"/>
                <w:i w:val="0"/>
                <w:color w:val="000000"/>
                <w:sz w:val="18"/>
              </w:rPr>
              <w:t>0,64083</w:t>
            </w:r>
          </w:p>
        </w:tc>
        <w:tc>
          <w:tcPr>
            <w:tcW w:type="dxa" w:w="4260"/>
            <w:tcMar>
              <w:top w:w="80" w:type="dxa"/>
              <w:bottom w:w="80" w:type="dxa"/>
              <w:start w:w="120" w:type="dxa"/>
              <w:end w:w="120" w:type="dxa"/>
            </w:tcMar>
            <w:vAlign w:val="center"/>
          </w:tcPr>
          <w:p>
            <w:r/>
            <w:r>
              <w:rPr>
                <w:rFonts w:ascii="Calibri" w:hAnsi="Calibri"/>
                <w:b w:val="0"/>
                <w:i w:val="0"/>
                <w:color w:val="000000"/>
                <w:sz w:val="18"/>
              </w:rPr>
              <w:t>Référence simple</w:t>
            </w:r>
          </w:p>
        </w:tc>
      </w:tr>
      <w:tr>
        <w:tc>
          <w:tcPr>
            <w:tcW w:type="dxa" w:w="3000"/>
            <w:tcMar>
              <w:top w:w="80" w:type="dxa"/>
              <w:bottom w:w="80" w:type="dxa"/>
              <w:start w:w="120" w:type="dxa"/>
              <w:end w:w="120" w:type="dxa"/>
            </w:tcMar>
            <w:vAlign w:val="center"/>
          </w:tcPr>
          <w:p>
            <w:r/>
            <w:r>
              <w:rPr>
                <w:rFonts w:ascii="Calibri" w:hAnsi="Calibri"/>
                <w:b w:val="0"/>
                <w:i w:val="0"/>
                <w:color w:val="000000"/>
                <w:sz w:val="18"/>
              </w:rPr>
              <w:t>Complexité égale</w:t>
            </w:r>
          </w:p>
        </w:tc>
        <w:tc>
          <w:tcPr>
            <w:tcW w:type="dxa" w:w="2100"/>
            <w:tcMar>
              <w:top w:w="80" w:type="dxa"/>
              <w:bottom w:w="80" w:type="dxa"/>
              <w:start w:w="120" w:type="dxa"/>
              <w:end w:w="120" w:type="dxa"/>
            </w:tcMar>
            <w:vAlign w:val="center"/>
          </w:tcPr>
          <w:p>
            <w:r/>
            <w:r>
              <w:rPr>
                <w:rFonts w:ascii="Calibri" w:hAnsi="Calibri"/>
                <w:b w:val="0"/>
                <w:i w:val="0"/>
                <w:color w:val="000000"/>
                <w:sz w:val="18"/>
              </w:rPr>
              <w:t>0,64145</w:t>
            </w:r>
          </w:p>
        </w:tc>
        <w:tc>
          <w:tcPr>
            <w:tcW w:type="dxa" w:w="4260"/>
            <w:tcMar>
              <w:top w:w="80" w:type="dxa"/>
              <w:bottom w:w="80" w:type="dxa"/>
              <w:start w:w="120" w:type="dxa"/>
              <w:end w:w="120" w:type="dxa"/>
            </w:tcMar>
            <w:vAlign w:val="center"/>
          </w:tcPr>
          <w:p>
            <w:r/>
            <w:r>
              <w:rPr>
                <w:rFonts w:ascii="Calibri" w:hAnsi="Calibri"/>
                <w:b w:val="0"/>
                <w:i w:val="0"/>
                <w:color w:val="000000"/>
                <w:sz w:val="18"/>
              </w:rPr>
              <w:t>Témoin apparié</w:t>
            </w:r>
          </w:p>
        </w:tc>
      </w:tr>
      <w:tr>
        <w:tc>
          <w:tcPr>
            <w:tcW w:type="dxa" w:w="3000"/>
            <w:tcMar>
              <w:top w:w="80" w:type="dxa"/>
              <w:bottom w:w="80" w:type="dxa"/>
              <w:start w:w="120" w:type="dxa"/>
              <w:end w:w="120" w:type="dxa"/>
            </w:tcMar>
            <w:vAlign w:val="center"/>
          </w:tcPr>
          <w:p>
            <w:r/>
            <w:r>
              <w:rPr>
                <w:rFonts w:ascii="Calibri" w:hAnsi="Calibri"/>
                <w:b w:val="0"/>
                <w:i w:val="0"/>
                <w:color w:val="000000"/>
                <w:sz w:val="18"/>
              </w:rPr>
              <w:t>Histoire</w:t>
            </w:r>
          </w:p>
        </w:tc>
        <w:tc>
          <w:tcPr>
            <w:tcW w:type="dxa" w:w="2100"/>
            <w:tcMar>
              <w:top w:w="80" w:type="dxa"/>
              <w:bottom w:w="80" w:type="dxa"/>
              <w:start w:w="120" w:type="dxa"/>
              <w:end w:w="120" w:type="dxa"/>
            </w:tcMar>
            <w:vAlign w:val="center"/>
          </w:tcPr>
          <w:p>
            <w:r/>
            <w:r>
              <w:rPr>
                <w:rFonts w:ascii="Calibri" w:hAnsi="Calibri"/>
                <w:b w:val="0"/>
                <w:i w:val="0"/>
                <w:color w:val="000000"/>
                <w:sz w:val="18"/>
              </w:rPr>
              <w:t>0,63009</w:t>
            </w:r>
          </w:p>
        </w:tc>
        <w:tc>
          <w:tcPr>
            <w:tcW w:type="dxa" w:w="4260"/>
            <w:tcMar>
              <w:top w:w="80" w:type="dxa"/>
              <w:bottom w:w="80" w:type="dxa"/>
              <w:start w:w="120" w:type="dxa"/>
              <w:end w:w="120" w:type="dxa"/>
            </w:tcMar>
            <w:vAlign w:val="center"/>
          </w:tcPr>
          <w:p>
            <w:r/>
            <w:r>
              <w:rPr>
                <w:rFonts w:ascii="Calibri" w:hAnsi="Calibri"/>
                <w:b w:val="0"/>
                <w:i w:val="0"/>
                <w:color w:val="000000"/>
                <w:sz w:val="18"/>
              </w:rPr>
              <w:t>Gain moyen ~1,8 %</w:t>
            </w:r>
          </w:p>
        </w:tc>
      </w:tr>
    </w:tbl>
    <w:p>
      <w:pPr>
        <w:spacing w:after="40"/>
      </w:pPr>
    </w:p>
    <w:p>
      <w:r>
        <w:rPr>
          <w:rFonts w:ascii="Calibri" w:hAnsi="Calibri"/>
          <w:b w:val="0"/>
          <w:i w:val="0"/>
          <w:color w:val="000000"/>
          <w:sz w:val="22"/>
        </w:rPr>
        <w:t>L’intervalle à 95 % de MAE(témoin) − MAE(histoire) est [−0,03535 ; 0,05977]. Il traverse zéro, et le gain reste très inférieur au seuil confirmatoire gelé de 10 %.</w:t>
      </w:r>
    </w:p>
    <w:p>
      <w:r>
        <w:rPr>
          <w:rFonts w:ascii="Calibri" w:hAnsi="Calibri"/>
          <w:b w:val="0"/>
          <w:i w:val="0"/>
          <w:color w:val="000000"/>
          <w:sz w:val="22"/>
        </w:rPr>
        <w:t>Verdict : signal exploratoire faible. La priorité est un jeu externe longitudinal avec séquences d’exposition variées, identifiants complets et validation finale intacte.</w:t>
      </w:r>
    </w:p>
    <w:p>
      <w:pPr>
        <w:pStyle w:val="Heading1"/>
      </w:pPr>
      <w:r>
        <w:t>11. Résultat transversal Pacc</w:t>
      </w:r>
    </w:p>
    <w:p>
      <w:r>
        <w:rPr>
          <w:rFonts w:ascii="Calibri" w:hAnsi="Calibri"/>
          <w:b w:val="0"/>
          <w:i w:val="0"/>
          <w:color w:val="000000"/>
          <w:sz w:val="22"/>
        </w:rPr>
        <w:t>Le même estimateur observationnel à cinq classes a été appliqué aux antibiotiques et à LR04 à horizon 10 ka. Chaque état initial atteint les cinq états futurs dans les deux branches : Pacc = 1 partout.</w:t>
      </w:r>
    </w:p>
    <w:tbl>
      <w:tblPr>
        <w:tblW w:type="dxa" w:w="9360"/>
        <w:jc w:val="left"/>
        <w:tblLayout w:type="fixed"/>
        <w:tblLook w:firstColumn="1" w:firstRow="1" w:lastColumn="0" w:lastRow="0" w:noHBand="0" w:noVBand="1" w:val="04A0"/>
        <w:tblInd w:w="180" w:type="dxa"/>
      </w:tblPr>
      <w:tblGrid>
        <w:gridCol w:w="9360"/>
      </w:tblGrid>
      <w:tr>
        <w:tc>
          <w:tcPr>
            <w:tcW w:type="dxa" w:w="9360"/>
            <w:shd w:fill="FDECEC"/>
            <w:tcMar>
              <w:top w:w="140" w:type="dxa"/>
              <w:bottom w:w="140" w:type="dxa"/>
              <w:start w:w="180" w:type="dxa"/>
              <w:end w:w="180" w:type="dxa"/>
            </w:tcMar>
          </w:tcPr>
          <w:p>
            <w:r/>
            <w:r>
              <w:rPr>
                <w:rFonts w:ascii="Calibri" w:hAnsi="Calibri"/>
                <w:b/>
                <w:i w:val="0"/>
                <w:color w:val="9B1C1C"/>
                <w:sz w:val="22"/>
              </w:rPr>
              <w:t xml:space="preserve">Diagnostic de métrique  </w:t>
            </w:r>
            <w:r>
              <w:rPr>
                <w:rFonts w:ascii="Calibri" w:hAnsi="Calibri"/>
                <w:b w:val="0"/>
                <w:i w:val="0"/>
                <w:color w:val="000000"/>
                <w:sz w:val="22"/>
              </w:rPr>
              <w:t>La mesure sature et ne discrimine aucun état. Sans interventions appariées, elle n’identifie pas une accessibilité contrefactuelle et ne doit pas être appelée Pacc causal.</w:t>
            </w:r>
          </w:p>
        </w:tc>
      </w:tr>
    </w:tbl>
    <w:p>
      <w:pPr>
        <w:spacing w:after="20"/>
      </w:pPr>
    </w:p>
    <w:p>
      <w:pPr>
        <w:pStyle w:val="Heading1"/>
      </w:pPr>
      <w:r>
        <w:t>12. Avancées et découvertes réelles</w:t>
      </w:r>
    </w:p>
    <w:p>
      <w:pPr>
        <w:pStyle w:val="ListBullet"/>
        <w:spacing w:after="80" w:line="280" w:lineRule="auto"/>
        <w:ind w:left="720" w:hanging="360"/>
      </w:pPr>
      <w:r>
        <w:rPr>
          <w:rFonts w:ascii="Calibri" w:hAnsi="Calibri"/>
          <w:b w:val="0"/>
          <w:i w:val="0"/>
          <w:color w:val="000000"/>
          <w:sz w:val="22"/>
        </w:rPr>
        <w:t>Identification d’une cible climatique plus précise : émergence non stationnaire de 100 ka.</w:t>
      </w:r>
    </w:p>
    <w:p>
      <w:pPr>
        <w:pStyle w:val="ListBullet"/>
        <w:spacing w:after="80" w:line="280" w:lineRule="auto"/>
        <w:ind w:left="720" w:hanging="360"/>
      </w:pPr>
      <w:r>
        <w:rPr>
          <w:rFonts w:ascii="Calibri" w:hAnsi="Calibri"/>
          <w:b w:val="0"/>
          <w:i w:val="0"/>
          <w:color w:val="000000"/>
          <w:sz w:val="22"/>
        </w:rPr>
        <w:t>Démonstration que l’avantage apparent de M2 sur M1 disparaît face à un témoin de complexité égale.</w:t>
      </w:r>
    </w:p>
    <w:p>
      <w:pPr>
        <w:pStyle w:val="ListBullet"/>
        <w:spacing w:after="80" w:line="280" w:lineRule="auto"/>
        <w:ind w:left="720" w:hanging="360"/>
      </w:pPr>
      <w:r>
        <w:rPr>
          <w:rFonts w:ascii="Calibri" w:hAnsi="Calibri"/>
          <w:b w:val="0"/>
          <w:i w:val="0"/>
          <w:color w:val="000000"/>
          <w:sz w:val="22"/>
        </w:rPr>
        <w:t>Robustesse de la réfutation de M2 aux blocs, au sens temporel, à l’insolation, à l’incertitude et aux phases aléatoires.</w:t>
      </w:r>
    </w:p>
    <w:p>
      <w:pPr>
        <w:pStyle w:val="ListBullet"/>
        <w:spacing w:after="80" w:line="280" w:lineRule="auto"/>
        <w:ind w:left="720" w:hanging="360"/>
      </w:pPr>
      <w:r>
        <w:rPr>
          <w:rFonts w:ascii="Calibri" w:hAnsi="Calibri"/>
          <w:b w:val="0"/>
          <w:i w:val="0"/>
          <w:color w:val="000000"/>
          <w:sz w:val="22"/>
        </w:rPr>
        <w:t>Séparation empirique entre dégradation de phase et persistance spectrale dans la couche astronomique.</w:t>
      </w:r>
    </w:p>
    <w:p>
      <w:pPr>
        <w:pStyle w:val="ListBullet"/>
        <w:spacing w:after="80" w:line="280" w:lineRule="auto"/>
        <w:ind w:left="720" w:hanging="360"/>
      </w:pPr>
      <w:r>
        <w:rPr>
          <w:rFonts w:ascii="Calibri" w:hAnsi="Calibri"/>
          <w:b w:val="0"/>
          <w:i w:val="0"/>
          <w:color w:val="000000"/>
          <w:sz w:val="22"/>
        </w:rPr>
        <w:t>Mise en évidence de la redondance totale des six dimensions matière actuelles.</w:t>
      </w:r>
    </w:p>
    <w:p>
      <w:pPr>
        <w:pStyle w:val="ListBullet"/>
        <w:spacing w:after="80" w:line="280" w:lineRule="auto"/>
        <w:ind w:left="720" w:hanging="360"/>
      </w:pPr>
      <w:r>
        <w:rPr>
          <w:rFonts w:ascii="Calibri" w:hAnsi="Calibri"/>
          <w:b w:val="0"/>
          <w:i w:val="0"/>
          <w:color w:val="000000"/>
          <w:sz w:val="22"/>
        </w:rPr>
        <w:t>Identification de la saturation de Pacc, évitant une fausse validation transversale.</w:t>
      </w:r>
    </w:p>
    <w:p>
      <w:pPr>
        <w:pStyle w:val="ListBullet"/>
        <w:spacing w:after="80" w:line="280" w:lineRule="auto"/>
        <w:ind w:left="720" w:hanging="360"/>
      </w:pPr>
      <w:r>
        <w:rPr>
          <w:rFonts w:ascii="Calibri" w:hAnsi="Calibri"/>
          <w:b w:val="0"/>
          <w:i w:val="0"/>
          <w:color w:val="000000"/>
          <w:sz w:val="22"/>
        </w:rPr>
        <w:t>Signal antibiotique quantifié honnêtement : intéressant mais insuffisant pour confirmation.</w:t>
      </w:r>
    </w:p>
    <w:p>
      <w:pPr>
        <w:pStyle w:val="ListBullet"/>
        <w:spacing w:after="80" w:line="280" w:lineRule="auto"/>
        <w:ind w:left="720" w:hanging="360"/>
      </w:pPr>
      <w:r>
        <w:rPr>
          <w:rFonts w:ascii="Calibri" w:hAnsi="Calibri"/>
          <w:b w:val="0"/>
          <w:i w:val="0"/>
          <w:color w:val="000000"/>
          <w:sz w:val="22"/>
        </w:rPr>
        <w:t>Amélioration majeure de la portabilité, de la provenance et de l’intégrité du dossier canonique.</w:t>
      </w:r>
    </w:p>
    <w:p>
      <w:pPr>
        <w:pStyle w:val="Heading1"/>
      </w:pPr>
      <w:r>
        <w:t>13. Ce qui est réfuté, non démontré ou encore ouvert</w:t>
      </w:r>
    </w:p>
    <w:tbl>
      <w:tblPr>
        <w:tblStyle w:val="TableGrid"/>
        <w:tblW w:type="dxa" w:w="9360"/>
        <w:jc w:val="left"/>
        <w:tblLayout w:type="fixed"/>
        <w:tblLook w:firstColumn="1" w:firstRow="1" w:lastColumn="0" w:lastRow="0" w:noHBand="0" w:noVBand="1" w:val="04A0"/>
        <w:tblInd w:w="120" w:type="dxa"/>
      </w:tblPr>
      <w:tblGrid>
        <w:gridCol w:w="2900"/>
        <w:gridCol w:w="1800"/>
        <w:gridCol w:w="4660"/>
      </w:tblGrid>
      <w:tr>
        <w:trPr>
          <w:tblHeader w:val="true"/>
        </w:trPr>
        <w:tc>
          <w:tcPr>
            <w:tcW w:type="dxa" w:w="2900"/>
            <w:shd w:fill="F2F4F7"/>
            <w:tcMar>
              <w:top w:w="80" w:type="dxa"/>
              <w:bottom w:w="80" w:type="dxa"/>
              <w:start w:w="120" w:type="dxa"/>
              <w:end w:w="120" w:type="dxa"/>
            </w:tcMar>
            <w:vAlign w:val="center"/>
          </w:tcPr>
          <w:p>
            <w:r/>
            <w:r>
              <w:rPr>
                <w:rFonts w:ascii="Calibri" w:hAnsi="Calibri"/>
                <w:b/>
                <w:i w:val="0"/>
                <w:color w:val="17365D"/>
                <w:sz w:val="19"/>
              </w:rPr>
              <w:t>Énoncé</w:t>
            </w:r>
          </w:p>
        </w:tc>
        <w:tc>
          <w:tcPr>
            <w:tcW w:type="dxa" w:w="1800"/>
            <w:shd w:fill="F2F4F7"/>
            <w:tcMar>
              <w:top w:w="80" w:type="dxa"/>
              <w:bottom w:w="80" w:type="dxa"/>
              <w:start w:w="120" w:type="dxa"/>
              <w:end w:w="120" w:type="dxa"/>
            </w:tcMar>
            <w:vAlign w:val="center"/>
          </w:tcPr>
          <w:p>
            <w:r/>
            <w:r>
              <w:rPr>
                <w:rFonts w:ascii="Calibri" w:hAnsi="Calibri"/>
                <w:b/>
                <w:i w:val="0"/>
                <w:color w:val="17365D"/>
                <w:sz w:val="19"/>
              </w:rPr>
              <w:t>Statut</w:t>
            </w:r>
          </w:p>
        </w:tc>
        <w:tc>
          <w:tcPr>
            <w:tcW w:type="dxa" w:w="4660"/>
            <w:shd w:fill="F2F4F7"/>
            <w:tcMar>
              <w:top w:w="80" w:type="dxa"/>
              <w:bottom w:w="80" w:type="dxa"/>
              <w:start w:w="120" w:type="dxa"/>
              <w:end w:w="120" w:type="dxa"/>
            </w:tcMar>
            <w:vAlign w:val="center"/>
          </w:tcPr>
          <w:p>
            <w:r/>
            <w:r>
              <w:rPr>
                <w:rFonts w:ascii="Calibri" w:hAnsi="Calibri"/>
                <w:b/>
                <w:i w:val="0"/>
                <w:color w:val="17365D"/>
                <w:sz w:val="19"/>
              </w:rPr>
              <w:t>Raison</w:t>
            </w:r>
          </w:p>
        </w:tc>
      </w:tr>
      <w:tr>
        <w:tc>
          <w:tcPr>
            <w:tcW w:type="dxa" w:w="2900"/>
            <w:tcMar>
              <w:top w:w="80" w:type="dxa"/>
              <w:bottom w:w="80" w:type="dxa"/>
              <w:start w:w="120" w:type="dxa"/>
              <w:end w:w="120" w:type="dxa"/>
            </w:tcMar>
            <w:vAlign w:val="center"/>
          </w:tcPr>
          <w:p>
            <w:r/>
            <w:r>
              <w:rPr>
                <w:rFonts w:ascii="Calibri" w:hAnsi="Calibri"/>
                <w:b w:val="0"/>
                <w:i w:val="0"/>
                <w:color w:val="000000"/>
                <w:sz w:val="18"/>
              </w:rPr>
              <w:t>M2 explique la bande 100 ka</w:t>
            </w:r>
          </w:p>
        </w:tc>
        <w:tc>
          <w:tcPr>
            <w:tcW w:type="dxa" w:w="1800"/>
            <w:tcMar>
              <w:top w:w="80" w:type="dxa"/>
              <w:bottom w:w="80" w:type="dxa"/>
              <w:start w:w="120" w:type="dxa"/>
              <w:end w:w="120" w:type="dxa"/>
            </w:tcMar>
            <w:vAlign w:val="center"/>
          </w:tcPr>
          <w:p>
            <w:r/>
            <w:r>
              <w:rPr>
                <w:rFonts w:ascii="Calibri" w:hAnsi="Calibri"/>
                <w:b w:val="0"/>
                <w:i w:val="0"/>
                <w:color w:val="000000"/>
                <w:sz w:val="18"/>
              </w:rPr>
              <w:t>Réfuté dans l’instanciation actuelle</w:t>
            </w:r>
          </w:p>
        </w:tc>
        <w:tc>
          <w:tcPr>
            <w:tcW w:type="dxa" w:w="4660"/>
            <w:tcMar>
              <w:top w:w="80" w:type="dxa"/>
              <w:bottom w:w="80" w:type="dxa"/>
              <w:start w:w="120" w:type="dxa"/>
              <w:end w:w="120" w:type="dxa"/>
            </w:tcMar>
            <w:vAlign w:val="center"/>
          </w:tcPr>
          <w:p>
            <w:r/>
            <w:r>
              <w:rPr>
                <w:rFonts w:ascii="Calibri" w:hAnsi="Calibri"/>
                <w:b w:val="0"/>
                <w:i w:val="0"/>
                <w:color w:val="000000"/>
                <w:sz w:val="18"/>
              </w:rPr>
              <w:t>Spectre et prédiction hors échantillon inadéquats</w:t>
            </w:r>
          </w:p>
        </w:tc>
      </w:tr>
      <w:tr>
        <w:tc>
          <w:tcPr>
            <w:tcW w:type="dxa" w:w="2900"/>
            <w:tcMar>
              <w:top w:w="80" w:type="dxa"/>
              <w:bottom w:w="80" w:type="dxa"/>
              <w:start w:w="120" w:type="dxa"/>
              <w:end w:w="120" w:type="dxa"/>
            </w:tcMar>
            <w:vAlign w:val="center"/>
          </w:tcPr>
          <w:p>
            <w:r/>
            <w:r>
              <w:rPr>
                <w:rFonts w:ascii="Calibri" w:hAnsi="Calibri"/>
                <w:b w:val="0"/>
                <w:i w:val="0"/>
                <w:color w:val="000000"/>
                <w:sz w:val="18"/>
              </w:rPr>
              <w:t>Six dimensions indépendantes</w:t>
            </w:r>
          </w:p>
        </w:tc>
        <w:tc>
          <w:tcPr>
            <w:tcW w:type="dxa" w:w="1800"/>
            <w:tcMar>
              <w:top w:w="80" w:type="dxa"/>
              <w:bottom w:w="80" w:type="dxa"/>
              <w:start w:w="120" w:type="dxa"/>
              <w:end w:w="120" w:type="dxa"/>
            </w:tcMar>
            <w:vAlign w:val="center"/>
          </w:tcPr>
          <w:p>
            <w:r/>
            <w:r>
              <w:rPr>
                <w:rFonts w:ascii="Calibri" w:hAnsi="Calibri"/>
                <w:b w:val="0"/>
                <w:i w:val="0"/>
                <w:color w:val="000000"/>
                <w:sz w:val="18"/>
              </w:rPr>
              <w:t>Réfuté pour le codage actuel</w:t>
            </w:r>
          </w:p>
        </w:tc>
        <w:tc>
          <w:tcPr>
            <w:tcW w:type="dxa" w:w="4660"/>
            <w:tcMar>
              <w:top w:w="80" w:type="dxa"/>
              <w:bottom w:w="80" w:type="dxa"/>
              <w:start w:w="120" w:type="dxa"/>
              <w:end w:w="120" w:type="dxa"/>
            </w:tcMar>
            <w:vAlign w:val="center"/>
          </w:tcPr>
          <w:p>
            <w:r/>
            <w:r>
              <w:rPr>
                <w:rFonts w:ascii="Calibri" w:hAnsi="Calibri"/>
                <w:b w:val="0"/>
                <w:i w:val="0"/>
                <w:color w:val="000000"/>
                <w:sz w:val="18"/>
              </w:rPr>
              <w:t>Information propre nulle</w:t>
            </w:r>
          </w:p>
        </w:tc>
      </w:tr>
      <w:tr>
        <w:tc>
          <w:tcPr>
            <w:tcW w:type="dxa" w:w="2900"/>
            <w:tcMar>
              <w:top w:w="80" w:type="dxa"/>
              <w:bottom w:w="80" w:type="dxa"/>
              <w:start w:w="120" w:type="dxa"/>
              <w:end w:w="120" w:type="dxa"/>
            </w:tcMar>
            <w:vAlign w:val="center"/>
          </w:tcPr>
          <w:p>
            <w:r/>
            <w:r>
              <w:rPr>
                <w:rFonts w:ascii="Calibri" w:hAnsi="Calibri"/>
                <w:b w:val="0"/>
                <w:i w:val="0"/>
                <w:color w:val="000000"/>
                <w:sz w:val="18"/>
              </w:rPr>
              <w:t>Pacc transversal causal</w:t>
            </w:r>
          </w:p>
        </w:tc>
        <w:tc>
          <w:tcPr>
            <w:tcW w:type="dxa" w:w="1800"/>
            <w:tcMar>
              <w:top w:w="80" w:type="dxa"/>
              <w:bottom w:w="80" w:type="dxa"/>
              <w:start w:w="120" w:type="dxa"/>
              <w:end w:w="120" w:type="dxa"/>
            </w:tcMar>
            <w:vAlign w:val="center"/>
          </w:tcPr>
          <w:p>
            <w:r/>
            <w:r>
              <w:rPr>
                <w:rFonts w:ascii="Calibri" w:hAnsi="Calibri"/>
                <w:b w:val="0"/>
                <w:i w:val="0"/>
                <w:color w:val="000000"/>
                <w:sz w:val="18"/>
              </w:rPr>
              <w:t>Non identifié</w:t>
            </w:r>
          </w:p>
        </w:tc>
        <w:tc>
          <w:tcPr>
            <w:tcW w:type="dxa" w:w="4660"/>
            <w:tcMar>
              <w:top w:w="80" w:type="dxa"/>
              <w:bottom w:w="80" w:type="dxa"/>
              <w:start w:w="120" w:type="dxa"/>
              <w:end w:w="120" w:type="dxa"/>
            </w:tcMar>
            <w:vAlign w:val="center"/>
          </w:tcPr>
          <w:p>
            <w:r/>
            <w:r>
              <w:rPr>
                <w:rFonts w:ascii="Calibri" w:hAnsi="Calibri"/>
                <w:b w:val="0"/>
                <w:i w:val="0"/>
                <w:color w:val="000000"/>
                <w:sz w:val="18"/>
              </w:rPr>
              <w:t>Saturation et absence d’interventions</w:t>
            </w:r>
          </w:p>
        </w:tc>
      </w:tr>
      <w:tr>
        <w:tc>
          <w:tcPr>
            <w:tcW w:type="dxa" w:w="2900"/>
            <w:tcMar>
              <w:top w:w="80" w:type="dxa"/>
              <w:bottom w:w="80" w:type="dxa"/>
              <w:start w:w="120" w:type="dxa"/>
              <w:end w:w="120" w:type="dxa"/>
            </w:tcMar>
            <w:vAlign w:val="center"/>
          </w:tcPr>
          <w:p>
            <w:r/>
            <w:r>
              <w:rPr>
                <w:rFonts w:ascii="Calibri" w:hAnsi="Calibri"/>
                <w:b w:val="0"/>
                <w:i w:val="0"/>
                <w:color w:val="000000"/>
                <w:sz w:val="18"/>
              </w:rPr>
              <w:t>Histoire antibiotique ≥10 %</w:t>
            </w:r>
          </w:p>
        </w:tc>
        <w:tc>
          <w:tcPr>
            <w:tcW w:type="dxa" w:w="1800"/>
            <w:tcMar>
              <w:top w:w="80" w:type="dxa"/>
              <w:bottom w:w="80" w:type="dxa"/>
              <w:start w:w="120" w:type="dxa"/>
              <w:end w:w="120" w:type="dxa"/>
            </w:tcMar>
            <w:vAlign w:val="center"/>
          </w:tcPr>
          <w:p>
            <w:r/>
            <w:r>
              <w:rPr>
                <w:rFonts w:ascii="Calibri" w:hAnsi="Calibri"/>
                <w:b w:val="0"/>
                <w:i w:val="0"/>
                <w:color w:val="000000"/>
                <w:sz w:val="18"/>
              </w:rPr>
              <w:t>Non confirmé</w:t>
            </w:r>
          </w:p>
        </w:tc>
        <w:tc>
          <w:tcPr>
            <w:tcW w:type="dxa" w:w="4660"/>
            <w:tcMar>
              <w:top w:w="80" w:type="dxa"/>
              <w:bottom w:w="80" w:type="dxa"/>
              <w:start w:w="120" w:type="dxa"/>
              <w:end w:w="120" w:type="dxa"/>
            </w:tcMar>
            <w:vAlign w:val="center"/>
          </w:tcPr>
          <w:p>
            <w:r/>
            <w:r>
              <w:rPr>
                <w:rFonts w:ascii="Calibri" w:hAnsi="Calibri"/>
                <w:b w:val="0"/>
                <w:i w:val="0"/>
                <w:color w:val="000000"/>
                <w:sz w:val="18"/>
              </w:rPr>
              <w:t>Gain faible, IC traversant zéro</w:t>
            </w:r>
          </w:p>
        </w:tc>
      </w:tr>
      <w:tr>
        <w:tc>
          <w:tcPr>
            <w:tcW w:type="dxa" w:w="2900"/>
            <w:tcMar>
              <w:top w:w="80" w:type="dxa"/>
              <w:bottom w:w="80" w:type="dxa"/>
              <w:start w:w="120" w:type="dxa"/>
              <w:end w:w="120" w:type="dxa"/>
            </w:tcMar>
            <w:vAlign w:val="center"/>
          </w:tcPr>
          <w:p>
            <w:r/>
            <w:r>
              <w:rPr>
                <w:rFonts w:ascii="Calibri" w:hAnsi="Calibri"/>
                <w:b w:val="0"/>
                <w:i w:val="0"/>
                <w:color w:val="000000"/>
                <w:sz w:val="18"/>
              </w:rPr>
              <w:t>Carte ORI-C prédictive</w:t>
            </w:r>
          </w:p>
        </w:tc>
        <w:tc>
          <w:tcPr>
            <w:tcW w:type="dxa" w:w="1800"/>
            <w:tcMar>
              <w:top w:w="80" w:type="dxa"/>
              <w:bottom w:w="80" w:type="dxa"/>
              <w:start w:w="120" w:type="dxa"/>
              <w:end w:w="120" w:type="dxa"/>
            </w:tcMar>
            <w:vAlign w:val="center"/>
          </w:tcPr>
          <w:p>
            <w:r/>
            <w:r>
              <w:rPr>
                <w:rFonts w:ascii="Calibri" w:hAnsi="Calibri"/>
                <w:b w:val="0"/>
                <w:i w:val="0"/>
                <w:color w:val="000000"/>
                <w:sz w:val="18"/>
              </w:rPr>
              <w:t>Réfuté pour les attributs actuels</w:t>
            </w:r>
          </w:p>
        </w:tc>
        <w:tc>
          <w:tcPr>
            <w:tcW w:type="dxa" w:w="4660"/>
            <w:tcMar>
              <w:top w:w="80" w:type="dxa"/>
              <w:bottom w:w="80" w:type="dxa"/>
              <w:start w:w="120" w:type="dxa"/>
              <w:end w:w="120" w:type="dxa"/>
            </w:tcMar>
            <w:vAlign w:val="center"/>
          </w:tcPr>
          <w:p>
            <w:r/>
            <w:r>
              <w:rPr>
                <w:rFonts w:ascii="Calibri" w:hAnsi="Calibri"/>
                <w:b w:val="0"/>
                <w:i w:val="0"/>
                <w:color w:val="000000"/>
                <w:sz w:val="18"/>
              </w:rPr>
              <w:t>AUC inférieure à la chronologie</w:t>
            </w:r>
          </w:p>
        </w:tc>
      </w:tr>
      <w:tr>
        <w:tc>
          <w:tcPr>
            <w:tcW w:type="dxa" w:w="2900"/>
            <w:tcMar>
              <w:top w:w="80" w:type="dxa"/>
              <w:bottom w:w="80" w:type="dxa"/>
              <w:start w:w="120" w:type="dxa"/>
              <w:end w:w="120" w:type="dxa"/>
            </w:tcMar>
            <w:vAlign w:val="center"/>
          </w:tcPr>
          <w:p>
            <w:r/>
            <w:r>
              <w:rPr>
                <w:rFonts w:ascii="Calibri" w:hAnsi="Calibri"/>
                <w:b w:val="0"/>
                <w:i w:val="0"/>
                <w:color w:val="000000"/>
                <w:sz w:val="18"/>
              </w:rPr>
              <w:t>Structure exoplanétaire persistante</w:t>
            </w:r>
          </w:p>
        </w:tc>
        <w:tc>
          <w:tcPr>
            <w:tcW w:type="dxa" w:w="1800"/>
            <w:tcMar>
              <w:top w:w="80" w:type="dxa"/>
              <w:bottom w:w="80" w:type="dxa"/>
              <w:start w:w="120" w:type="dxa"/>
              <w:end w:w="120" w:type="dxa"/>
            </w:tcMar>
            <w:vAlign w:val="center"/>
          </w:tcPr>
          <w:p>
            <w:r/>
            <w:r>
              <w:rPr>
                <w:rFonts w:ascii="Calibri" w:hAnsi="Calibri"/>
                <w:b w:val="0"/>
                <w:i w:val="0"/>
                <w:color w:val="000000"/>
                <w:sz w:val="18"/>
              </w:rPr>
              <w:t>Non démontré</w:t>
            </w:r>
          </w:p>
        </w:tc>
        <w:tc>
          <w:tcPr>
            <w:tcW w:type="dxa" w:w="4660"/>
            <w:tcMar>
              <w:top w:w="80" w:type="dxa"/>
              <w:bottom w:w="80" w:type="dxa"/>
              <w:start w:w="120" w:type="dxa"/>
              <w:end w:w="120" w:type="dxa"/>
            </w:tcMar>
            <w:vAlign w:val="center"/>
          </w:tcPr>
          <w:p>
            <w:r/>
            <w:r>
              <w:rPr>
                <w:rFonts w:ascii="Calibri" w:hAnsi="Calibri"/>
                <w:b w:val="0"/>
                <w:i w:val="0"/>
                <w:color w:val="000000"/>
                <w:sz w:val="18"/>
              </w:rPr>
              <w:t>0 variable matérielle/persistante</w:t>
            </w:r>
          </w:p>
        </w:tc>
      </w:tr>
      <w:tr>
        <w:tc>
          <w:tcPr>
            <w:tcW w:type="dxa" w:w="2900"/>
            <w:tcMar>
              <w:top w:w="80" w:type="dxa"/>
              <w:bottom w:w="80" w:type="dxa"/>
              <w:start w:w="120" w:type="dxa"/>
              <w:end w:w="120" w:type="dxa"/>
            </w:tcMar>
            <w:vAlign w:val="center"/>
          </w:tcPr>
          <w:p>
            <w:r/>
            <w:r>
              <w:rPr>
                <w:rFonts w:ascii="Calibri" w:hAnsi="Calibri"/>
                <w:b w:val="0"/>
                <w:i w:val="0"/>
                <w:color w:val="000000"/>
                <w:sz w:val="18"/>
              </w:rPr>
              <w:t>Astronomie complète avec GR</w:t>
            </w:r>
          </w:p>
        </w:tc>
        <w:tc>
          <w:tcPr>
            <w:tcW w:type="dxa" w:w="1800"/>
            <w:tcMar>
              <w:top w:w="80" w:type="dxa"/>
              <w:bottom w:w="80" w:type="dxa"/>
              <w:start w:w="120" w:type="dxa"/>
              <w:end w:w="120" w:type="dxa"/>
            </w:tcMar>
            <w:vAlign w:val="center"/>
          </w:tcPr>
          <w:p>
            <w:r/>
            <w:r>
              <w:rPr>
                <w:rFonts w:ascii="Calibri" w:hAnsi="Calibri"/>
                <w:b w:val="0"/>
                <w:i w:val="0"/>
                <w:color w:val="000000"/>
                <w:sz w:val="18"/>
              </w:rPr>
              <w:t>Ouvert</w:t>
            </w:r>
          </w:p>
        </w:tc>
        <w:tc>
          <w:tcPr>
            <w:tcW w:type="dxa" w:w="4660"/>
            <w:tcMar>
              <w:top w:w="80" w:type="dxa"/>
              <w:bottom w:w="80" w:type="dxa"/>
              <w:start w:w="120" w:type="dxa"/>
              <w:end w:w="120" w:type="dxa"/>
            </w:tcMar>
            <w:vAlign w:val="center"/>
          </w:tcPr>
          <w:p>
            <w:r/>
            <w:r>
              <w:rPr>
                <w:rFonts w:ascii="Calibri" w:hAnsi="Calibri"/>
                <w:b w:val="0"/>
                <w:i w:val="0"/>
                <w:color w:val="000000"/>
                <w:sz w:val="18"/>
              </w:rPr>
              <w:t>REBOUNDx non rejoué</w:t>
            </w:r>
          </w:p>
        </w:tc>
      </w:tr>
    </w:tbl>
    <w:p>
      <w:pPr>
        <w:spacing w:after="40"/>
      </w:pPr>
    </w:p>
    <w:p>
      <w:pPr>
        <w:pStyle w:val="Heading1"/>
      </w:pPr>
      <w:r>
        <w:t>14. Niveau de preuve actuel</w:t>
      </w:r>
    </w:p>
    <w:tbl>
      <w:tblPr>
        <w:tblStyle w:val="TableGrid"/>
        <w:tblW w:type="dxa" w:w="9360"/>
        <w:jc w:val="left"/>
        <w:tblLayout w:type="fixed"/>
        <w:tblLook w:firstColumn="1" w:firstRow="1" w:lastColumn="0" w:lastRow="0" w:noHBand="0" w:noVBand="1" w:val="04A0"/>
        <w:tblInd w:w="120" w:type="dxa"/>
      </w:tblPr>
      <w:tblGrid>
        <w:gridCol w:w="2200"/>
        <w:gridCol w:w="3700"/>
        <w:gridCol w:w="3460"/>
      </w:tblGrid>
      <w:tr>
        <w:trPr>
          <w:tblHeader w:val="true"/>
        </w:trPr>
        <w:tc>
          <w:tcPr>
            <w:tcW w:type="dxa" w:w="2200"/>
            <w:shd w:fill="F2F4F7"/>
            <w:tcMar>
              <w:top w:w="80" w:type="dxa"/>
              <w:bottom w:w="80" w:type="dxa"/>
              <w:start w:w="120" w:type="dxa"/>
              <w:end w:w="120" w:type="dxa"/>
            </w:tcMar>
            <w:vAlign w:val="center"/>
          </w:tcPr>
          <w:p>
            <w:r/>
            <w:r>
              <w:rPr>
                <w:rFonts w:ascii="Calibri" w:hAnsi="Calibri"/>
                <w:b/>
                <w:i w:val="0"/>
                <w:color w:val="17365D"/>
                <w:sz w:val="19"/>
              </w:rPr>
              <w:t>Niveau</w:t>
            </w:r>
          </w:p>
        </w:tc>
        <w:tc>
          <w:tcPr>
            <w:tcW w:type="dxa" w:w="3700"/>
            <w:shd w:fill="F2F4F7"/>
            <w:tcMar>
              <w:top w:w="80" w:type="dxa"/>
              <w:bottom w:w="80" w:type="dxa"/>
              <w:start w:w="120" w:type="dxa"/>
              <w:end w:w="120" w:type="dxa"/>
            </w:tcMar>
            <w:vAlign w:val="center"/>
          </w:tcPr>
          <w:p>
            <w:r/>
            <w:r>
              <w:rPr>
                <w:rFonts w:ascii="Calibri" w:hAnsi="Calibri"/>
                <w:b/>
                <w:i w:val="0"/>
                <w:color w:val="17365D"/>
                <w:sz w:val="19"/>
              </w:rPr>
              <w:t>Résultats concernés</w:t>
            </w:r>
          </w:p>
        </w:tc>
        <w:tc>
          <w:tcPr>
            <w:tcW w:type="dxa" w:w="3460"/>
            <w:shd w:fill="F2F4F7"/>
            <w:tcMar>
              <w:top w:w="80" w:type="dxa"/>
              <w:bottom w:w="80" w:type="dxa"/>
              <w:start w:w="120" w:type="dxa"/>
              <w:end w:w="120" w:type="dxa"/>
            </w:tcMar>
            <w:vAlign w:val="center"/>
          </w:tcPr>
          <w:p>
            <w:r/>
            <w:r>
              <w:rPr>
                <w:rFonts w:ascii="Calibri" w:hAnsi="Calibri"/>
                <w:b/>
                <w:i w:val="0"/>
                <w:color w:val="17365D"/>
                <w:sz w:val="19"/>
              </w:rPr>
              <w:t>Conclusion autorisée</w:t>
            </w:r>
          </w:p>
        </w:tc>
      </w:tr>
      <w:tr>
        <w:tc>
          <w:tcPr>
            <w:tcW w:type="dxa" w:w="2200"/>
            <w:tcMar>
              <w:top w:w="80" w:type="dxa"/>
              <w:bottom w:w="80" w:type="dxa"/>
              <w:start w:w="120" w:type="dxa"/>
              <w:end w:w="120" w:type="dxa"/>
            </w:tcMar>
            <w:vAlign w:val="center"/>
          </w:tcPr>
          <w:p>
            <w:r/>
            <w:r>
              <w:rPr>
                <w:rFonts w:ascii="Calibri" w:hAnsi="Calibri"/>
                <w:b w:val="0"/>
                <w:i w:val="0"/>
                <w:color w:val="000000"/>
                <w:sz w:val="18"/>
              </w:rPr>
              <w:t>Observation disciplinaire</w:t>
            </w:r>
          </w:p>
        </w:tc>
        <w:tc>
          <w:tcPr>
            <w:tcW w:type="dxa" w:w="3700"/>
            <w:tcMar>
              <w:top w:w="80" w:type="dxa"/>
              <w:bottom w:w="80" w:type="dxa"/>
              <w:start w:w="120" w:type="dxa"/>
              <w:end w:w="120" w:type="dxa"/>
            </w:tcMar>
            <w:vAlign w:val="center"/>
          </w:tcPr>
          <w:p>
            <w:r/>
            <w:r>
              <w:rPr>
                <w:rFonts w:ascii="Calibri" w:hAnsi="Calibri"/>
                <w:b w:val="0"/>
                <w:i w:val="0"/>
                <w:color w:val="000000"/>
                <w:sz w:val="18"/>
              </w:rPr>
              <w:t>LR04, GISTEMP, Windels, NASA Archive</w:t>
            </w:r>
          </w:p>
        </w:tc>
        <w:tc>
          <w:tcPr>
            <w:tcW w:type="dxa" w:w="3460"/>
            <w:tcMar>
              <w:top w:w="80" w:type="dxa"/>
              <w:bottom w:w="80" w:type="dxa"/>
              <w:start w:w="120" w:type="dxa"/>
              <w:end w:w="120" w:type="dxa"/>
            </w:tcMar>
            <w:vAlign w:val="center"/>
          </w:tcPr>
          <w:p>
            <w:r/>
            <w:r>
              <w:rPr>
                <w:rFonts w:ascii="Calibri" w:hAnsi="Calibri"/>
                <w:b w:val="0"/>
                <w:i w:val="0"/>
                <w:color w:val="000000"/>
                <w:sz w:val="18"/>
              </w:rPr>
              <w:t>Propriétés et limites des archives</w:t>
            </w:r>
          </w:p>
        </w:tc>
      </w:tr>
      <w:tr>
        <w:tc>
          <w:tcPr>
            <w:tcW w:type="dxa" w:w="2200"/>
            <w:tcMar>
              <w:top w:w="80" w:type="dxa"/>
              <w:bottom w:w="80" w:type="dxa"/>
              <w:start w:w="120" w:type="dxa"/>
              <w:end w:w="120" w:type="dxa"/>
            </w:tcMar>
            <w:vAlign w:val="center"/>
          </w:tcPr>
          <w:p>
            <w:r/>
            <w:r>
              <w:rPr>
                <w:rFonts w:ascii="Calibri" w:hAnsi="Calibri"/>
                <w:b w:val="0"/>
                <w:i w:val="0"/>
                <w:color w:val="000000"/>
                <w:sz w:val="18"/>
              </w:rPr>
              <w:t>Validation numérique</w:t>
            </w:r>
          </w:p>
        </w:tc>
        <w:tc>
          <w:tcPr>
            <w:tcW w:type="dxa" w:w="3700"/>
            <w:tcMar>
              <w:top w:w="80" w:type="dxa"/>
              <w:bottom w:w="80" w:type="dxa"/>
              <w:start w:w="120" w:type="dxa"/>
              <w:end w:w="120" w:type="dxa"/>
            </w:tcMar>
            <w:vAlign w:val="center"/>
          </w:tcPr>
          <w:p>
            <w:r/>
            <w:r>
              <w:rPr>
                <w:rFonts w:ascii="Calibri" w:hAnsi="Calibri"/>
                <w:b w:val="0"/>
                <w:i w:val="0"/>
                <w:color w:val="000000"/>
                <w:sz w:val="18"/>
              </w:rPr>
              <w:t>N-body/La2004, REBOUND, nulls AR(1)</w:t>
            </w:r>
          </w:p>
        </w:tc>
        <w:tc>
          <w:tcPr>
            <w:tcW w:type="dxa" w:w="3460"/>
            <w:tcMar>
              <w:top w:w="80" w:type="dxa"/>
              <w:bottom w:w="80" w:type="dxa"/>
              <w:start w:w="120" w:type="dxa"/>
              <w:end w:w="120" w:type="dxa"/>
            </w:tcMar>
            <w:vAlign w:val="center"/>
          </w:tcPr>
          <w:p>
            <w:r/>
            <w:r>
              <w:rPr>
                <w:rFonts w:ascii="Calibri" w:hAnsi="Calibri"/>
                <w:b w:val="0"/>
                <w:i w:val="0"/>
                <w:color w:val="000000"/>
                <w:sz w:val="18"/>
              </w:rPr>
              <w:t>Robustesse de calcul ou écart à une hypothèse nulle</w:t>
            </w:r>
          </w:p>
        </w:tc>
      </w:tr>
      <w:tr>
        <w:tc>
          <w:tcPr>
            <w:tcW w:type="dxa" w:w="2200"/>
            <w:tcMar>
              <w:top w:w="80" w:type="dxa"/>
              <w:bottom w:w="80" w:type="dxa"/>
              <w:start w:w="120" w:type="dxa"/>
              <w:end w:w="120" w:type="dxa"/>
            </w:tcMar>
            <w:vAlign w:val="center"/>
          </w:tcPr>
          <w:p>
            <w:r/>
            <w:r>
              <w:rPr>
                <w:rFonts w:ascii="Calibri" w:hAnsi="Calibri"/>
                <w:b w:val="0"/>
                <w:i w:val="0"/>
                <w:color w:val="000000"/>
                <w:sz w:val="18"/>
              </w:rPr>
              <w:t>Modèle réduit</w:t>
            </w:r>
          </w:p>
        </w:tc>
        <w:tc>
          <w:tcPr>
            <w:tcW w:type="dxa" w:w="3700"/>
            <w:tcMar>
              <w:top w:w="80" w:type="dxa"/>
              <w:bottom w:w="80" w:type="dxa"/>
              <w:start w:w="120" w:type="dxa"/>
              <w:end w:w="120" w:type="dxa"/>
            </w:tcMar>
            <w:vAlign w:val="center"/>
          </w:tcPr>
          <w:p>
            <w:r/>
            <w:r>
              <w:rPr>
                <w:rFonts w:ascii="Calibri" w:hAnsi="Calibri"/>
                <w:b w:val="0"/>
                <w:i w:val="0"/>
                <w:color w:val="000000"/>
                <w:sz w:val="18"/>
              </w:rPr>
              <w:t>M0/M1/M2/M1P, exoplanètes contrôlées</w:t>
            </w:r>
          </w:p>
        </w:tc>
        <w:tc>
          <w:tcPr>
            <w:tcW w:type="dxa" w:w="3460"/>
            <w:tcMar>
              <w:top w:w="80" w:type="dxa"/>
              <w:bottom w:w="80" w:type="dxa"/>
              <w:start w:w="120" w:type="dxa"/>
              <w:end w:w="120" w:type="dxa"/>
            </w:tcMar>
            <w:vAlign w:val="center"/>
          </w:tcPr>
          <w:p>
            <w:r/>
            <w:r>
              <w:rPr>
                <w:rFonts w:ascii="Calibri" w:hAnsi="Calibri"/>
                <w:b w:val="0"/>
                <w:i w:val="0"/>
                <w:color w:val="000000"/>
                <w:sz w:val="18"/>
              </w:rPr>
              <w:t>Falsification locale, pas preuve universelle</w:t>
            </w:r>
          </w:p>
        </w:tc>
      </w:tr>
      <w:tr>
        <w:tc>
          <w:tcPr>
            <w:tcW w:type="dxa" w:w="2200"/>
            <w:tcMar>
              <w:top w:w="80" w:type="dxa"/>
              <w:bottom w:w="80" w:type="dxa"/>
              <w:start w:w="120" w:type="dxa"/>
              <w:end w:w="120" w:type="dxa"/>
            </w:tcMar>
            <w:vAlign w:val="center"/>
          </w:tcPr>
          <w:p>
            <w:r/>
            <w:r>
              <w:rPr>
                <w:rFonts w:ascii="Calibri" w:hAnsi="Calibri"/>
                <w:b w:val="0"/>
                <w:i w:val="0"/>
                <w:color w:val="000000"/>
                <w:sz w:val="18"/>
              </w:rPr>
              <w:t>Apport ORI-C</w:t>
            </w:r>
          </w:p>
        </w:tc>
        <w:tc>
          <w:tcPr>
            <w:tcW w:type="dxa" w:w="3700"/>
            <w:tcMar>
              <w:top w:w="80" w:type="dxa"/>
              <w:bottom w:w="80" w:type="dxa"/>
              <w:start w:w="120" w:type="dxa"/>
              <w:end w:w="120" w:type="dxa"/>
            </w:tcMar>
            <w:vAlign w:val="center"/>
          </w:tcPr>
          <w:p>
            <w:r/>
            <w:r>
              <w:rPr>
                <w:rFonts w:ascii="Calibri" w:hAnsi="Calibri"/>
                <w:b w:val="0"/>
                <w:i w:val="0"/>
                <w:color w:val="000000"/>
                <w:sz w:val="18"/>
              </w:rPr>
              <w:t>Aucun résultat confirmatoire à ce jour</w:t>
            </w:r>
          </w:p>
        </w:tc>
        <w:tc>
          <w:tcPr>
            <w:tcW w:type="dxa" w:w="3460"/>
            <w:tcMar>
              <w:top w:w="80" w:type="dxa"/>
              <w:bottom w:w="80" w:type="dxa"/>
              <w:start w:w="120" w:type="dxa"/>
              <w:end w:w="120" w:type="dxa"/>
            </w:tcMar>
            <w:vAlign w:val="center"/>
          </w:tcPr>
          <w:p>
            <w:r/>
            <w:r>
              <w:rPr>
                <w:rFonts w:ascii="Calibri" w:hAnsi="Calibri"/>
                <w:b w:val="0"/>
                <w:i w:val="0"/>
                <w:color w:val="000000"/>
                <w:sz w:val="18"/>
              </w:rPr>
              <w:t>Programme ouvert, revendications limitées</w:t>
            </w:r>
          </w:p>
        </w:tc>
      </w:tr>
    </w:tbl>
    <w:p>
      <w:pPr>
        <w:spacing w:after="40"/>
      </w:pPr>
    </w:p>
    <w:p>
      <w:pPr>
        <w:pStyle w:val="Heading1"/>
      </w:pPr>
      <w:r>
        <w:t>15. Programme de recherche prioritaire</w:t>
      </w:r>
    </w:p>
    <w:p>
      <w:pPr>
        <w:pStyle w:val="ListBullet"/>
        <w:spacing w:after="80" w:line="280" w:lineRule="auto"/>
        <w:ind w:left="720" w:hanging="360"/>
      </w:pPr>
      <w:r>
        <w:rPr>
          <w:rFonts w:ascii="Calibri" w:hAnsi="Calibri"/>
          <w:b w:val="0"/>
          <w:i w:val="0"/>
          <w:color w:val="000000"/>
          <w:sz w:val="22"/>
        </w:rPr>
        <w:t>Préenregistrer une nouvelle famille climatique produisant explicitement l’émergence de 100 ka, avec témoin sans mémoire de complexité égale.</w:t>
      </w:r>
    </w:p>
    <w:p>
      <w:pPr>
        <w:pStyle w:val="ListBullet"/>
        <w:spacing w:after="80" w:line="280" w:lineRule="auto"/>
        <w:ind w:left="720" w:hanging="360"/>
      </w:pPr>
      <w:r>
        <w:rPr>
          <w:rFonts w:ascii="Calibri" w:hAnsi="Calibri"/>
          <w:b w:val="0"/>
          <w:i w:val="0"/>
          <w:color w:val="000000"/>
          <w:sz w:val="22"/>
        </w:rPr>
        <w:t>Tester hors échantillon sur ZECMIP/CDRMIP pour arrêt et retrait des émissions; ne pas utiliser GISTEMP comme substitut de scénarios.</w:t>
      </w:r>
    </w:p>
    <w:p>
      <w:pPr>
        <w:pStyle w:val="ListBullet"/>
        <w:spacing w:after="80" w:line="280" w:lineRule="auto"/>
        <w:ind w:left="720" w:hanging="360"/>
      </w:pPr>
      <w:r>
        <w:rPr>
          <w:rFonts w:ascii="Calibri" w:hAnsi="Calibri"/>
          <w:b w:val="0"/>
          <w:i w:val="0"/>
          <w:color w:val="000000"/>
          <w:sz w:val="22"/>
        </w:rPr>
        <w:t>Exécuter les sept familles alternatives C4, les sept architectures de mémoire C3 et la localisation mécanistique C7.</w:t>
      </w:r>
    </w:p>
    <w:p>
      <w:pPr>
        <w:pStyle w:val="ListBullet"/>
        <w:spacing w:after="80" w:line="280" w:lineRule="auto"/>
        <w:ind w:left="720" w:hanging="360"/>
      </w:pPr>
      <w:r>
        <w:rPr>
          <w:rFonts w:ascii="Calibri" w:hAnsi="Calibri"/>
          <w:b w:val="0"/>
          <w:i w:val="0"/>
          <w:color w:val="000000"/>
          <w:sz w:val="22"/>
        </w:rPr>
        <w:t>Installer une chaîne C++/REBOUNDx et exécuter les ablations A1–A6 sous Windows, Linux et macOS.</w:t>
      </w:r>
    </w:p>
    <w:p>
      <w:pPr>
        <w:pStyle w:val="ListBullet"/>
        <w:spacing w:after="80" w:line="280" w:lineRule="auto"/>
        <w:ind w:left="720" w:hanging="360"/>
      </w:pPr>
      <w:r>
        <w:rPr>
          <w:rFonts w:ascii="Calibri" w:hAnsi="Calibri"/>
          <w:b w:val="0"/>
          <w:i w:val="0"/>
          <w:color w:val="000000"/>
          <w:sz w:val="22"/>
        </w:rPr>
        <w:t>Refaire les six dimensions matière avec plusieurs codeurs, accord inter-codeurs et mesures sourcées indépendantes du régime.</w:t>
      </w:r>
    </w:p>
    <w:p>
      <w:pPr>
        <w:pStyle w:val="ListBullet"/>
        <w:spacing w:after="80" w:line="280" w:lineRule="auto"/>
        <w:ind w:left="720" w:hanging="360"/>
      </w:pPr>
      <w:r>
        <w:rPr>
          <w:rFonts w:ascii="Calibri" w:hAnsi="Calibri"/>
          <w:b w:val="0"/>
          <w:i w:val="0"/>
          <w:color w:val="000000"/>
          <w:sz w:val="22"/>
        </w:rPr>
        <w:t>Obtenir une cohorte antibiotique externe avec exposition variable et clé longitudinale complète.</w:t>
      </w:r>
    </w:p>
    <w:p>
      <w:pPr>
        <w:pStyle w:val="ListBullet"/>
        <w:spacing w:after="80" w:line="280" w:lineRule="auto"/>
        <w:ind w:left="720" w:hanging="360"/>
      </w:pPr>
      <w:r>
        <w:rPr>
          <w:rFonts w:ascii="Calibri" w:hAnsi="Calibri"/>
          <w:b w:val="0"/>
          <w:i w:val="0"/>
          <w:color w:val="000000"/>
          <w:sz w:val="22"/>
        </w:rPr>
        <w:t>Redéfinir Pacc sur interventions, quasi-expériences ou ensembles contrefactuels explicitement appariés.</w:t>
      </w:r>
    </w:p>
    <w:p>
      <w:pPr>
        <w:pStyle w:val="ListBullet"/>
        <w:spacing w:after="80" w:line="280" w:lineRule="auto"/>
        <w:ind w:left="720" w:hanging="360"/>
      </w:pPr>
      <w:r>
        <w:rPr>
          <w:rFonts w:ascii="Calibri" w:hAnsi="Calibri"/>
          <w:b w:val="0"/>
          <w:i w:val="0"/>
          <w:color w:val="000000"/>
          <w:sz w:val="22"/>
        </w:rPr>
        <w:t>Préenregistrer publiquement les protocoles et faire reproduire un résultat positif et un résultat négatif par une équipe indépendante.</w:t>
      </w:r>
    </w:p>
    <w:p>
      <w:pPr>
        <w:pStyle w:val="ListBullet"/>
        <w:spacing w:after="80" w:line="280" w:lineRule="auto"/>
        <w:ind w:left="720" w:hanging="360"/>
      </w:pPr>
      <w:r>
        <w:rPr>
          <w:rFonts w:ascii="Calibri" w:hAnsi="Calibri"/>
          <w:b w:val="0"/>
          <w:i w:val="0"/>
          <w:color w:val="000000"/>
          <w:sz w:val="22"/>
        </w:rPr>
        <w:t>Déposer les données lourdes sur OSF/Zenodo avec DOI et conserver GitHub pour le code, les manifestes et les données légères.</w:t>
      </w:r>
    </w:p>
    <w:p>
      <w:pPr>
        <w:pStyle w:val="Heading1"/>
      </w:pPr>
      <w:r>
        <w:t>16. Conclusion générale</w:t>
      </w:r>
    </w:p>
    <w:p>
      <w:r>
        <w:rPr>
          <w:rFonts w:ascii="Calibri" w:hAnsi="Calibri"/>
          <w:b w:val="0"/>
          <w:i w:val="0"/>
          <w:color w:val="000000"/>
          <w:sz w:val="22"/>
        </w:rPr>
        <w:t>ORI-C a progressé moins par accumulation de confirmations que par amélioration de sa capacité à se réfuter. C’est une avancée scientifique réelle. Les tests récents éliminent M2, le codage actuel des six dimensions et l’implémentation observationnelle de Pacc comme supports de revendications fortes. Ils conservent trois acquis : une cible climatique non stationnaire clairement mesurée, une distinction numérique phase/spectre et un signal antibiotique faible qui mérite une validation externe.</w:t>
      </w:r>
    </w:p>
    <w:p>
      <w:r>
        <w:rPr>
          <w:rFonts w:ascii="Calibri" w:hAnsi="Calibri"/>
          <w:b w:val="0"/>
          <w:i w:val="0"/>
          <w:color w:val="000000"/>
          <w:sz w:val="22"/>
        </w:rPr>
        <w:t>La prochaine étape n’est pas d’élargir le programme. Elle consiste à préenregistrer une prédiction minimale, construire les mesures manquantes et obtenir une réplication indépendante. Jusqu’à cette étape, ORI-C doit être présenté comme un cadre de recherche falsifiable en consolidation.</w:t>
      </w:r>
    </w:p>
    <w:p>
      <w:pPr>
        <w:pStyle w:val="Heading1"/>
      </w:pPr>
      <w:r>
        <w:t>Annexe A — Fichiers de résultats principaux</w:t>
      </w:r>
    </w:p>
    <w:p>
      <w:pPr>
        <w:pStyle w:val="ListBullet"/>
        <w:spacing w:after="80" w:line="280" w:lineRule="auto"/>
        <w:ind w:left="720" w:hanging="360"/>
      </w:pPr>
      <w:r>
        <w:rPr>
          <w:rFonts w:ascii="Calibri" w:hAnsi="Calibri"/>
          <w:b w:val="0"/>
          <w:i w:val="0"/>
          <w:color w:val="000000"/>
          <w:sz w:val="22"/>
        </w:rPr>
        <w:t>RESULTATS_TESTS_ISSUS_REVUE.md — synthèse quantitative consolidée.</w:t>
      </w:r>
    </w:p>
    <w:p>
      <w:pPr>
        <w:pStyle w:val="ListBullet"/>
        <w:spacing w:after="80" w:line="280" w:lineRule="auto"/>
        <w:ind w:left="720" w:hanging="360"/>
      </w:pPr>
      <w:r>
        <w:rPr>
          <w:rFonts w:ascii="Calibri" w:hAnsi="Calibri"/>
          <w:b w:val="0"/>
          <w:i w:val="0"/>
          <w:color w:val="000000"/>
          <w:sz w:val="22"/>
        </w:rPr>
        <w:t>results_stress/tests_reels/f_tests_reels.json — T1 à T4.</w:t>
      </w:r>
    </w:p>
    <w:p>
      <w:pPr>
        <w:pStyle w:val="ListBullet"/>
        <w:spacing w:after="80" w:line="280" w:lineRule="auto"/>
        <w:ind w:left="720" w:hanging="360"/>
      </w:pPr>
      <w:r>
        <w:rPr>
          <w:rFonts w:ascii="Calibri" w:hAnsi="Calibri"/>
          <w:b w:val="0"/>
          <w:i w:val="0"/>
          <w:color w:val="000000"/>
          <w:sz w:val="22"/>
        </w:rPr>
        <w:t>results_stress/tests_reels/g_tests_reels_2.json — G1 à G4.</w:t>
      </w:r>
    </w:p>
    <w:p>
      <w:pPr>
        <w:pStyle w:val="ListBullet"/>
        <w:spacing w:after="80" w:line="280" w:lineRule="auto"/>
        <w:ind w:left="720" w:hanging="360"/>
      </w:pPr>
      <w:r>
        <w:rPr>
          <w:rFonts w:ascii="Calibri" w:hAnsi="Calibri"/>
          <w:b w:val="0"/>
          <w:i w:val="0"/>
          <w:color w:val="000000"/>
          <w:sz w:val="22"/>
        </w:rPr>
        <w:t>results_stress/tests_reels/i_criteres_discriminants.json — identifiabilité et hors échantillon.</w:t>
      </w:r>
    </w:p>
    <w:p>
      <w:pPr>
        <w:pStyle w:val="ListBullet"/>
        <w:spacing w:after="80" w:line="280" w:lineRule="auto"/>
        <w:ind w:left="720" w:hanging="360"/>
      </w:pPr>
      <w:r>
        <w:rPr>
          <w:rFonts w:ascii="Calibri" w:hAnsi="Calibri"/>
          <w:b w:val="0"/>
          <w:i w:val="0"/>
          <w:color w:val="000000"/>
          <w:sz w:val="22"/>
        </w:rPr>
        <w:t>resultats_consolides/benchmark_antibiotic_history.json — benchmark antibiotique.</w:t>
      </w:r>
    </w:p>
    <w:p>
      <w:pPr>
        <w:pStyle w:val="ListBullet"/>
        <w:spacing w:after="80" w:line="280" w:lineRule="auto"/>
        <w:ind w:left="720" w:hanging="360"/>
      </w:pPr>
      <w:r>
        <w:rPr>
          <w:rFonts w:ascii="Calibri" w:hAnsi="Calibri"/>
          <w:b w:val="0"/>
          <w:i w:val="0"/>
          <w:color w:val="000000"/>
          <w:sz w:val="22"/>
        </w:rPr>
        <w:t>base_transitions/information_dimensions.json — audit informationnel des six dimensions.</w:t>
      </w:r>
    </w:p>
    <w:p>
      <w:pPr>
        <w:pStyle w:val="ListBullet"/>
        <w:spacing w:after="80" w:line="280" w:lineRule="auto"/>
        <w:ind w:left="720" w:hanging="360"/>
      </w:pPr>
      <w:r>
        <w:rPr>
          <w:rFonts w:ascii="Calibri" w:hAnsi="Calibri"/>
          <w:b w:val="0"/>
          <w:i w:val="0"/>
          <w:color w:val="000000"/>
          <w:sz w:val="22"/>
        </w:rPr>
        <w:t>degradation_phase_vs_spectre.json — comparaison N-body/La2004.</w:t>
      </w:r>
    </w:p>
    <w:p>
      <w:pPr>
        <w:pStyle w:val="ListBullet"/>
        <w:spacing w:after="80" w:line="280" w:lineRule="auto"/>
        <w:ind w:left="720" w:hanging="360"/>
      </w:pPr>
      <w:r>
        <w:rPr>
          <w:rFonts w:ascii="Calibri" w:hAnsi="Calibri"/>
          <w:b w:val="0"/>
          <w:i w:val="0"/>
          <w:color w:val="000000"/>
          <w:sz w:val="22"/>
        </w:rPr>
        <w:t>MANIFEST.sha256 et MANIFEST.sha256.json — intégrité portable.</w:t>
      </w:r>
    </w:p>
    <w:p>
      <w:pPr>
        <w:pStyle w:val="Heading1"/>
      </w:pPr>
      <w:r>
        <w:t>Annexe B — Sources empiriques principales</w:t>
      </w:r>
    </w:p>
    <w:p>
      <w:pPr>
        <w:pStyle w:val="ListBullet"/>
        <w:spacing w:after="80" w:line="280" w:lineRule="auto"/>
        <w:ind w:left="720" w:hanging="360"/>
      </w:pPr>
      <w:r>
        <w:rPr>
          <w:rFonts w:ascii="Calibri" w:hAnsi="Calibri"/>
          <w:b w:val="0"/>
          <w:i w:val="0"/>
          <w:color w:val="000000"/>
          <w:sz w:val="22"/>
        </w:rPr>
        <w:t>Lisiecki &amp; Raymo, LR04 benthic δ18O stack, archive NOAA/NCEI.</w:t>
      </w:r>
    </w:p>
    <w:p>
      <w:pPr>
        <w:pStyle w:val="ListBullet"/>
        <w:spacing w:after="80" w:line="280" w:lineRule="auto"/>
        <w:ind w:left="720" w:hanging="360"/>
      </w:pPr>
      <w:r>
        <w:rPr>
          <w:rFonts w:ascii="Calibri" w:hAnsi="Calibri"/>
          <w:b w:val="0"/>
          <w:i w:val="0"/>
          <w:color w:val="000000"/>
          <w:sz w:val="22"/>
        </w:rPr>
        <w:t>Laskar et al., solutions orbitales La2004 et La2010, IMCCE.</w:t>
      </w:r>
    </w:p>
    <w:p>
      <w:pPr>
        <w:pStyle w:val="ListBullet"/>
        <w:spacing w:after="80" w:line="280" w:lineRule="auto"/>
        <w:ind w:left="720" w:hanging="360"/>
      </w:pPr>
      <w:r>
        <w:rPr>
          <w:rFonts w:ascii="Calibri" w:hAnsi="Calibri"/>
          <w:b w:val="0"/>
          <w:i w:val="0"/>
          <w:color w:val="000000"/>
          <w:sz w:val="22"/>
        </w:rPr>
        <w:t>NASA GISS Surface Temperature Analysis (GISTEMP).</w:t>
      </w:r>
    </w:p>
    <w:p>
      <w:pPr>
        <w:pStyle w:val="ListBullet"/>
        <w:spacing w:after="80" w:line="280" w:lineRule="auto"/>
        <w:ind w:left="720" w:hanging="360"/>
      </w:pPr>
      <w:r>
        <w:rPr>
          <w:rFonts w:ascii="Calibri" w:hAnsi="Calibri"/>
          <w:b w:val="0"/>
          <w:i w:val="0"/>
          <w:color w:val="000000"/>
          <w:sz w:val="22"/>
        </w:rPr>
        <w:t>NASA Exoplanet Archive.</w:t>
      </w:r>
    </w:p>
    <w:p>
      <w:pPr>
        <w:pStyle w:val="ListBullet"/>
        <w:spacing w:after="80" w:line="280" w:lineRule="auto"/>
        <w:ind w:left="720" w:hanging="360"/>
      </w:pPr>
      <w:r>
        <w:rPr>
          <w:rFonts w:ascii="Calibri" w:hAnsi="Calibri"/>
          <w:b w:val="0"/>
          <w:i w:val="0"/>
          <w:color w:val="000000"/>
          <w:sz w:val="22"/>
        </w:rPr>
        <w:t>JPL Horizons DE441.</w:t>
      </w:r>
    </w:p>
    <w:p>
      <w:pPr>
        <w:pStyle w:val="ListBullet"/>
        <w:spacing w:after="80" w:line="280" w:lineRule="auto"/>
        <w:ind w:left="720" w:hanging="360"/>
      </w:pPr>
      <w:r>
        <w:rPr>
          <w:rFonts w:ascii="Calibri" w:hAnsi="Calibri"/>
          <w:b w:val="0"/>
          <w:i w:val="0"/>
          <w:color w:val="000000"/>
          <w:sz w:val="22"/>
        </w:rPr>
        <w:t>Windels et al., données de cycles antibiotiques, Zenodo 7550302, DOI 10.5281/zenodo.7550302.</w:t>
      </w:r>
    </w:p>
    <w:p>
      <w:pPr>
        <w:pStyle w:val="ListBullet"/>
        <w:spacing w:after="80" w:line="280" w:lineRule="auto"/>
        <w:ind w:left="720" w:hanging="360"/>
      </w:pPr>
      <w:r>
        <w:rPr>
          <w:rFonts w:ascii="Calibri" w:hAnsi="Calibri"/>
          <w:b w:val="0"/>
          <w:i w:val="0"/>
          <w:color w:val="000000"/>
          <w:sz w:val="22"/>
        </w:rPr>
        <w:t>ZECMIP et CDRMIP pour les futurs protocoles d’arrêt/retrait des émissions.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Version canonique socle consolidé  •  2 août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8"/>
      </w:rPr>
      <w:t>ORI-C  |  Rapport scientifique consolidé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scientifique consolidé ORI-C</dc:title>
  <dc:subject>État total, avancées, découvertes, réfutations et feuille de route</dc:subject>
  <dc:creator>Programme ORI-C</dc:creator>
  <cp:keywords>ORI-C, climat, mémoire historique, LR04, REBOUND, antibiotiques, reproductibilité</cp:keywords>
  <dc:description>generated by python-docx</dc:description>
  <cp:lastModifiedBy/>
  <cp:revision>1</cp:revision>
  <dcterms:created xsi:type="dcterms:W3CDTF">2013-12-23T23:15:00Z</dcterms:created>
  <dcterms:modified xsi:type="dcterms:W3CDTF">2013-12-23T23:15:00Z</dcterms:modified>
  <cp:category/>
</cp:coreProperties>
</file>