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S à l’échelle d’analyse ℓ_ana, les échelles physiques caractéristiques {ℓ_phys},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Sₜ₊₁^ℓ_ana = F^ℓ_ana[Aₜ^ℓ_ana](Sₜ^ℓ_ana, uₜ^ℓ_ana, mₜ^ℓ_ana, ξₜ^ℓ_ana)</w:t>
              <w:br/>
              <w:t>mₜ₊₁^ℓ_ana = 𝒢ₘ^ℓ_ana(mₜ^ℓ_ana, Sₜ^ℓ_ana, Aₜ^ℓ_ana, uₜ^ℓ_ana, ξₜ^ℓ_ana)</w:t>
              <w:br/>
              <w:t>Aₜ₊₁^ℓ_ana = Q_A^ℓ_ana(Aₜ^ℓ_ana, mₜ^ℓ_ana, Sₜ^ℓ_ana, uₜ^ℓ_ana, ξₜ^ℓ_ana)</w:t>
              <w:br/>
              <w:t>S(t₁) = Uᵢ[t₀,t₁ ; S(t₀),hᵢ]</w:t>
            </w:r>
          </w:p>
        </w:tc>
      </w:tr>
    </w:tbl>
    <w:p>
      <w:pPr>
        <w:widowControl/>
      </w:pPr>
      <w:r>
        <w:rPr>
          <w:i w:val="0"/>
        </w:rPr>
        <w:t>La dynamique n’est pas représentée par un générateur universel. Chaque régime i possède un domaine de validité Dᵢ et une dynamique Gᵢ. Si S(t₁) quitte Dᵢ, un raccord T(i→j) initialise la description suivante. Un matching conserve les variables communes dans une zone de recouvrement ; une projection ou un coarse-graining doit déclarer l’information conservée, abandonnée et reconstruite.</w:t>
      </w:r>
    </w:p>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À l’échelle d’analyse ℓ_ana, le socle distingue trois filtres emboîtés : P^adm, compatible avec les lois et contraintes ; P^att, atteignable depuis l’état courant sous Gᵢ dans Dᵢ ; P^kin, accessible avant l’horizon T avec les vitesses, ressources et barrières disponibles. Les anciennes notations restent compatibles : Pth correspond à P^adm et Pacc(T,C,ε) à P^kin lorsque l’état initial et le régime sont inclus dans C.</w:t>
      </w:r>
    </w:p>
    <w:p>
      <w:pPr>
        <w:widowControl/>
      </w:pPr>
      <w:r>
        <w:rPr>
          <w:i w:val="0"/>
        </w:rPr>
        <w:t>La persistance est vectorielle : P_pers[h] = (P₁[h],…,Pₙ[h]), comparé au vecteur Π* par une règle explicite Q. La mesure historique Π_pers reste une mesure locale d’une composante, non un scalaire universel additionnant durée, abondance, flux et rémanence. Le segment réalisé hᵢ met à jour l’état par Uᵢ ; les accessibles sont ensuite recalculés, avec T(i→j) si le domaine de validité change. La boucle physique doit rester distincte de la chaîne épistémique D + M → grandeurs inférées.</w:t>
      </w:r>
    </w:p>
    <w:p>
      <w:pPr>
        <w:widowControl/>
        <w:jc w:val="center"/>
      </w:pPr>
      <w:r>
        <w:drawing>
          <wp:inline xmlns:a="http://schemas.openxmlformats.org/drawingml/2006/main" xmlns:pic="http://schemas.openxmlformats.org/drawingml/2006/picture">
            <wp:extent cx="5832000" cy="1039415"/>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1039415"/>
                    </a:xfrm>
                    <a:prstGeom prst="rect"/>
                  </pic:spPr>
                </pic:pic>
              </a:graphicData>
            </a:graphic>
          </wp:inline>
        </w:drawing>
      </w:r>
    </w:p>
    <w:p>
      <w:pPr>
        <w:widowControl/>
        <w:spacing w:after="120"/>
        <w:jc w:val="center"/>
      </w:pPr>
      <w:r>
        <w:rPr>
          <w:i/>
          <w:color w:val="5A5A64"/>
          <w:sz w:val="16"/>
        </w:rPr>
        <w:t>Figure 3. Boucle récursive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Campagne de mémoire matérielle réelle</w:t>
      </w:r>
    </w:p>
    <w:p>
      <w:pPr>
        <w:widowControl/>
      </w:pPr>
      <w:r>
        <w:rPr>
          <w:i w:val="0"/>
        </w:rPr>
        <w:t>La campagne WP-MAT-MEM-2026 trouve 5 familles positives sur au moins une relation, mais 0 famille porte la chaîne complète histoire → trace → réponse sous les quatre contrôles conjoints, alors que trois étaient exigées. Le verdict C-MAT-MEM-05 est donc ne_soutient_pas. Les résultats relationnels locaux ne doivent pas être transformés en validation transversale.</w:t>
      </w:r>
    </w:p>
    <w:p>
      <w:pPr>
        <w:widowControl/>
      </w:pPr>
      <w:r>
        <w:rPr>
          <w:i w:val="0"/>
        </w:rPr>
        <w:t>Le filtre d’admission gelé sépare désormais explicitement ces preuves partielles des jeux admissibles à la chaîne complète. Pour IODP, la cohérence trace-réponse, la résistance à 20 mT et la comparaison trace naturelle/IRM-ARM ne satisfont pas les plans de C01, C02 et C04 ; seule l’ablation physique contribue à C03. Les permutations statistiques ne sont pas comptées comme contrôles négatifs physiques.</w:t>
      </w:r>
    </w:p>
    <w:p>
      <w:pPr>
        <w:widowControl/>
      </w:pPr>
      <w:r>
        <w:rPr>
          <w:i w:val="0"/>
        </w:rPr>
        <w:t>Un test même état apparent, même stimulus et histoires différentes est ajouté comme analyse exploratoire. Son plan ayant été choisi après inspection de la table, il ne rend aucun verdict confirmatoire et sert uniquement à préparer une réplication indépendante préenregistrée.</w:t>
      </w:r>
    </w:p>
    <w:p>
      <w:pPr>
        <w:pStyle w:val="Heading2"/>
      </w:pPr>
      <w:r>
        <w:rPr>
          <w:i w:val="0"/>
        </w:rPr>
        <w:t>4.6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des distinctions devenues transversales : mémoire distribuée, D-H-L, hiérarchie des possibles, séparation S/m/A, seuil de persistance, critère d’altération architecturale et séparation des chaînes physique et épistémique.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Histoire antibiotique D’Onofrio</w:t>
            </w:r>
          </w:p>
        </w:tc>
        <w:tc>
          <w:tcPr>
            <w:tcW w:type="dxa" w:w="3289"/>
            <w:tcMar>
              <w:top w:w="45" w:type="dxa"/>
              <w:start w:w="55" w:type="dxa"/>
              <w:bottom w:w="45" w:type="dxa"/>
              <w:end w:w="55" w:type="dxa"/>
            </w:tcMar>
            <w:vAlign w:val="top"/>
          </w:tcPr>
          <w:p>
            <w:pPr>
              <w:spacing w:after="0" w:line="240" w:lineRule="auto"/>
            </w:pPr>
            <w:r>
              <w:rPr>
                <w:sz w:val="16"/>
              </w:rPr>
              <w:t>Soutenu contre deux témoins</w:t>
            </w:r>
          </w:p>
        </w:tc>
        <w:tc>
          <w:tcPr>
            <w:tcW w:type="dxa" w:w="3289"/>
            <w:tcMar>
              <w:top w:w="45" w:type="dxa"/>
              <w:start w:w="55" w:type="dxa"/>
              <w:bottom w:w="45" w:type="dxa"/>
              <w:end w:w="55" w:type="dxa"/>
            </w:tcMar>
            <w:vAlign w:val="top"/>
          </w:tcPr>
          <w:p>
            <w:pPr>
              <w:spacing w:after="0" w:line="240" w:lineRule="auto"/>
            </w:pPr>
            <w:r>
              <w:rPr>
                <w:sz w:val="16"/>
              </w:rPr>
              <w:t>288 mesures, gain 28.89 %, p = 0.00498</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Lignées de vésicules</w:t>
            </w:r>
          </w:p>
        </w:tc>
        <w:tc>
          <w:tcPr>
            <w:tcW w:type="dxa" w:w="3289"/>
            <w:shd w:fill="F7F8FA"/>
            <w:tcMar>
              <w:top w:w="45" w:type="dxa"/>
              <w:start w:w="55" w:type="dxa"/>
              <w:bottom w:w="45" w:type="dxa"/>
              <w:end w:w="55" w:type="dxa"/>
            </w:tcMar>
            <w:vAlign w:val="top"/>
          </w:tcPr>
          <w:p>
            <w:pPr>
              <w:spacing w:after="0" w:line="240" w:lineRule="auto"/>
            </w:pPr>
            <w:r>
              <w:rPr>
                <w:sz w:val="16"/>
              </w:rPr>
              <w:t>Quatre composantes soutenues</w:t>
            </w:r>
          </w:p>
        </w:tc>
        <w:tc>
          <w:tcPr>
            <w:tcW w:type="dxa" w:w="3289"/>
            <w:shd w:fill="F7F8FA"/>
            <w:tcMar>
              <w:top w:w="45" w:type="dxa"/>
              <w:start w:w="55" w:type="dxa"/>
              <w:bottom w:w="45" w:type="dxa"/>
              <w:end w:w="55" w:type="dxa"/>
            </w:tcMar>
            <w:vAlign w:val="top"/>
          </w:tcPr>
          <w:p>
            <w:pPr>
              <w:spacing w:after="0" w:line="240" w:lineRule="auto"/>
            </w:pPr>
            <w:r>
              <w:rPr>
                <w:sz w:val="16"/>
              </w:rPr>
              <w:t>11760 relations parent-descendant, p = 0.00050</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 commune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Cette limite propre aux ARN ne s’applique pas aux expériences de vésicules, qui contiennent des cartes parent-descendant réelles.</w:t>
      </w:r>
    </w:p>
    <w:p>
      <w:pPr>
        <w:widowControl/>
      </w:pPr>
      <w:r>
        <w:rPr>
          <w:i w:val="0"/>
        </w:rPr>
        <w:t>Dans le jeu D’Onofrio, l’histoire réduit la RMSE de 1.1309 à 0.8042 et bat aussi un témoin d’histoire mélangée de même complexité, avec p = 0.00498. Dans les vésicules, les quatre composantes préenregistrées sont soutenues sur 11760 relations parent-descendant. Ces deux résultats positifs appartiennent à leurs protocoles respectifs et ne valident pas ORI-C comme théorie générale.</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53220"/>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53220"/>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Mémoire matérielle réelle</w:t>
            </w:r>
          </w:p>
        </w:tc>
        <w:tc>
          <w:tcPr>
            <w:tcW w:type="dxa" w:w="2466"/>
            <w:tcMar>
              <w:top w:w="45" w:type="dxa"/>
              <w:start w:w="55" w:type="dxa"/>
              <w:bottom w:w="45" w:type="dxa"/>
              <w:end w:w="55" w:type="dxa"/>
            </w:tcMar>
            <w:vAlign w:val="top"/>
          </w:tcPr>
          <w:p>
            <w:pPr>
              <w:spacing w:after="0" w:line="240" w:lineRule="auto"/>
            </w:pPr>
            <w:r>
              <w:rPr>
                <w:sz w:val="14"/>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4"/>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Astronomie</w:t>
            </w:r>
          </w:p>
        </w:tc>
        <w:tc>
          <w:tcPr>
            <w:tcW w:type="dxa" w:w="2466"/>
            <w:shd w:fill="F7F8FA"/>
            <w:tcMar>
              <w:top w:w="45" w:type="dxa"/>
              <w:start w:w="55" w:type="dxa"/>
              <w:bottom w:w="45" w:type="dxa"/>
              <w:end w:w="55" w:type="dxa"/>
            </w:tcMar>
            <w:vAlign w:val="top"/>
          </w:tcPr>
          <w:p>
            <w:pPr>
              <w:spacing w:after="0" w:line="240" w:lineRule="auto"/>
            </w:pPr>
            <w:r>
              <w:rPr>
                <w:sz w:val="14"/>
              </w:rPr>
              <w:t>N-corps</w:t>
            </w:r>
          </w:p>
        </w:tc>
        <w:tc>
          <w:tcPr>
            <w:tcW w:type="dxa" w:w="2466"/>
            <w:shd w:fill="F7F8FA"/>
            <w:tcMar>
              <w:top w:w="45" w:type="dxa"/>
              <w:start w:w="55" w:type="dxa"/>
              <w:bottom w:w="45" w:type="dxa"/>
              <w:end w:w="55" w:type="dxa"/>
            </w:tcMar>
            <w:vAlign w:val="top"/>
          </w:tcPr>
          <w:p>
            <w:pPr>
              <w:spacing w:after="0" w:line="240" w:lineRule="auto"/>
            </w:pPr>
            <w:r>
              <w:rPr>
                <w:sz w:val="14"/>
              </w:rPr>
              <w:t>13 critères sur 15</w:t>
            </w:r>
          </w:p>
        </w:tc>
        <w:tc>
          <w:tcPr>
            <w:tcW w:type="dxa" w:w="2466"/>
            <w:shd w:fill="F7F8FA"/>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4"/>
              </w:rPr>
              <w:t>Climat</w:t>
            </w:r>
          </w:p>
        </w:tc>
        <w:tc>
          <w:tcPr>
            <w:tcW w:type="dxa" w:w="2466"/>
            <w:tcMar>
              <w:top w:w="45" w:type="dxa"/>
              <w:start w:w="55" w:type="dxa"/>
              <w:bottom w:w="45" w:type="dxa"/>
              <w:end w:w="55" w:type="dxa"/>
            </w:tcMar>
            <w:vAlign w:val="top"/>
          </w:tcPr>
          <w:p>
            <w:pPr>
              <w:spacing w:after="0" w:line="240" w:lineRule="auto"/>
            </w:pPr>
            <w:r>
              <w:rPr>
                <w:sz w:val="14"/>
              </w:rPr>
              <w:t>M2 contre M1P</w:t>
            </w:r>
          </w:p>
        </w:tc>
        <w:tc>
          <w:tcPr>
            <w:tcW w:type="dxa" w:w="2466"/>
            <w:tcMar>
              <w:top w:w="45" w:type="dxa"/>
              <w:start w:w="55" w:type="dxa"/>
              <w:bottom w:w="45" w:type="dxa"/>
              <w:end w:w="55" w:type="dxa"/>
            </w:tcMar>
            <w:vAlign w:val="top"/>
          </w:tcPr>
          <w:p>
            <w:pPr>
              <w:spacing w:after="0" w:line="240" w:lineRule="auto"/>
            </w:pPr>
            <w:r>
              <w:rPr>
                <w:sz w:val="14"/>
              </w:rPr>
              <w:t>0 critère sur 5, gain RMSE -31,6 %</w:t>
            </w:r>
          </w:p>
        </w:tc>
        <w:tc>
          <w:tcPr>
            <w:tcW w:type="dxa" w:w="2466"/>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Dépendance au chemin</w:t>
            </w:r>
          </w:p>
        </w:tc>
        <w:tc>
          <w:tcPr>
            <w:tcW w:type="dxa" w:w="2466"/>
            <w:shd w:fill="F7F8FA"/>
            <w:tcMar>
              <w:top w:w="45" w:type="dxa"/>
              <w:start w:w="55" w:type="dxa"/>
              <w:bottom w:w="45" w:type="dxa"/>
              <w:end w:w="55" w:type="dxa"/>
            </w:tcMar>
            <w:vAlign w:val="top"/>
          </w:tcPr>
          <w:p>
            <w:pPr>
              <w:spacing w:after="0" w:line="240" w:lineRule="auto"/>
            </w:pPr>
            <w:r>
              <w:rPr>
                <w:sz w:val="14"/>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Persistance</w:t>
            </w:r>
          </w:p>
        </w:tc>
        <w:tc>
          <w:tcPr>
            <w:tcW w:type="dxa" w:w="2466"/>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Fermeture stricte v0.9.3</w:t>
            </w:r>
          </w:p>
        </w:tc>
        <w:tc>
          <w:tcPr>
            <w:tcW w:type="dxa" w:w="2466"/>
            <w:shd w:fill="F7F8FA"/>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Calibrage structurel v0.9.4</w:t>
            </w:r>
          </w:p>
        </w:tc>
        <w:tc>
          <w:tcPr>
            <w:tcW w:type="dxa" w:w="2466"/>
            <w:tcMar>
              <w:top w:w="45" w:type="dxa"/>
              <w:start w:w="55" w:type="dxa"/>
              <w:bottom w:w="45" w:type="dxa"/>
              <w:end w:w="55" w:type="dxa"/>
            </w:tcMar>
            <w:vAlign w:val="top"/>
          </w:tcPr>
          <w:p>
            <w:pPr>
              <w:spacing w:after="0" w:line="240" w:lineRule="auto"/>
            </w:pPr>
            <w:r>
              <w:rPr>
                <w:sz w:val="14"/>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4"/>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4"/>
              </w:rPr>
              <w:t>Mémoire</w:t>
            </w:r>
          </w:p>
        </w:tc>
        <w:tc>
          <w:tcPr>
            <w:tcW w:type="dxa" w:w="2466"/>
            <w:tcMar>
              <w:top w:w="45" w:type="dxa"/>
              <w:start w:w="55" w:type="dxa"/>
              <w:bottom w:w="45" w:type="dxa"/>
              <w:end w:w="55" w:type="dxa"/>
            </w:tcMar>
            <w:vAlign w:val="top"/>
          </w:tcPr>
          <w:p>
            <w:pPr>
              <w:spacing w:after="0" w:line="240" w:lineRule="auto"/>
            </w:pPr>
            <w:r>
              <w:rPr>
                <w:sz w:val="14"/>
              </w:rPr>
              <w:t>Bassins et hystérèse</w:t>
            </w:r>
          </w:p>
        </w:tc>
        <w:tc>
          <w:tcPr>
            <w:tcW w:type="dxa" w:w="2466"/>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4"/>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4"/>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Lignées de vésicules</w:t>
            </w:r>
          </w:p>
        </w:tc>
        <w:tc>
          <w:tcPr>
            <w:tcW w:type="dxa" w:w="2466"/>
            <w:tcMar>
              <w:top w:w="45" w:type="dxa"/>
              <w:start w:w="55" w:type="dxa"/>
              <w:bottom w:w="45" w:type="dxa"/>
              <w:end w:w="55" w:type="dxa"/>
            </w:tcMar>
            <w:vAlign w:val="top"/>
          </w:tcPr>
          <w:p>
            <w:pPr>
              <w:spacing w:after="0" w:line="240" w:lineRule="auto"/>
            </w:pPr>
            <w:r>
              <w:rPr>
                <w:sz w:val="14"/>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4"/>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2"/>
      </w:pPr>
      <w:r>
        <w:rPr>
          <w:i w:val="0"/>
        </w:rPr>
        <w:t>8.5 Calibrage structurel et documentaire v0.9.4</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Objet calibré</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Interprétation et limite</w:t>
            </w:r>
          </w:p>
        </w:tc>
      </w:tr>
      <w:tr>
        <w:trPr>
          <w:cantSplit/>
        </w:trPr>
        <w:tc>
          <w:tcPr>
            <w:tcW w:type="dxa" w:w="3289"/>
            <w:tcMar>
              <w:top w:w="45" w:type="dxa"/>
              <w:start w:w="55" w:type="dxa"/>
              <w:bottom w:w="45" w:type="dxa"/>
              <w:end w:w="55" w:type="dxa"/>
            </w:tcMar>
            <w:vAlign w:val="top"/>
          </w:tcPr>
          <w:p>
            <w:pPr>
              <w:spacing w:after="0" w:line="240" w:lineRule="auto"/>
            </w:pPr>
            <w:r>
              <w:rPr>
                <w:sz w:val="14"/>
              </w:rPr>
              <w:t>Graphe canonique</w:t>
            </w:r>
          </w:p>
        </w:tc>
        <w:tc>
          <w:tcPr>
            <w:tcW w:type="dxa" w:w="3289"/>
            <w:tcMar>
              <w:top w:w="45" w:type="dxa"/>
              <w:start w:w="55" w:type="dxa"/>
              <w:bottom w:w="45" w:type="dxa"/>
              <w:end w:w="55" w:type="dxa"/>
            </w:tcMar>
            <w:vAlign w:val="top"/>
          </w:tcPr>
          <w:p>
            <w:pPr>
              <w:spacing w:after="0" w:line="240" w:lineRule="auto"/>
            </w:pPr>
            <w:r>
              <w:rPr>
                <w:sz w:val="14"/>
              </w:rPr>
              <w:t>Les 53 nœuds et 53 hyperarêtes de la v0.9.3 sont gelés et contrôlés par empreinte.</w:t>
            </w:r>
          </w:p>
        </w:tc>
        <w:tc>
          <w:tcPr>
            <w:tcW w:type="dxa" w:w="3289"/>
            <w:tcMar>
              <w:top w:w="45" w:type="dxa"/>
              <w:start w:w="55" w:type="dxa"/>
              <w:bottom w:w="45" w:type="dxa"/>
              <w:end w:w="55" w:type="dxa"/>
            </w:tcMar>
            <w:vAlign w:val="top"/>
          </w:tcPr>
          <w:p>
            <w:pPr>
              <w:spacing w:after="0" w:line="240" w:lineRule="auto"/>
            </w:pPr>
            <w:r>
              <w:rPr>
                <w:sz w:val="14"/>
              </w:rPr>
              <w:t>Le calibrage n’ajoute ni ne retire de relation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Ablations</w:t>
            </w:r>
          </w:p>
        </w:tc>
        <w:tc>
          <w:tcPr>
            <w:tcW w:type="dxa" w:w="3289"/>
            <w:shd w:fill="F7F8FA"/>
            <w:tcMar>
              <w:top w:w="45" w:type="dxa"/>
              <w:start w:w="55" w:type="dxa"/>
              <w:bottom w:w="45" w:type="dxa"/>
              <w:end w:w="55" w:type="dxa"/>
            </w:tcMar>
            <w:vAlign w:val="top"/>
          </w:tcPr>
          <w:p>
            <w:pPr>
              <w:spacing w:after="0" w:line="240" w:lineRule="auto"/>
            </w:pPr>
            <w:r>
              <w:rPr>
                <w:sz w:val="14"/>
              </w:rPr>
              <w:t>40 hyperarêtes sur 53 produisent une perte mesurable dans la projection ou la fermeture stricte.</w:t>
            </w:r>
          </w:p>
        </w:tc>
        <w:tc>
          <w:tcPr>
            <w:tcW w:type="dxa" w:w="3289"/>
            <w:shd w:fill="F7F8FA"/>
            <w:tcMar>
              <w:top w:w="45" w:type="dxa"/>
              <w:start w:w="55" w:type="dxa"/>
              <w:bottom w:w="45" w:type="dxa"/>
              <w:end w:w="55" w:type="dxa"/>
            </w:tcMar>
            <w:vAlign w:val="top"/>
          </w:tcPr>
          <w:p>
            <w:pPr>
              <w:spacing w:after="0" w:line="240" w:lineRule="auto"/>
            </w:pPr>
            <w:r>
              <w:rPr>
                <w:sz w:val="14"/>
              </w:rPr>
              <w:t>Une importance structurelle dans le graphe ne démontre pas une nécessité causale dans la nature.</w:t>
            </w:r>
          </w:p>
        </w:tc>
      </w:tr>
      <w:tr>
        <w:trPr>
          <w:cantSplit/>
        </w:trPr>
        <w:tc>
          <w:tcPr>
            <w:tcW w:type="dxa" w:w="3289"/>
            <w:tcMar>
              <w:top w:w="45" w:type="dxa"/>
              <w:start w:w="55" w:type="dxa"/>
              <w:bottom w:w="45" w:type="dxa"/>
              <w:end w:w="55" w:type="dxa"/>
            </w:tcMar>
            <w:vAlign w:val="top"/>
          </w:tcPr>
          <w:p>
            <w:pPr>
              <w:spacing w:after="0" w:line="240" w:lineRule="auto"/>
            </w:pPr>
            <w:r>
              <w:rPr>
                <w:sz w:val="14"/>
              </w:rPr>
              <w:t>Stress documentaire</w:t>
            </w:r>
          </w:p>
        </w:tc>
        <w:tc>
          <w:tcPr>
            <w:tcW w:type="dxa" w:w="3289"/>
            <w:tcMar>
              <w:top w:w="45" w:type="dxa"/>
              <w:start w:w="55" w:type="dxa"/>
              <w:bottom w:w="45" w:type="dxa"/>
              <w:end w:w="55" w:type="dxa"/>
            </w:tcMar>
            <w:vAlign w:val="top"/>
          </w:tcPr>
          <w:p>
            <w:pPr>
              <w:spacing w:after="0" w:line="240" w:lineRule="auto"/>
            </w:pPr>
            <w:r>
              <w:rPr>
                <w:sz w:val="14"/>
              </w:rPr>
              <w:t>Sur 4 000 tirages déterministes, 31 nœuds sont stables, 15 sensibles, 0 fragile et 7 déjà bloqués par le verrou canonique.</w:t>
            </w:r>
          </w:p>
        </w:tc>
        <w:tc>
          <w:tcPr>
            <w:tcW w:type="dxa" w:w="3289"/>
            <w:tcMar>
              <w:top w:w="45" w:type="dxa"/>
              <w:start w:w="55" w:type="dxa"/>
              <w:bottom w:w="45" w:type="dxa"/>
              <w:end w:w="55" w:type="dxa"/>
            </w:tcMar>
            <w:vAlign w:val="top"/>
          </w:tcPr>
          <w:p>
            <w:pPr>
              <w:spacing w:after="0" w:line="240" w:lineRule="auto"/>
            </w:pPr>
            <w:r>
              <w:rPr>
                <w:sz w:val="14"/>
              </w:rPr>
              <w:t>Les fréquences mesurent la dépendance au codage documentaire actuel, pas une probabilité de vérité.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Tri des relations</w:t>
            </w:r>
          </w:p>
        </w:tc>
        <w:tc>
          <w:tcPr>
            <w:tcW w:type="dxa" w:w="3289"/>
            <w:shd w:fill="F7F8FA"/>
            <w:tcMar>
              <w:top w:w="45" w:type="dxa"/>
              <w:start w:w="55" w:type="dxa"/>
              <w:bottom w:w="45" w:type="dxa"/>
              <w:end w:w="55" w:type="dxa"/>
            </w:tcMar>
            <w:vAlign w:val="top"/>
          </w:tcPr>
          <w:p>
            <w:pPr>
              <w:spacing w:after="0" w:line="240" w:lineRule="auto"/>
            </w:pPr>
            <w:r>
              <w:rPr>
                <w:sz w:val="14"/>
              </w:rPr>
              <w:t>35 priorités d’ablation, 4 relations du cycle de verrou, 10 cycles d’entretien, 3 relations redondantes et 1 priorité documentaire à fort effet aval.</w:t>
            </w:r>
          </w:p>
        </w:tc>
        <w:tc>
          <w:tcPr>
            <w:tcW w:type="dxa" w:w="3289"/>
            <w:shd w:fill="F7F8FA"/>
            <w:tcMar>
              <w:top w:w="45" w:type="dxa"/>
              <w:start w:w="55" w:type="dxa"/>
              <w:bottom w:w="45" w:type="dxa"/>
              <w:end w:w="55" w:type="dxa"/>
            </w:tcMar>
            <w:vAlign w:val="top"/>
          </w:tcPr>
          <w:p>
            <w:pPr>
              <w:spacing w:after="0" w:line="240" w:lineRule="auto"/>
            </w:pPr>
            <w:r>
              <w:rPr>
                <w:sz w:val="14"/>
              </w:rPr>
              <w:t>H011, l’instabilité de streaming, devient la première cible documentaire hors module des interfaces.</w:t>
            </w:r>
          </w:p>
        </w:tc>
      </w:tr>
      <w:tr>
        <w:trPr>
          <w:cantSplit/>
        </w:trPr>
        <w:tc>
          <w:tcPr>
            <w:tcW w:type="dxa" w:w="3289"/>
            <w:tcMar>
              <w:top w:w="45" w:type="dxa"/>
              <w:start w:w="55" w:type="dxa"/>
              <w:bottom w:w="45" w:type="dxa"/>
              <w:end w:w="55" w:type="dxa"/>
            </w:tcMar>
            <w:vAlign w:val="top"/>
          </w:tcPr>
          <w:p>
            <w:pPr>
              <w:spacing w:after="0" w:line="240" w:lineRule="auto"/>
            </w:pPr>
            <w:r>
              <w:rPr>
                <w:sz w:val="14"/>
              </w:rPr>
              <w:t>Seuils documentaires</w:t>
            </w:r>
          </w:p>
        </w:tc>
        <w:tc>
          <w:tcPr>
            <w:tcW w:type="dxa" w:w="3289"/>
            <w:tcMar>
              <w:top w:w="45" w:type="dxa"/>
              <w:start w:w="55" w:type="dxa"/>
              <w:bottom w:w="45" w:type="dxa"/>
              <w:end w:w="55" w:type="dxa"/>
            </w:tcMar>
            <w:vAlign w:val="top"/>
          </w:tcPr>
          <w:p>
            <w:pPr>
              <w:spacing w:after="0" w:line="240" w:lineRule="auto"/>
            </w:pPr>
            <w:r>
              <w:rPr>
                <w:sz w:val="14"/>
              </w:rPr>
              <w:t>Le profil complet atteint 53 nœuds en projection et 46 en fermeture stricte. Le profil équilibré atteint 44 et 31.</w:t>
            </w:r>
          </w:p>
        </w:tc>
        <w:tc>
          <w:tcPr>
            <w:tcW w:type="dxa" w:w="3289"/>
            <w:tcMar>
              <w:top w:w="45" w:type="dxa"/>
              <w:start w:w="55" w:type="dxa"/>
              <w:bottom w:w="45" w:type="dxa"/>
              <w:end w:w="55" w:type="dxa"/>
            </w:tcMar>
            <w:vAlign w:val="top"/>
          </w:tcPr>
          <w:p>
            <w:pPr>
              <w:spacing w:after="0" w:line="240" w:lineRule="auto"/>
            </w:pPr>
            <w:r>
              <w:rPr>
                <w:sz w:val="14"/>
              </w:rPr>
              <w:t>La contraction localise la dépendance aux relations moins documentées. Elle ne les réfute pas.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Benchmark externe MESA</w:t>
            </w:r>
          </w:p>
        </w:tc>
        <w:tc>
          <w:tcPr>
            <w:tcW w:type="dxa" w:w="3289"/>
            <w:shd w:fill="F7F8FA"/>
            <w:tcMar>
              <w:top w:w="45" w:type="dxa"/>
              <w:start w:w="55" w:type="dxa"/>
              <w:bottom w:w="45" w:type="dxa"/>
              <w:end w:w="55" w:type="dxa"/>
            </w:tcMar>
            <w:vAlign w:val="top"/>
          </w:tcPr>
          <w:p>
            <w:pPr>
              <w:spacing w:after="0" w:line="240" w:lineRule="auto"/>
            </w:pPr>
            <w:r>
              <w:rPr>
                <w:sz w:val="14"/>
              </w:rPr>
              <w:t>Deux trajectoires stellaires, 12 transitions et 14 nœuds atteignent une fermeture stricte de 14 sur 14.</w:t>
            </w:r>
          </w:p>
        </w:tc>
        <w:tc>
          <w:tcPr>
            <w:tcW w:type="dxa" w:w="3289"/>
            <w:shd w:fill="F7F8FA"/>
            <w:tcMar>
              <w:top w:w="45" w:type="dxa"/>
              <w:start w:w="55" w:type="dxa"/>
              <w:bottom w:w="45" w:type="dxa"/>
              <w:end w:w="55" w:type="dxa"/>
            </w:tcMar>
            <w:vAlign w:val="top"/>
          </w:tcPr>
          <w:p>
            <w:pPr>
              <w:spacing w:after="0" w:line="240" w:lineRule="auto"/>
            </w:pPr>
            <w:r>
              <w:rPr>
                <w:sz w:val="14"/>
              </w:rPr>
              <w:t>Transfert du schéma de représentation, sans validation observationnelle de MESA ni loi universelle ORI-C.</w:t>
            </w:r>
          </w:p>
        </w:tc>
      </w:tr>
    </w:tbl>
    <w:p>
      <w:pPr>
        <w:widowControl/>
        <w:spacing w:after="0"/>
      </w:pPr>
    </w:p>
    <w:p>
      <w:pPr>
        <w:widowControl/>
      </w:pPr>
      <w:r>
        <w:rPr>
          <w:i w:val="0"/>
        </w:rPr>
        <w:t>Le calibrage apporte un tri plus fin entre soutien documentaire, rôle structurel, redondance, dépendance cyclique et effet en aval. Il conserve explicitement comme non mesurées la nécessité empirique, la suffisance, la temporalité quantitative, la réversibilité physique et l’effet d’une intervention directe. Il sert donc à choisir les prochains tests, pas à transformer le graphe en preuve causale générale.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0.9.4-research aligne la source, le verrou de dépendances, les manifestes, le calibrage matière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Calibrer et documenter les relations prioritaires, notamment H011 et le cycle H030-H031-H052-H053</w:t>
            </w:r>
          </w:p>
        </w:tc>
        <w:tc>
          <w:tcPr>
            <w:tcW w:type="dxa" w:w="3289"/>
            <w:shd w:fill="F7F8FA"/>
            <w:tcMar>
              <w:top w:w="45" w:type="dxa"/>
              <w:start w:w="55" w:type="dxa"/>
              <w:bottom w:w="45" w:type="dxa"/>
              <w:end w:w="55" w:type="dxa"/>
            </w:tcMar>
            <w:vAlign w:val="top"/>
          </w:tcPr>
          <w:p>
            <w:pPr>
              <w:spacing w:after="0" w:line="240" w:lineRule="auto"/>
            </w:pPr>
            <w:r>
              <w:rPr>
                <w:sz w:val="15"/>
              </w:rPr>
              <w:t>Séparation explicite entre soutien documentaire, rôle structurel et causalité empirique</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shd w:fill="F7F8FA"/>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Mesurer l’inventaire accessible réel</w:t>
            </w:r>
          </w:p>
        </w:tc>
        <w:tc>
          <w:tcPr>
            <w:tcW w:type="dxa" w:w="3289"/>
            <w:shd w:fill="F7F8FA"/>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shd w:fill="F7F8FA"/>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Durcir le programme prébiotique</w:t>
            </w:r>
          </w:p>
        </w:tc>
        <w:tc>
          <w:tcPr>
            <w:tcW w:type="dxa" w:w="3289"/>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Répliquer à l’extérieur</w:t>
            </w:r>
          </w:p>
        </w:tc>
        <w:tc>
          <w:tcPr>
            <w:tcW w:type="dxa" w:w="3289"/>
            <w:shd w:fill="F7F8FA"/>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tcMar>
              <w:top w:w="45" w:type="dxa"/>
              <w:start w:w="55" w:type="dxa"/>
              <w:bottom w:w="45" w:type="dxa"/>
              <w:end w:w="55" w:type="dxa"/>
            </w:tcMar>
            <w:vAlign w:val="top"/>
          </w:tcPr>
          <w:p>
            <w:pPr>
              <w:spacing w:after="0" w:line="240" w:lineRule="auto"/>
            </w:pPr>
            <w:r>
              <w:rPr>
                <w:sz w:val="15"/>
              </w:rPr>
              <w:t>11</w:t>
            </w:r>
          </w:p>
        </w:tc>
        <w:tc>
          <w:tcPr>
            <w:tcW w:type="dxa" w:w="3289"/>
            <w:tcMar>
              <w:top w:w="45" w:type="dxa"/>
              <w:start w:w="55" w:type="dxa"/>
              <w:bottom w:w="45" w:type="dxa"/>
              <w:end w:w="55" w:type="dxa"/>
            </w:tcMar>
            <w:vAlign w:val="top"/>
          </w:tcPr>
          <w:p>
            <w:pPr>
              <w:spacing w:after="0" w:line="240" w:lineRule="auto"/>
            </w:pPr>
            <w:r>
              <w:rPr>
                <w:sz w:val="15"/>
              </w:rPr>
              <w:t>Réparer la chaîne logicielle</w:t>
            </w:r>
          </w:p>
        </w:tc>
        <w:tc>
          <w:tcPr>
            <w:tcW w:type="dxa" w:w="3289"/>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calibrage v0.9.4 gèle ensuite cette architecture, mesure les effets d’ablation, distingue 31 nœuds stables de 15 nœuds sensibles et transfère le schéma à deux trajectoires stellaires MESA.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Mémoire matérielle réelle</w:t>
            </w:r>
          </w:p>
        </w:tc>
        <w:tc>
          <w:tcPr>
            <w:tcW w:type="dxa" w:w="2466"/>
            <w:tcMar>
              <w:top w:w="45" w:type="dxa"/>
              <w:start w:w="55" w:type="dxa"/>
              <w:bottom w:w="45" w:type="dxa"/>
              <w:end w:w="55" w:type="dxa"/>
            </w:tcMar>
            <w:vAlign w:val="top"/>
          </w:tcPr>
          <w:p>
            <w:pPr>
              <w:spacing w:after="0" w:line="240" w:lineRule="auto"/>
            </w:pPr>
            <w:r>
              <w:rPr>
                <w:sz w:val="15"/>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5"/>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Astronomie</w:t>
            </w:r>
          </w:p>
        </w:tc>
        <w:tc>
          <w:tcPr>
            <w:tcW w:type="dxa" w:w="2466"/>
            <w:shd w:fill="F7F8FA"/>
            <w:tcMar>
              <w:top w:w="45" w:type="dxa"/>
              <w:start w:w="55" w:type="dxa"/>
              <w:bottom w:w="45" w:type="dxa"/>
              <w:end w:w="55" w:type="dxa"/>
            </w:tcMar>
            <w:vAlign w:val="top"/>
          </w:tcPr>
          <w:p>
            <w:pPr>
              <w:spacing w:after="0" w:line="240" w:lineRule="auto"/>
            </w:pPr>
            <w:r>
              <w:rPr>
                <w:sz w:val="15"/>
              </w:rPr>
              <w:t>N-corps</w:t>
            </w:r>
          </w:p>
        </w:tc>
        <w:tc>
          <w:tcPr>
            <w:tcW w:type="dxa" w:w="2466"/>
            <w:shd w:fill="F7F8FA"/>
            <w:tcMar>
              <w:top w:w="45" w:type="dxa"/>
              <w:start w:w="55" w:type="dxa"/>
              <w:bottom w:w="45" w:type="dxa"/>
              <w:end w:w="55" w:type="dxa"/>
            </w:tcMar>
            <w:vAlign w:val="top"/>
          </w:tcPr>
          <w:p>
            <w:pPr>
              <w:spacing w:after="0" w:line="240" w:lineRule="auto"/>
            </w:pPr>
            <w:r>
              <w:rPr>
                <w:sz w:val="15"/>
              </w:rPr>
              <w:t>13 critères sur 15</w:t>
            </w:r>
          </w:p>
        </w:tc>
        <w:tc>
          <w:tcPr>
            <w:tcW w:type="dxa" w:w="2466"/>
            <w:shd w:fill="F7F8FA"/>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5"/>
              </w:rPr>
              <w:t>Climat</w:t>
            </w:r>
          </w:p>
        </w:tc>
        <w:tc>
          <w:tcPr>
            <w:tcW w:type="dxa" w:w="2466"/>
            <w:tcMar>
              <w:top w:w="45" w:type="dxa"/>
              <w:start w:w="55" w:type="dxa"/>
              <w:bottom w:w="45" w:type="dxa"/>
              <w:end w:w="55" w:type="dxa"/>
            </w:tcMar>
            <w:vAlign w:val="top"/>
          </w:tcPr>
          <w:p>
            <w:pPr>
              <w:spacing w:after="0" w:line="240" w:lineRule="auto"/>
            </w:pPr>
            <w:r>
              <w:rPr>
                <w:sz w:val="15"/>
              </w:rPr>
              <w:t>M2 contre M1P</w:t>
            </w:r>
          </w:p>
        </w:tc>
        <w:tc>
          <w:tcPr>
            <w:tcW w:type="dxa" w:w="2466"/>
            <w:tcMar>
              <w:top w:w="45" w:type="dxa"/>
              <w:start w:w="55" w:type="dxa"/>
              <w:bottom w:w="45" w:type="dxa"/>
              <w:end w:w="55" w:type="dxa"/>
            </w:tcMar>
            <w:vAlign w:val="top"/>
          </w:tcPr>
          <w:p>
            <w:pPr>
              <w:spacing w:after="0" w:line="240" w:lineRule="auto"/>
            </w:pPr>
            <w:r>
              <w:rPr>
                <w:sz w:val="15"/>
              </w:rPr>
              <w:t>0 critère sur 5, gain RMSE -31,6 %</w:t>
            </w:r>
          </w:p>
        </w:tc>
        <w:tc>
          <w:tcPr>
            <w:tcW w:type="dxa" w:w="2466"/>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Dépendance au chemin</w:t>
            </w:r>
          </w:p>
        </w:tc>
        <w:tc>
          <w:tcPr>
            <w:tcW w:type="dxa" w:w="2466"/>
            <w:shd w:fill="F7F8FA"/>
            <w:tcMar>
              <w:top w:w="45" w:type="dxa"/>
              <w:start w:w="55" w:type="dxa"/>
              <w:bottom w:w="45" w:type="dxa"/>
              <w:end w:w="55" w:type="dxa"/>
            </w:tcMar>
            <w:vAlign w:val="top"/>
          </w:tcPr>
          <w:p>
            <w:pPr>
              <w:spacing w:after="0" w:line="240" w:lineRule="auto"/>
            </w:pPr>
            <w:r>
              <w:rPr>
                <w:sz w:val="15"/>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Persistance</w:t>
            </w:r>
          </w:p>
        </w:tc>
        <w:tc>
          <w:tcPr>
            <w:tcW w:type="dxa" w:w="2466"/>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Fermeture stricte v0.9.3</w:t>
            </w:r>
          </w:p>
        </w:tc>
        <w:tc>
          <w:tcPr>
            <w:tcW w:type="dxa" w:w="2466"/>
            <w:shd w:fill="F7F8FA"/>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Calibrage structurel v0.9.4</w:t>
            </w:r>
          </w:p>
        </w:tc>
        <w:tc>
          <w:tcPr>
            <w:tcW w:type="dxa" w:w="2466"/>
            <w:tcMar>
              <w:top w:w="45" w:type="dxa"/>
              <w:start w:w="55" w:type="dxa"/>
              <w:bottom w:w="45" w:type="dxa"/>
              <w:end w:w="55" w:type="dxa"/>
            </w:tcMar>
            <w:vAlign w:val="top"/>
          </w:tcPr>
          <w:p>
            <w:pPr>
              <w:spacing w:after="0" w:line="240" w:lineRule="auto"/>
            </w:pPr>
            <w:r>
              <w:rPr>
                <w:sz w:val="15"/>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5"/>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5"/>
              </w:rPr>
              <w:t>Mémoire</w:t>
            </w:r>
          </w:p>
        </w:tc>
        <w:tc>
          <w:tcPr>
            <w:tcW w:type="dxa" w:w="2466"/>
            <w:tcMar>
              <w:top w:w="45" w:type="dxa"/>
              <w:start w:w="55" w:type="dxa"/>
              <w:bottom w:w="45" w:type="dxa"/>
              <w:end w:w="55" w:type="dxa"/>
            </w:tcMar>
            <w:vAlign w:val="top"/>
          </w:tcPr>
          <w:p>
            <w:pPr>
              <w:spacing w:after="0" w:line="240" w:lineRule="auto"/>
            </w:pPr>
            <w:r>
              <w:rPr>
                <w:sz w:val="15"/>
              </w:rPr>
              <w:t>Bassins et hystérèse</w:t>
            </w:r>
          </w:p>
        </w:tc>
        <w:tc>
          <w:tcPr>
            <w:tcW w:type="dxa" w:w="2466"/>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5"/>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5"/>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Lignées de vésicules</w:t>
            </w:r>
          </w:p>
        </w:tc>
        <w:tc>
          <w:tcPr>
            <w:tcW w:type="dxa" w:w="2466"/>
            <w:tcMar>
              <w:top w:w="45" w:type="dxa"/>
              <w:start w:w="55" w:type="dxa"/>
              <w:bottom w:w="45" w:type="dxa"/>
              <w:end w:w="55" w:type="dxa"/>
            </w:tcMar>
            <w:vAlign w:val="top"/>
          </w:tcPr>
          <w:p>
            <w:pPr>
              <w:spacing w:after="0" w:line="240" w:lineRule="auto"/>
            </w:pPr>
            <w:r>
              <w:rPr>
                <w:sz w:val="15"/>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5"/>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cinq paquets</w:t>
            </w:r>
          </w:p>
        </w:tc>
      </w:tr>
      <w:tr>
        <w:trPr>
          <w:cantSplit/>
        </w:trPr>
        <w:tc>
          <w:tcPr>
            <w:tcW w:type="dxa" w:w="4933"/>
            <w:tcMar>
              <w:top w:w="45" w:type="dxa"/>
              <w:start w:w="55" w:type="dxa"/>
              <w:bottom w:w="45" w:type="dxa"/>
              <w:end w:w="55" w:type="dxa"/>
            </w:tcMar>
            <w:vAlign w:val="top"/>
          </w:tcPr>
          <w:p>
            <w:pPr>
              <w:spacing w:after="0" w:line="240" w:lineRule="auto"/>
            </w:pPr>
            <w:r>
              <w:rPr>
                <w:sz w:val="16"/>
              </w:rPr>
              <w:t>Calibrage matière v0.9.4</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01_branche_matiere/hypergraphe_transformations/calibrage_v094/ et protocole gelé v0.9.3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Benchmark externe</w:t>
            </w:r>
          </w:p>
        </w:tc>
        <w:tc>
          <w:tcPr>
            <w:tcW w:type="dxa" w:w="4933"/>
            <w:shd w:fill="F7F8FA"/>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tcMar>
              <w:top w:w="45" w:type="dxa"/>
              <w:start w:w="55" w:type="dxa"/>
              <w:bottom w:w="45" w:type="dxa"/>
              <w:end w:w="55" w:type="dxa"/>
            </w:tcMar>
            <w:vAlign w:val="top"/>
          </w:tcPr>
          <w:p>
            <w:pPr>
              <w:spacing w:after="0" w:line="240" w:lineRule="auto"/>
            </w:pPr>
            <w:r>
              <w:rPr>
                <w:sz w:val="16"/>
              </w:rPr>
              <w:t>Trajectoires ARN</w:t>
            </w:r>
          </w:p>
        </w:tc>
        <w:tc>
          <w:tcPr>
            <w:tcW w:type="dxa" w:w="4933"/>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