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Ce que révèle la cohérence interne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de la science expérimentale</w:t>
      </w:r>
    </w:p>
    <w:p>
      <w:pPr>
        <w:spacing w:after="60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Tableaux normalisés · Grammaire mathématique · Matrices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Dossier consolidé — Version propre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Auteur : Daloze Didier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 et principe de construction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 dossier présente trois tableaux complémentaires décrivant un même corpus (éléments chimiques, Z=1 à 118) sous un format stable permettant la comparaison inter-domaines, ainsi qu’une grammaire mathématique normalisée des symboles formels.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L’objectif n’est pas d’expliquer l’histoire des sciences ni d’attribuer des intentions ; il s’agit de rendre lisibles des structures : fonctions opératoires, rôles épistémiques, et champs multisectoriels.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1.1 Triptyque invariant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Utilisation (définition) : </w:t>
      </w:r>
      <w:r>
        <w:rPr>
          <w:rFonts w:ascii="Arial" w:cs="Arial" w:eastAsia="Arial" w:hAnsi="Arial"/>
          <w:sz w:val="21"/>
          <w:szCs w:val="21"/>
        </w:rPr>
        <w:t xml:space="preserve">fonction opératoire d’un élément dans un système technique/naturel. Format : verbe-first (action → support → finalité).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Usage épistémique (définition) : </w:t>
      </w:r>
      <w:r>
        <w:rPr>
          <w:rFonts w:ascii="Arial" w:cs="Arial" w:eastAsia="Arial" w:hAnsi="Arial"/>
          <w:sz w:val="21"/>
          <w:szCs w:val="21"/>
        </w:rPr>
        <w:t xml:space="preserve">fonction de l’élément comme support de connaissance (sonde, traceur, standard, contrainte, modèle). Format : rôle-first.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Multisecteurs (définition) : </w:t>
      </w:r>
      <w:r>
        <w:rPr>
          <w:rFonts w:ascii="Arial" w:cs="Arial" w:eastAsia="Arial" w:hAnsi="Arial"/>
          <w:sz w:val="21"/>
          <w:szCs w:val="21"/>
        </w:rPr>
        <w:t xml:space="preserve">champ d’impact et d’intervention (macro-secteurs L0).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1.2 Pourquoi trois tableaux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Un seul tableau ne maximise pas simultanément complétude, lisibilité et diagnosticabilité. Le dispositif est réparti en trois vues, chacune optimisée pour une fonction.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Tableau 1 — Global normalisé : </w:t>
      </w:r>
      <w:r>
        <w:rPr>
          <w:rFonts w:ascii="Arial" w:cs="Arial" w:eastAsia="Arial" w:hAnsi="Arial"/>
          <w:sz w:val="21"/>
          <w:szCs w:val="21"/>
        </w:rPr>
        <w:t xml:space="preserve">couverture maximale, format stable, base pour comparaison et tri multi-axes.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Tableau 2 — Extrait Bloc P (groupes 13–18) : </w:t>
      </w:r>
      <w:r>
        <w:rPr>
          <w:rFonts w:ascii="Arial" w:cs="Arial" w:eastAsia="Arial" w:hAnsi="Arial"/>
          <w:sz w:val="21"/>
          <w:szCs w:val="21"/>
        </w:rPr>
        <w:t xml:space="preserve">test de robustesse, lecture dense, contrôle local.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Tableau 3 — Vue rapide (diagnostic) : </w:t>
      </w:r>
      <w:r>
        <w:rPr>
          <w:rFonts w:ascii="Arial" w:cs="Arial" w:eastAsia="Arial" w:hAnsi="Arial"/>
          <w:sz w:val="21"/>
          <w:szCs w:val="21"/>
        </w:rPr>
        <w:t xml:space="preserve">projection basse dimension pour repérer discontinuités et défauts de normalisation.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Légendes et codes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2.1 Multisecteurs chimie (L0)</w:t>
      </w: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Énergie (conversion/stockage/transport)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Chimie/procédés (réactions/catalyse)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Matériaux (interfaces/dégradation)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Numérique/capteurs (instrumentation)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Santé/vivant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Agriculture/sols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Environnement/géosciences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Spatial/cryo (extrêmes/basse 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Défense/sûreté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Nucléaire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Recherche fondamentale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2.2 Multisecteurs mathématique (L0-M)</w:t>
      </w: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Logique &amp; preuve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Ensembles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Fonctions/opérateurs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Algèbre linéaire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PROB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Probabilités/statistique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Graphes/réseaux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Optimisation/contraintes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Dynamique/temps/régimes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Métanotation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2.3 Rôles épistémiques</w:t>
      </w:r>
    </w:p>
    <w:tbl>
      <w:tblPr>
        <w:tblW w:type="dxa" w:w="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Modèle — structure de représentation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Sonde — produit un observable (mesure, sensibilité)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Contrainte — restriction de domaine (bornes, faisabilité)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Observable — grandeur calculable sans décision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— référence formelle (substitution, invariance)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Traceur — encode présence/occurrence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Système modèle — régime spécial exploitable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Tableau global normalisé — Éléments chimiques (extrait)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Extrait représentatif du tableau complet (118 éléments). Le tableau intégral est disponible dans l’application interactive.</w:t>
      </w:r>
    </w:p>
    <w:p>
      <w:pPr>
        <w:spacing w:after="1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600"/>
        <w:gridCol w:w="900"/>
        <w:gridCol w:w="2500"/>
        <w:gridCol w:w="2500"/>
        <w:gridCol w:w="1500"/>
        <w:gridCol w:w="7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Sym.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Bloc/Grp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épistémique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Multisecteurs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Hydrogène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 / 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Convertir → piles → conversion électrochimique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Alimenter → carburants → vecteurs énergétiques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Transformer → chimie → réactions/procédés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Modèle atomique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Sonde → spectres → spectroscopie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Modèle → observables → cosmologie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EN, CHI, SPA, NUM, 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MIXTE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Carbone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 / 14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Structurer → diamant (dureté)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Conduire → graphite (conduction)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Convertir → carburants (énergie chimique)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Modèle → structures allotropiques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Traceur → ratios isotopiques (datation)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MAT, EN, ENV, 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MIXTE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Silicium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 / 14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Contrôler → puces (semi-conducteurs)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Convertir → photovoltaïque (solaire)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Observable → bande interdite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Contrôler → dopage (impuretés)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NUM, EN, MAT, 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MIXTE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/ 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Structurer → aciers → alliages Fe–C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Sonde → ordre magnétique → magnétisme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Traceur → signatures → géophysique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MAT, ENV, EN, 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79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 / 11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Interfacer → électronique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Finance → réserve/actif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Modèle → surface/taille → nanoparticules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Contrainte → persistance → stabilité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NUM, SAN, CHI, 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TECH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</w:t>
            </w:r>
          </w:p>
        </w:tc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Uranium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 / 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Convertir → combustible (fission)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Protéger → blindage (densité)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Traceur → ratios isotopiques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Contrainte → neutrons/désintégrations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NUC, EN, DEF, ENV, 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MIXTE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Grammaire mathématique — Symboles formels (extrait)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Extrait représentatif du tableau de 85 symboles. Le tableau intégral est disponible dans l’application interactive.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000"/>
        <w:gridCol w:w="3000"/>
        <w:gridCol w:w="3000"/>
        <w:gridCol w:w="17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Utilisation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épistémique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Multisecteurs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Négation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Contraindre → exclusion → inversion proposition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Contrainte → réfutation → non-vrai formel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LOG, META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Universel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Généraliser → domaine → pour tout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→ portée universelle → axiome/loi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LOG, ENS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Vecteur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Représenter → état → 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Modèle → espace vectoriel → état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LIN, DYN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61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∫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Intégrale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Accumuler → continu → 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Sonde → accumulation → aire/masse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ANA, PROB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79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Minimiser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Optimiser → objectif → 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→ critère → sélection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Méthode de lecture recommandée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Établir la référence sur le tableau global : la ligne = unité comparable.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Valider localement via un extrait (bloc P) : test de cohérence intra-bloc.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Diagnostiquer via la vue rapide : repérer où la normalisation se dégrade.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Revenir au global : corriger par règles (pas par exceptions narratives).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5.1 Ce que le dispositif révèle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science expérimentale devient lisible comme un couplage stable entre opérations (ce qui est fait dans un système), observabilité (ce qui est rendu mesurable/modélisable), et champs d’impact (où cela intervient, en macro-secteurs).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Les incohérences observées ne sont pas des erreurs de science mais des ruptures de format : elles se corrigent par normalisation des gabarits.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5.2 Limites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Les tableaux ne produisent pas d’explication causale. Ils produisent des structures comparables. Les secteurs et rôles sont des découpages instrumentaux : ils nécessitent des règles d’inclusion/exclusion explicites.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Toute extension doit être validée par compatibilité de gabarit, non par analogies narratives.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Encodage binaire (matrices d’incidence)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dossier complet inclut trois matrices binaires M[i,j]=1 si la propriété j est présente pour l’élément i 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M^(sec) : </w:t>
      </w:r>
      <w:r>
        <w:rPr>
          <w:rFonts w:ascii="Arial" w:cs="Arial" w:eastAsia="Arial" w:hAnsi="Arial"/>
          <w:sz w:val="21"/>
          <w:szCs w:val="21"/>
        </w:rPr>
        <w:t xml:space="preserve">élément × secteur (118 × 11)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M^(role) : </w:t>
      </w:r>
      <w:r>
        <w:rPr>
          <w:rFonts w:ascii="Arial" w:cs="Arial" w:eastAsia="Arial" w:hAnsi="Arial"/>
          <w:sz w:val="21"/>
          <w:szCs w:val="21"/>
        </w:rPr>
        <w:t xml:space="preserve">élément × rôle épistémique (118 × 7)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M^(verb) : </w:t>
      </w:r>
      <w:r>
        <w:rPr>
          <w:rFonts w:ascii="Arial" w:cs="Arial" w:eastAsia="Arial" w:hAnsi="Arial"/>
          <w:sz w:val="21"/>
          <w:szCs w:val="21"/>
        </w:rPr>
        <w:t xml:space="preserve">élément × verbe opératoire (118 × 55)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Statistiques de contrôle 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Moyenne secteurs/élément : </w:t>
      </w:r>
      <w:r>
        <w:rPr>
          <w:rFonts w:ascii="Arial" w:cs="Arial" w:eastAsia="Arial" w:hAnsi="Arial"/>
          <w:sz w:val="21"/>
          <w:szCs w:val="21"/>
        </w:rPr>
        <w:t xml:space="preserve">3.20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Moyenne rôles/élément : </w:t>
      </w:r>
      <w:r>
        <w:rPr>
          <w:rFonts w:ascii="Arial" w:cs="Arial" w:eastAsia="Arial" w:hAnsi="Arial"/>
          <w:sz w:val="21"/>
          <w:szCs w:val="21"/>
        </w:rPr>
        <w:t xml:space="preserve">1.53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Moyenne verbes/élément : </w:t>
      </w:r>
      <w:r>
        <w:rPr>
          <w:rFonts w:ascii="Arial" w:cs="Arial" w:eastAsia="Arial" w:hAnsi="Arial"/>
          <w:sz w:val="21"/>
          <w:szCs w:val="21"/>
        </w:rPr>
        <w:t xml:space="preserve">1.67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 RES uniquement : </w:t>
      </w:r>
      <w:r>
        <w:rPr>
          <w:rFonts w:ascii="Arial" w:cs="Arial" w:eastAsia="Arial" w:hAnsi="Arial"/>
          <w:sz w:val="21"/>
          <w:szCs w:val="21"/>
        </w:rPr>
        <w:t xml:space="preserve">13.6%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Anomalies lexique verbes : </w:t>
      </w:r>
      <w:r>
        <w:rPr>
          <w:rFonts w:ascii="Arial" w:cs="Arial" w:eastAsia="Arial" w:hAnsi="Arial"/>
          <w:sz w:val="21"/>
          <w:szCs w:val="21"/>
        </w:rPr>
        <w:t xml:space="preserve">"Alliages durs" (forme nominale au lieu de verbe-first)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Les matrices complètes sont consultables dans l’application interactive (vue Matrice) avec filtrage dynamique.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Daloze Didier — p.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Cohérence interne de la science expérimentale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64748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2026-02-21T01:12:24.688Z</dcterms:created>
  <dcterms:modified xsi:type="dcterms:W3CDTF">2026-02-21T01:12:24.689Z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