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13428E00" w:rsidR="002B0EDC" w:rsidRPr="00E513ED" w:rsidRDefault="00590DAA" w:rsidP="00387CBB">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Segundo Da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lastRenderedPageBreak/>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r w:rsidRPr="00FB4C2B">
        <w:t>Neste capítulo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5" w:name="_Ref53317344"/>
      <w:bookmarkStart w:id="26" w:name="_Ref53317281"/>
      <w:r w:rsidRPr="00F3649F">
        <w:t xml:space="preserve">Figura </w:t>
      </w:r>
      <w:fldSimple w:instr=" SEQ Figura \* ARABIC ">
        <w:r w:rsidR="00C4408C">
          <w:rPr>
            <w:noProof/>
          </w:rPr>
          <w:t>1</w:t>
        </w:r>
      </w:fldSimple>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09120124">
            <wp:extent cx="4436944" cy="3126005"/>
            <wp:effectExtent l="19050" t="19050" r="20955"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116" cy="3140922"/>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Points of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crawler,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27" w:name="_Ref83913077"/>
      <w:r>
        <w:t xml:space="preserve">Figura </w:t>
      </w:r>
      <w:fldSimple w:instr=" SEQ Figura \* ARABIC ">
        <w:r w:rsidR="00C4408C">
          <w:rPr>
            <w:noProof/>
          </w:rPr>
          <w:t>2</w:t>
        </w:r>
      </w:fldSimple>
      <w:bookmarkEnd w:id="27"/>
      <w:r>
        <w:t xml:space="preserve"> </w:t>
      </w:r>
      <w:r w:rsidR="00F61F07" w:rsidRPr="00F3649F">
        <w:t xml:space="preserve">– </w:t>
      </w:r>
      <w:r w:rsidR="00F61F07" w:rsidRPr="00F61F07">
        <w:t>O esquema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2B1E5571"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modelo de média móvel </w:t>
      </w:r>
      <w:r w:rsidR="00463391" w:rsidRPr="00AB7135">
        <w:t>autorregressivo</w:t>
      </w:r>
      <w:r w:rsidRPr="00AB7135">
        <w:t xml:space="preserve"> espacial misto (SARMA) 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223BDBA1" w:rsidR="00451B94" w:rsidRDefault="00D546F8" w:rsidP="00451B94">
      <w:pPr>
        <w:pStyle w:val="TF-TEXTO"/>
      </w:pPr>
      <w:r w:rsidRPr="00D546F8">
        <w:t>Neste capítulo são definidas as justificativas de elaboração dessa ferramenta,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fldSimple w:instr=" SEQ Quadro \* ARABIC ">
        <w:r w:rsidR="00C4408C">
          <w:rPr>
            <w:noProof/>
          </w:rPr>
          <w:t>1</w:t>
        </w:r>
      </w:fldSimple>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um web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A7642E" w:rsidRPr="006E3F95">
        <w:t xml:space="preserve">instituto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fldSimple w:instr=" SEQ Quadro \* ARABIC ">
        <w:r w:rsidR="00C4408C" w:rsidRPr="00AC693A">
          <w:rPr>
            <w:noProof/>
          </w:rPr>
          <w:t>2</w:t>
        </w:r>
      </w:fldSimple>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r w:rsidRPr="00AC693A">
        <w:t>Neste capítulo 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as facilidades para comprar automóveis, o que torna cada vez mais motorizadas algumas pessoas que antes não podiam obter automóveis </w:t>
      </w:r>
      <w:r w:rsidRPr="00712005">
        <w:t>(SANTOS 2009, 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r w:rsidR="007444E8" w:rsidRPr="00AC693A">
        <w:rPr>
          <w:i/>
          <w:iCs/>
        </w:rPr>
        <w:t>You Only Look Once</w:t>
      </w:r>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r w:rsidR="007444E8" w:rsidRPr="00AC693A">
        <w:rPr>
          <w:i/>
          <w:iCs/>
        </w:rPr>
        <w:t>Deformable Part Based Model</w:t>
      </w:r>
      <w:r w:rsidR="007444E8" w:rsidRPr="00AC693A">
        <w:t xml:space="preserve"> (</w:t>
      </w:r>
      <w:r w:rsidRPr="00AC693A">
        <w:t>DPM</w:t>
      </w:r>
      <w:r w:rsidR="007444E8" w:rsidRPr="00AC693A">
        <w:t>) e</w:t>
      </w:r>
      <w:r w:rsidRPr="00AC693A">
        <w:t xml:space="preserve"> </w:t>
      </w:r>
      <w:r w:rsidR="007444E8" w:rsidRPr="00AC693A">
        <w:rPr>
          <w:i/>
          <w:iCs/>
        </w:rPr>
        <w:t>Region-based Convolution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Design Of Cities And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77777777"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45E9100C" w14:textId="77777777" w:rsidR="00C6485A" w:rsidRPr="00320BFA" w:rsidRDefault="009B4CB8" w:rsidP="00C6485A">
      <w:pPr>
        <w:pStyle w:val="TF-xAvalTTULO"/>
      </w:pPr>
      <w:r>
        <w:br w:type="page"/>
      </w:r>
      <w:r w:rsidR="00C6485A" w:rsidRPr="00320BFA">
        <w:lastRenderedPageBreak/>
        <w:t>FORMULÁRIO  DE  avaliação</w:t>
      </w:r>
      <w:r w:rsidR="00C6485A">
        <w:t xml:space="preserve"> </w:t>
      </w:r>
      <w:r w:rsidR="00C6485A" w:rsidRPr="00320BFA">
        <w:t xml:space="preserve">– PROFESSOR </w:t>
      </w:r>
      <w:r w:rsidR="00C6485A">
        <w:t>AVALIADOR</w:t>
      </w:r>
    </w:p>
    <w:p w14:paraId="19197C1F" w14:textId="5D11F161" w:rsidR="00C6485A" w:rsidRDefault="00C6485A" w:rsidP="00C6485A">
      <w:pPr>
        <w:pStyle w:val="TF-xAvalLINHA"/>
      </w:pPr>
      <w:r w:rsidRPr="00320BFA">
        <w:t>Avaliador(a):</w:t>
      </w:r>
      <w:r w:rsidRPr="00320BFA">
        <w:tab/>
      </w:r>
      <w:r w:rsidRPr="00C6485A">
        <w:rPr>
          <w:b/>
          <w:bCs/>
        </w:rPr>
        <w:t xml:space="preserve">Alexander Roberto </w:t>
      </w:r>
      <w:proofErr w:type="spellStart"/>
      <w:r w:rsidRPr="00C6485A">
        <w:rPr>
          <w:b/>
          <w:bCs/>
        </w:rPr>
        <w:t>Valdameri</w:t>
      </w:r>
      <w:proofErr w:type="spellEnd"/>
    </w:p>
    <w:p w14:paraId="01BB69FD" w14:textId="77777777" w:rsidR="00C6485A" w:rsidRPr="00C767AD" w:rsidRDefault="00C6485A" w:rsidP="00C648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6485A" w:rsidRPr="00320BFA" w14:paraId="15B04BDD"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DDDAF48" w14:textId="77777777" w:rsidR="00C6485A" w:rsidRPr="00320BFA" w:rsidRDefault="00C6485A"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C9A229F" w14:textId="77777777" w:rsidR="00C6485A" w:rsidRPr="00320BFA" w:rsidRDefault="00C6485A"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02EE07E" w14:textId="77777777" w:rsidR="00C6485A" w:rsidRPr="00320BFA" w:rsidRDefault="00C6485A"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166F41F" w14:textId="77777777" w:rsidR="00C6485A" w:rsidRPr="00320BFA" w:rsidRDefault="00C6485A" w:rsidP="00225EA3">
            <w:pPr>
              <w:pStyle w:val="TF-xAvalITEMTABELA"/>
            </w:pPr>
            <w:r w:rsidRPr="00320BFA">
              <w:t>não atende</w:t>
            </w:r>
          </w:p>
        </w:tc>
      </w:tr>
      <w:tr w:rsidR="00C6485A" w:rsidRPr="00320BFA" w14:paraId="212F04F5"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5B27D7" w14:textId="77777777" w:rsidR="00C6485A" w:rsidRPr="0000224C" w:rsidRDefault="00C6485A"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F1432AD" w14:textId="77777777" w:rsidR="00C6485A" w:rsidRPr="00320BFA" w:rsidRDefault="00C6485A" w:rsidP="00225EA3">
            <w:pPr>
              <w:pStyle w:val="TF-xAvalITEM"/>
              <w:numPr>
                <w:ilvl w:val="0"/>
                <w:numId w:val="13"/>
              </w:numPr>
            </w:pPr>
            <w:r w:rsidRPr="00320BFA">
              <w:t>INTRODUÇÃO</w:t>
            </w:r>
          </w:p>
          <w:p w14:paraId="74E9134D" w14:textId="77777777" w:rsidR="00C6485A" w:rsidRPr="00320BFA" w:rsidRDefault="00C6485A"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C9665F0" w14:textId="77777777" w:rsidR="00C6485A" w:rsidRPr="00320BFA" w:rsidRDefault="00C6485A"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D1707F"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DD5767B" w14:textId="77777777" w:rsidR="00C6485A" w:rsidRPr="00320BFA" w:rsidRDefault="00C6485A" w:rsidP="00225EA3">
            <w:pPr>
              <w:ind w:left="709" w:hanging="709"/>
              <w:jc w:val="both"/>
              <w:rPr>
                <w:sz w:val="18"/>
              </w:rPr>
            </w:pPr>
          </w:p>
        </w:tc>
      </w:tr>
      <w:tr w:rsidR="00C6485A" w:rsidRPr="00320BFA" w14:paraId="20086623"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DDEE4B"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0B6B12" w14:textId="77777777" w:rsidR="00C6485A" w:rsidRPr="00320BFA" w:rsidRDefault="00C6485A"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5175162"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9C6C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6BF0FA" w14:textId="77777777" w:rsidR="00C6485A" w:rsidRPr="00320BFA" w:rsidRDefault="00C6485A" w:rsidP="00225EA3">
            <w:pPr>
              <w:ind w:left="709" w:hanging="709"/>
              <w:jc w:val="both"/>
              <w:rPr>
                <w:sz w:val="18"/>
              </w:rPr>
            </w:pPr>
          </w:p>
        </w:tc>
      </w:tr>
      <w:tr w:rsidR="00C6485A" w:rsidRPr="00320BFA" w14:paraId="3E3D133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4312D8"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36E946" w14:textId="77777777" w:rsidR="00C6485A" w:rsidRPr="00320BFA" w:rsidRDefault="00C6485A" w:rsidP="00225EA3">
            <w:pPr>
              <w:pStyle w:val="TF-xAvalITEM"/>
              <w:numPr>
                <w:ilvl w:val="0"/>
                <w:numId w:val="13"/>
              </w:numPr>
            </w:pPr>
            <w:r w:rsidRPr="00320BFA">
              <w:t>OBJETIVOS</w:t>
            </w:r>
          </w:p>
          <w:p w14:paraId="029FDF33" w14:textId="77777777" w:rsidR="00C6485A" w:rsidRPr="00320BFA" w:rsidRDefault="00C6485A"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A4266EB"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73127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989948" w14:textId="77777777" w:rsidR="00C6485A" w:rsidRPr="00320BFA" w:rsidRDefault="00C6485A" w:rsidP="00225EA3">
            <w:pPr>
              <w:ind w:left="709" w:hanging="709"/>
              <w:jc w:val="both"/>
              <w:rPr>
                <w:sz w:val="18"/>
              </w:rPr>
            </w:pPr>
          </w:p>
        </w:tc>
      </w:tr>
      <w:tr w:rsidR="00C6485A" w:rsidRPr="00320BFA" w14:paraId="7DBD7B4C"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17A17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9B1732" w14:textId="77777777" w:rsidR="00C6485A" w:rsidRPr="00320BFA" w:rsidRDefault="00C6485A"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1D5AA63"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F66DE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E3443B" w14:textId="77777777" w:rsidR="00C6485A" w:rsidRPr="00320BFA" w:rsidRDefault="00C6485A" w:rsidP="00225EA3">
            <w:pPr>
              <w:ind w:left="709" w:hanging="709"/>
              <w:jc w:val="both"/>
              <w:rPr>
                <w:sz w:val="18"/>
              </w:rPr>
            </w:pPr>
          </w:p>
        </w:tc>
      </w:tr>
      <w:tr w:rsidR="00C6485A" w:rsidRPr="00320BFA" w14:paraId="30590DB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301A14"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655AB0" w14:textId="77777777" w:rsidR="00C6485A" w:rsidRPr="00320BFA" w:rsidRDefault="00C6485A" w:rsidP="00225EA3">
            <w:pPr>
              <w:pStyle w:val="TF-xAvalITEM"/>
              <w:numPr>
                <w:ilvl w:val="0"/>
                <w:numId w:val="13"/>
              </w:numPr>
            </w:pPr>
            <w:r w:rsidRPr="00320BFA">
              <w:t>TRABALHOS CORRELATOS</w:t>
            </w:r>
          </w:p>
          <w:p w14:paraId="4C550195" w14:textId="77777777" w:rsidR="00C6485A" w:rsidRPr="00320BFA" w:rsidRDefault="00C6485A"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42A7D7A"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1CB50C"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5A4D6C" w14:textId="77777777" w:rsidR="00C6485A" w:rsidRPr="00320BFA" w:rsidRDefault="00C6485A" w:rsidP="00225EA3">
            <w:pPr>
              <w:ind w:left="709" w:hanging="709"/>
              <w:jc w:val="both"/>
              <w:rPr>
                <w:sz w:val="18"/>
              </w:rPr>
            </w:pPr>
          </w:p>
        </w:tc>
      </w:tr>
      <w:tr w:rsidR="00C6485A" w:rsidRPr="00320BFA" w14:paraId="4608695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6EF0A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141196" w14:textId="77777777" w:rsidR="00C6485A" w:rsidRPr="00320BFA" w:rsidRDefault="00C6485A" w:rsidP="00225EA3">
            <w:pPr>
              <w:pStyle w:val="TF-xAvalITEM"/>
              <w:numPr>
                <w:ilvl w:val="0"/>
                <w:numId w:val="13"/>
              </w:numPr>
            </w:pPr>
            <w:r w:rsidRPr="00320BFA">
              <w:t>JUSTIFICATIVA</w:t>
            </w:r>
          </w:p>
          <w:p w14:paraId="46F3812E" w14:textId="77777777" w:rsidR="00C6485A" w:rsidRPr="00320BFA" w:rsidRDefault="00C6485A"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6AFABD0"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5F05D5"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6F89DC" w14:textId="77777777" w:rsidR="00C6485A" w:rsidRPr="00320BFA" w:rsidRDefault="00C6485A" w:rsidP="00225EA3">
            <w:pPr>
              <w:ind w:left="709" w:hanging="709"/>
              <w:jc w:val="both"/>
              <w:rPr>
                <w:sz w:val="18"/>
              </w:rPr>
            </w:pPr>
          </w:p>
        </w:tc>
      </w:tr>
      <w:tr w:rsidR="00C6485A" w:rsidRPr="00320BFA" w14:paraId="59586AB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BE96E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AF393C" w14:textId="77777777" w:rsidR="00C6485A" w:rsidRPr="00320BFA" w:rsidRDefault="00C6485A"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233AA8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322074A"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B7E5A3C" w14:textId="77777777" w:rsidR="00C6485A" w:rsidRPr="00320BFA" w:rsidRDefault="00C6485A" w:rsidP="00225EA3">
            <w:pPr>
              <w:ind w:left="709" w:hanging="709"/>
              <w:jc w:val="both"/>
              <w:rPr>
                <w:sz w:val="18"/>
              </w:rPr>
            </w:pPr>
          </w:p>
        </w:tc>
      </w:tr>
      <w:tr w:rsidR="00C6485A" w:rsidRPr="00320BFA" w14:paraId="2A81E96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01D94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FA2002" w14:textId="77777777" w:rsidR="00C6485A" w:rsidRPr="00320BFA" w:rsidRDefault="00C6485A"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3AAE00C"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D61CE60"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37248C" w14:textId="77777777" w:rsidR="00C6485A" w:rsidRPr="00320BFA" w:rsidRDefault="00C6485A" w:rsidP="00225EA3">
            <w:pPr>
              <w:ind w:left="709" w:hanging="709"/>
              <w:jc w:val="both"/>
              <w:rPr>
                <w:sz w:val="18"/>
              </w:rPr>
            </w:pPr>
          </w:p>
        </w:tc>
      </w:tr>
      <w:tr w:rsidR="00C6485A" w:rsidRPr="00320BFA" w14:paraId="1574956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E2CB89"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A7216F" w14:textId="77777777" w:rsidR="00C6485A" w:rsidRPr="00320BFA" w:rsidRDefault="00C6485A" w:rsidP="00225EA3">
            <w:pPr>
              <w:pStyle w:val="TF-xAvalITEM"/>
              <w:numPr>
                <w:ilvl w:val="0"/>
                <w:numId w:val="13"/>
              </w:numPr>
            </w:pPr>
            <w:r w:rsidRPr="00320BFA">
              <w:t>REQUISITOS PRINCIPAIS DO PROBLEMA A SER TRABALHADO</w:t>
            </w:r>
          </w:p>
          <w:p w14:paraId="75BA70EB" w14:textId="77777777" w:rsidR="00C6485A" w:rsidRPr="00320BFA" w:rsidRDefault="00C6485A"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C8AE02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C630E1"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4DF31E" w14:textId="77777777" w:rsidR="00C6485A" w:rsidRPr="00320BFA" w:rsidRDefault="00C6485A" w:rsidP="00225EA3">
            <w:pPr>
              <w:ind w:left="709" w:hanging="709"/>
              <w:jc w:val="both"/>
              <w:rPr>
                <w:sz w:val="18"/>
              </w:rPr>
            </w:pPr>
          </w:p>
        </w:tc>
      </w:tr>
      <w:tr w:rsidR="00C6485A" w:rsidRPr="00320BFA" w14:paraId="46D96385"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4392E"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626C5C" w14:textId="77777777" w:rsidR="00C6485A" w:rsidRPr="00320BFA" w:rsidRDefault="00C6485A" w:rsidP="00225EA3">
            <w:pPr>
              <w:pStyle w:val="TF-xAvalITEM"/>
              <w:numPr>
                <w:ilvl w:val="0"/>
                <w:numId w:val="13"/>
              </w:numPr>
            </w:pPr>
            <w:r w:rsidRPr="00320BFA">
              <w:t>METODOLOGIA</w:t>
            </w:r>
          </w:p>
          <w:p w14:paraId="1BE3C650" w14:textId="77777777" w:rsidR="00C6485A" w:rsidRPr="00320BFA" w:rsidRDefault="00C6485A"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C3BAA15"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7F891E3"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019C63" w14:textId="77777777" w:rsidR="00C6485A" w:rsidRPr="00320BFA" w:rsidRDefault="00C6485A" w:rsidP="00225EA3">
            <w:pPr>
              <w:ind w:left="709" w:hanging="709"/>
              <w:jc w:val="both"/>
              <w:rPr>
                <w:sz w:val="18"/>
              </w:rPr>
            </w:pPr>
          </w:p>
        </w:tc>
      </w:tr>
      <w:tr w:rsidR="00C6485A" w:rsidRPr="00320BFA" w14:paraId="1103AF46"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CBD231"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4B525B" w14:textId="77777777" w:rsidR="00C6485A" w:rsidRPr="00320BFA" w:rsidRDefault="00C6485A"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EA33B83"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2ECAE2"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92A2614" w14:textId="77777777" w:rsidR="00C6485A" w:rsidRPr="00320BFA" w:rsidRDefault="00C6485A" w:rsidP="00225EA3">
            <w:pPr>
              <w:ind w:left="709" w:hanging="709"/>
              <w:jc w:val="both"/>
              <w:rPr>
                <w:sz w:val="18"/>
              </w:rPr>
            </w:pPr>
          </w:p>
        </w:tc>
      </w:tr>
      <w:tr w:rsidR="00C6485A" w:rsidRPr="00320BFA" w14:paraId="35FAD83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DA6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31C629" w14:textId="77777777" w:rsidR="00C6485A" w:rsidRPr="00320BFA" w:rsidRDefault="00C6485A" w:rsidP="00225EA3">
            <w:pPr>
              <w:pStyle w:val="TF-xAvalITEM"/>
              <w:numPr>
                <w:ilvl w:val="0"/>
                <w:numId w:val="13"/>
              </w:numPr>
            </w:pPr>
            <w:r w:rsidRPr="00320BFA">
              <w:t>REVISÃO BIBLIOGRÁFICA</w:t>
            </w:r>
            <w:r>
              <w:t xml:space="preserve"> (atenção para a diferença de conteúdo entre projeto e pré-projeto)</w:t>
            </w:r>
          </w:p>
          <w:p w14:paraId="6C8BBD3A" w14:textId="77777777" w:rsidR="00C6485A" w:rsidRPr="00320BFA" w:rsidRDefault="00C6485A"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7E74BF6"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F59F9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D11AB9" w14:textId="77777777" w:rsidR="00C6485A" w:rsidRPr="00320BFA" w:rsidRDefault="00C6485A" w:rsidP="00225EA3">
            <w:pPr>
              <w:ind w:left="709" w:hanging="709"/>
              <w:jc w:val="both"/>
              <w:rPr>
                <w:sz w:val="18"/>
              </w:rPr>
            </w:pPr>
          </w:p>
        </w:tc>
      </w:tr>
      <w:tr w:rsidR="00C6485A" w:rsidRPr="00320BFA" w14:paraId="03C6244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467C5E"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1E04AD" w14:textId="77777777" w:rsidR="00C6485A" w:rsidRPr="00320BFA" w:rsidRDefault="00C6485A"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4A65BA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D170AC7"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80570D2" w14:textId="77777777" w:rsidR="00C6485A" w:rsidRPr="00320BFA" w:rsidRDefault="00C6485A" w:rsidP="00225EA3">
            <w:pPr>
              <w:ind w:left="709" w:hanging="709"/>
              <w:jc w:val="both"/>
              <w:rPr>
                <w:sz w:val="18"/>
              </w:rPr>
            </w:pPr>
          </w:p>
        </w:tc>
      </w:tr>
      <w:tr w:rsidR="00C6485A" w:rsidRPr="00320BFA" w14:paraId="4C574E3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6B42C3" w14:textId="77777777" w:rsidR="00C6485A" w:rsidRPr="0000224C" w:rsidRDefault="00C6485A"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ED13CD" w14:textId="77777777" w:rsidR="00C6485A" w:rsidRPr="00320BFA" w:rsidRDefault="00C6485A" w:rsidP="00225EA3">
            <w:pPr>
              <w:pStyle w:val="TF-xAvalITEM"/>
              <w:numPr>
                <w:ilvl w:val="0"/>
                <w:numId w:val="13"/>
              </w:numPr>
            </w:pPr>
            <w:r w:rsidRPr="00320BFA">
              <w:t>LINGUAGEM USADA (redação)</w:t>
            </w:r>
          </w:p>
          <w:p w14:paraId="361D5499" w14:textId="77777777" w:rsidR="00C6485A" w:rsidRPr="00320BFA" w:rsidRDefault="00C6485A"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E43431B" w14:textId="77777777" w:rsidR="00C6485A" w:rsidRPr="00320BFA" w:rsidRDefault="00C6485A"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5722E44"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6596CE" w14:textId="77777777" w:rsidR="00C6485A" w:rsidRPr="00320BFA" w:rsidRDefault="00C6485A" w:rsidP="00225EA3">
            <w:pPr>
              <w:ind w:left="709" w:hanging="709"/>
              <w:jc w:val="both"/>
              <w:rPr>
                <w:sz w:val="18"/>
              </w:rPr>
            </w:pPr>
          </w:p>
        </w:tc>
      </w:tr>
      <w:tr w:rsidR="00C6485A" w:rsidRPr="00320BFA" w14:paraId="38189FA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5FF3E9"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81D1560" w14:textId="77777777" w:rsidR="00C6485A" w:rsidRPr="00320BFA" w:rsidRDefault="00C6485A"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EC9D4A6"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FEFB6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44AFC9" w14:textId="77777777" w:rsidR="00C6485A" w:rsidRPr="00320BFA" w:rsidRDefault="00C6485A" w:rsidP="00225EA3">
            <w:pPr>
              <w:ind w:left="709" w:hanging="709"/>
              <w:jc w:val="both"/>
              <w:rPr>
                <w:sz w:val="18"/>
              </w:rPr>
            </w:pPr>
          </w:p>
        </w:tc>
      </w:tr>
    </w:tbl>
    <w:p w14:paraId="23B12687" w14:textId="77777777" w:rsidR="00C6485A" w:rsidRDefault="00C6485A" w:rsidP="00C6485A">
      <w:pPr>
        <w:pStyle w:val="TF-xAvalLINHA"/>
        <w:tabs>
          <w:tab w:val="left" w:leader="underscore" w:pos="6237"/>
        </w:tabs>
      </w:pPr>
    </w:p>
    <w:p w14:paraId="5E1FDB9D" w14:textId="77777777" w:rsidR="00C6485A" w:rsidRDefault="00C6485A" w:rsidP="00C6485A">
      <w:pPr>
        <w:pStyle w:val="TF-xAvalTTULO"/>
        <w:ind w:left="0" w:firstLine="0"/>
        <w:jc w:val="left"/>
      </w:pPr>
    </w:p>
    <w:p w14:paraId="4D536130" w14:textId="0738F652" w:rsidR="00246772" w:rsidRDefault="00246772" w:rsidP="00C6485A">
      <w:pPr>
        <w:pStyle w:val="TF-xAvalTTULO"/>
      </w:pPr>
    </w:p>
    <w:p w14:paraId="2569824B" w14:textId="12C45DB6" w:rsidR="009B4CB8" w:rsidRDefault="009B4CB8">
      <w:pPr>
        <w:rPr>
          <w:sz w:val="18"/>
          <w:szCs w:val="20"/>
        </w:rPr>
      </w:pPr>
    </w:p>
    <w:sectPr w:rsidR="009B4CB8" w:rsidSect="00C767AD">
      <w:headerReference w:type="default" r:id="rId13"/>
      <w:headerReference w:type="first" r:id="rId14"/>
      <w:pgSz w:w="11907" w:h="16840" w:code="9"/>
      <w:pgMar w:top="1701" w:right="1134" w:bottom="1134" w:left="1701"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4F18"/>
    <w:rsid w:val="00BE6551"/>
    <w:rsid w:val="00BF093B"/>
    <w:rsid w:val="00BF11DA"/>
    <w:rsid w:val="00BF19CB"/>
    <w:rsid w:val="00BF4331"/>
    <w:rsid w:val="00C00B88"/>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E006E"/>
    <w:rsid w:val="00FE197E"/>
    <w:rsid w:val="00FE1A64"/>
    <w:rsid w:val="00FE2E37"/>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6749</Words>
  <Characters>37775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2021-10-06T16:50:00Z</dcterms:created>
  <dcterms:modified xsi:type="dcterms:W3CDTF">2021-10-06T17:07:00Z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