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CD1138" w14:paraId="7FE4CEBA" w14:textId="77777777" w:rsidTr="00225EA3">
        <w:tc>
          <w:tcPr>
            <w:tcW w:w="9212" w:type="dxa"/>
            <w:gridSpan w:val="2"/>
            <w:shd w:val="clear" w:color="auto" w:fill="auto"/>
          </w:tcPr>
          <w:p w14:paraId="69BFD895" w14:textId="77777777" w:rsidR="00CD1138" w:rsidRDefault="00CD1138"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D1138" w14:paraId="64E6677D" w14:textId="77777777" w:rsidTr="00225EA3">
        <w:tc>
          <w:tcPr>
            <w:tcW w:w="5778" w:type="dxa"/>
            <w:shd w:val="clear" w:color="auto" w:fill="auto"/>
          </w:tcPr>
          <w:p w14:paraId="07DBA66B" w14:textId="77777777" w:rsidR="00CD1138" w:rsidRPr="003C5262" w:rsidRDefault="00CD113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08BF944" w14:textId="77777777" w:rsidR="00CD1138" w:rsidRDefault="00CD1138" w:rsidP="00225EA3">
            <w:pPr>
              <w:pStyle w:val="Cabealho"/>
              <w:tabs>
                <w:tab w:val="clear" w:pos="8640"/>
                <w:tab w:val="right" w:pos="8931"/>
              </w:tabs>
              <w:ind w:right="141"/>
              <w:rPr>
                <w:rStyle w:val="Nmerodepgina"/>
              </w:rPr>
            </w:pPr>
            <w:r>
              <w:rPr>
                <w:rStyle w:val="Nmerodepgina"/>
              </w:rPr>
              <w:t>ANO/SEMESTRE: 2021/2</w:t>
            </w:r>
          </w:p>
        </w:tc>
      </w:tr>
    </w:tbl>
    <w:p w14:paraId="2D054EBB" w14:textId="77777777" w:rsidR="00CD1138" w:rsidRDefault="00CD1138" w:rsidP="001E682E">
      <w:pPr>
        <w:pStyle w:val="TF-TTULO"/>
      </w:pPr>
    </w:p>
    <w:p w14:paraId="147108DD" w14:textId="6332C03A"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 xml:space="preserve">Aurélio Faustino </w:t>
      </w:r>
      <w:proofErr w:type="spellStart"/>
      <w:r w:rsidR="00A1602E">
        <w:t>Hoppe</w:t>
      </w:r>
      <w:proofErr w:type="spellEnd"/>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xml:space="preserve">– </w:t>
      </w:r>
      <w:proofErr w:type="spellStart"/>
      <w:r>
        <w:t>Coorientador</w:t>
      </w:r>
      <w:proofErr w:type="spellEnd"/>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77777777"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 xml:space="preserve">informatização destes 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E6380D2"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 xml:space="preserve">catálogos por correio, até ofertas altamente objetivas, focando em 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 tradução nossa)</w:t>
      </w:r>
      <w:r w:rsidR="00022955" w:rsidRPr="00CF6759">
        <w:t xml:space="preserve">. </w:t>
      </w:r>
    </w:p>
    <w:p w14:paraId="74972D9B" w14:textId="05E735E8" w:rsidR="00901FAB" w:rsidRPr="00CF6759" w:rsidRDefault="00022955"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 xml:space="preserve">sendo lealdade a tendência do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0E672920" w:rsidR="00022955" w:rsidRPr="00CF6759" w:rsidRDefault="00E00823" w:rsidP="00CF6759">
      <w:pPr>
        <w:pStyle w:val="TF-TEXTO"/>
      </w:pPr>
      <w:r>
        <w:t xml:space="preserve">De acordo </w:t>
      </w:r>
      <w:proofErr w:type="spellStart"/>
      <w:r w:rsidR="004A3EBA" w:rsidRPr="00CF6759">
        <w:t>Nguyen</w:t>
      </w:r>
      <w:proofErr w:type="spellEnd"/>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melhorar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0E8ACC0D"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w:t>
      </w:r>
      <w:proofErr w:type="spellStart"/>
      <w:r w:rsidR="001C0212" w:rsidRPr="00CF6759">
        <w:t>Kumar</w:t>
      </w:r>
      <w:proofErr w:type="spellEnd"/>
      <w:r w:rsidR="001C0212" w:rsidRPr="00CF6759">
        <w:t xml:space="preserve"> (2008, p.29), </w:t>
      </w:r>
      <w:r w:rsidR="002D21B8" w:rsidRPr="00CF6759">
        <w:t xml:space="preserve">o modelo </w:t>
      </w:r>
      <w:proofErr w:type="spellStart"/>
      <w:r w:rsidR="002D21B8" w:rsidRPr="00CF6759">
        <w:t>Recency-Frequency-Monetary</w:t>
      </w:r>
      <w:proofErr w:type="spellEnd"/>
      <w:r w:rsidR="002D21B8" w:rsidRPr="00CF6759">
        <w:t xml:space="preserve"> (RFM), </w:t>
      </w:r>
      <w:r w:rsidR="00474EA3" w:rsidRPr="00CF6759">
        <w:t xml:space="preserve">é </w:t>
      </w:r>
      <w:r w:rsidR="002D21B8" w:rsidRPr="00CF6759">
        <w:t>utilizado em e</w:t>
      </w:r>
      <w:r w:rsidR="001C0212" w:rsidRPr="00CF6759">
        <w:t xml:space="preserve">mpresas de venda por catálogo, enquanto empresas de high-tech 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dos clientes (vendas), dos quais são obtidos os atributos de </w:t>
      </w:r>
      <w:proofErr w:type="spellStart"/>
      <w:r w:rsidR="006C187D" w:rsidRPr="00CF6759">
        <w:t>recência</w:t>
      </w:r>
      <w:proofErr w:type="spellEnd"/>
      <w:r w:rsidR="006C187D" w:rsidRPr="00CF6759">
        <w:t xml:space="preserve"> (R), frequência (F) e monetário (M).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w:t>
      </w:r>
      <w:r w:rsidR="006C187D">
        <w:lastRenderedPageBreak/>
        <w:t xml:space="preserve">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0D93A81E"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artefato computacional que utilize o modelo RFM em conjunto com </w:t>
      </w:r>
      <w:r w:rsidR="00FC266F" w:rsidRPr="00FC266F">
        <w:t xml:space="preserve">diferentes algoritmos de </w:t>
      </w:r>
      <w:proofErr w:type="spellStart"/>
      <w:r w:rsidR="00FC266F" w:rsidRPr="00FC266F">
        <w:t>clusterização</w:t>
      </w:r>
      <w:proofErr w:type="spellEnd"/>
      <w:r w:rsidR="00460AB5">
        <w:t xml:space="preserve"> </w:t>
      </w:r>
      <w:r w:rsidR="009427FA">
        <w:t xml:space="preserve">ao invés de quintis </w:t>
      </w:r>
      <w:r w:rsidR="00460AB5">
        <w:t>para segmentar clientes</w:t>
      </w:r>
      <w:r w:rsidR="00FC266F" w:rsidRPr="00FC266F">
        <w:t xml:space="preserve">, </w:t>
      </w:r>
      <w:r w:rsidR="005757FE" w:rsidRPr="00FC266F">
        <w:t>extrai</w:t>
      </w:r>
      <w:r w:rsidR="00FC266F">
        <w:t>ndo</w:t>
      </w:r>
      <w:r w:rsidR="005757FE" w:rsidRPr="00FC266F">
        <w:t xml:space="preserve"> de maneira automática as informações de bases de dados, </w:t>
      </w:r>
      <w:r w:rsidR="00106DED">
        <w:t>sendo</w:t>
      </w:r>
      <w:r w:rsidR="00ED77AB" w:rsidRPr="00FC266F">
        <w:t xml:space="preserve"> aplicado </w:t>
      </w:r>
      <w:r w:rsidRPr="00FC266F">
        <w:t>ao contexto de diversas empresa</w:t>
      </w:r>
      <w:r w:rsidR="00460AB5">
        <w:t>s de varejo, atacado e comércio</w:t>
      </w:r>
      <w:r w:rsidR="005757FE" w:rsidRPr="00FC266F">
        <w:t>,</w:t>
      </w:r>
      <w:r w:rsidR="00ED77AB" w:rsidRPr="00FC266F">
        <w:t xml:space="preserve"> </w:t>
      </w:r>
      <w:r w:rsidRPr="00FC266F">
        <w:t>visando</w:t>
      </w:r>
      <w:r w:rsidR="00ED77AB" w:rsidRPr="00FC266F">
        <w:t xml:space="preserve"> adequar</w:t>
      </w:r>
      <w:r w:rsidRPr="00FC266F">
        <w:t>-se dinamicamente</w:t>
      </w:r>
      <w:r w:rsidR="00ED77AB" w:rsidRPr="00FC266F">
        <w:t xml:space="preserve"> à suas eventuais diferenças</w:t>
      </w:r>
      <w:r w:rsidR="00902976">
        <w:t xml:space="preserve"> de comportamento nos clientes</w:t>
      </w:r>
      <w:r w:rsidR="00CE17A9">
        <w:t>.</w:t>
      </w:r>
    </w:p>
    <w:p w14:paraId="152C20A3" w14:textId="07AFE8CB"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F35DB2" w14:textId="266B0476" w:rsidR="00AF67E3" w:rsidRPr="00E70438" w:rsidRDefault="00C35E57" w:rsidP="00C43C82">
      <w:pPr>
        <w:pStyle w:val="TF-TEXTO"/>
      </w:pPr>
      <w:r>
        <w:t xml:space="preserve"> </w:t>
      </w:r>
      <w:r w:rsidR="00C43C82" w:rsidRPr="00E70438">
        <w:t xml:space="preserve">O objetivo deste trabalho é </w:t>
      </w:r>
      <w:r w:rsidR="0082476B" w:rsidRPr="00E70438">
        <w:t xml:space="preserve">desenvolver </w:t>
      </w:r>
      <w:r w:rsidR="00C43C82" w:rsidRPr="00E70438">
        <w:t xml:space="preserve">um </w:t>
      </w:r>
      <w:r w:rsidR="00E70438" w:rsidRPr="00E70438">
        <w:t>artefato computacional</w:t>
      </w:r>
      <w:r w:rsidR="004D30D2" w:rsidRPr="00E70438">
        <w:t xml:space="preserve"> 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 xml:space="preserve">implementar e testar diferentes algoritmos de </w:t>
      </w:r>
      <w:proofErr w:type="spellStart"/>
      <w:r w:rsidRPr="00E70438">
        <w:t>clusterização</w:t>
      </w:r>
      <w:proofErr w:type="spellEnd"/>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477B9186" w:rsidR="00E70438" w:rsidRPr="00E70438" w:rsidRDefault="00E70438" w:rsidP="00E70438">
      <w:pPr>
        <w:pStyle w:val="TF-ALNEA"/>
      </w:pPr>
      <w:r w:rsidRPr="00E70438">
        <w:t>avaliar a qualidade em relação ao agrupamento dos clientes</w:t>
      </w:r>
      <w:r w:rsidR="00106DED">
        <w:t>.</w:t>
      </w:r>
    </w:p>
    <w:p w14:paraId="0F83796A" w14:textId="77777777" w:rsidR="00A44581" w:rsidRDefault="00A44581" w:rsidP="00424AD5">
      <w:pPr>
        <w:pStyle w:val="Ttulo1"/>
      </w:pPr>
      <w:bookmarkStart w:id="23" w:name="_Toc419598587"/>
      <w:r>
        <w:t xml:space="preserve">trabalhos </w:t>
      </w:r>
      <w:r w:rsidRPr="00FC4A9F">
        <w:t>correlatos</w:t>
      </w:r>
    </w:p>
    <w:p w14:paraId="6124AEFB" w14:textId="59612AE5" w:rsidR="00C43C82" w:rsidRPr="004E1041" w:rsidRDefault="00272835" w:rsidP="00C43C82">
      <w:pPr>
        <w:pStyle w:val="TF-TEXTO"/>
      </w:pPr>
      <w:r>
        <w:t xml:space="preserve">Neste capítulo 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 xml:space="preserve">para </w:t>
      </w:r>
      <w:proofErr w:type="spellStart"/>
      <w:r w:rsidR="002C46C5">
        <w:t>clusterização</w:t>
      </w:r>
      <w:proofErr w:type="spellEnd"/>
      <w:r w:rsidR="002C46C5">
        <w:t xml:space="preserve">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r w:rsidR="001C1EF9">
        <w:t xml:space="preserve">proposto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 xml:space="preserve">periodicidade. Por final,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6D2968" w:rsidRDefault="00C43C82" w:rsidP="00C43C82">
      <w:pPr>
        <w:pStyle w:val="Ttulo2"/>
        <w:rPr>
          <w:lang w:val="en-US"/>
        </w:rPr>
      </w:pPr>
      <w:r w:rsidRPr="006D2968">
        <w:rPr>
          <w:lang w:val="en-US"/>
        </w:rPr>
        <w:t xml:space="preserve">Clustering optimization in RFM analysis based on k-means </w:t>
      </w:r>
    </w:p>
    <w:p w14:paraId="291870C8" w14:textId="24E00D20"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w:t>
      </w:r>
      <w:proofErr w:type="spellStart"/>
      <w:r>
        <w:t>Rp</w:t>
      </w:r>
      <w:proofErr w:type="spellEnd"/>
      <w:r>
        <w:t xml:space="preserve">.). </w:t>
      </w:r>
    </w:p>
    <w:p w14:paraId="29AB6979" w14:textId="1DBFC178"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Index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w:t>
      </w:r>
      <w:r>
        <w:lastRenderedPageBreak/>
        <w:t>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1A9E1E63"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4F7467">
        <w:t xml:space="preserve">Também </w:t>
      </w:r>
      <w:r w:rsidR="00BF76F8">
        <w:t>se observa</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24" w:name="_Ref81598703"/>
      <w:r>
        <w:t xml:space="preserve">Figura </w:t>
      </w:r>
      <w:fldSimple w:instr=" SEQ Figura \* ARABIC ">
        <w:r w:rsidR="0043045C">
          <w:rPr>
            <w:noProof/>
          </w:rPr>
          <w:t>1</w:t>
        </w:r>
      </w:fldSimple>
      <w:bookmarkEnd w:id="24"/>
      <w:r>
        <w:t xml:space="preserve"> – Três clusters gerados</w:t>
      </w:r>
    </w:p>
    <w:p w14:paraId="7861F422" w14:textId="3805CE41" w:rsidR="00C43C82" w:rsidRDefault="00D87546" w:rsidP="00C43C82">
      <w:pPr>
        <w:pStyle w:val="TF-FIGURA"/>
      </w:pPr>
      <w:r>
        <w:rPr>
          <w:noProof/>
        </w:rPr>
        <w:drawing>
          <wp:inline distT="0" distB="0" distL="0" distR="0" wp14:anchorId="20B38120" wp14:editId="4D75B74C">
            <wp:extent cx="2853055" cy="2333625"/>
            <wp:effectExtent l="19050" t="19050" r="444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2BA2A3FD"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número 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fldSimple w:instr=" SEQ Tabela \* ARABIC ">
        <w:r w:rsidR="0043045C">
          <w:rPr>
            <w:noProof/>
          </w:rPr>
          <w:t>1</w:t>
        </w:r>
      </w:fldSimple>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Pr="006D2968" w:rsidRDefault="00C43C82" w:rsidP="00C43C82">
      <w:pPr>
        <w:pStyle w:val="Ttulo2"/>
        <w:rPr>
          <w:lang w:val="en-US"/>
        </w:rPr>
      </w:pPr>
      <w:r w:rsidRPr="006D2968">
        <w:rPr>
          <w:lang w:val="en-US"/>
        </w:rPr>
        <w:t xml:space="preserve">LRFMP model for customer segmentation in the grocery retail industry: a case study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7777777" w:rsidR="00C43C82" w:rsidRDefault="00C43C82" w:rsidP="00C43C82">
      <w:pPr>
        <w:pStyle w:val="TF-TEXTO"/>
      </w:pPr>
      <w:r>
        <w:lastRenderedPageBreak/>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Sendo 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14E598DA"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25" w:name="_Ref81932986"/>
      <w:r>
        <w:t xml:space="preserve">Tabela </w:t>
      </w:r>
      <w:fldSimple w:instr=" SEQ Tabela \* ARABIC ">
        <w:r w:rsidR="00FC266F">
          <w:rPr>
            <w:noProof/>
          </w:rPr>
          <w:t>2</w:t>
        </w:r>
      </w:fldSimple>
      <w:bookmarkEnd w:id="25"/>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13F7A721">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0896B6A2"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lastRenderedPageBreak/>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0A947D7" w:rsidR="00C43C82" w:rsidRPr="00ED0DE3" w:rsidRDefault="00C43C82"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proofErr w:type="spellStart"/>
      <w:r w:rsidRPr="00ED0DE3">
        <w:t>atribuito</w:t>
      </w:r>
      <w:proofErr w:type="spellEnd"/>
      <w:r w:rsidRPr="00ED0DE3">
        <w:t xml:space="preserve">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6D2968" w:rsidRDefault="00C43C82" w:rsidP="00C43C82">
      <w:pPr>
        <w:pStyle w:val="Ttulo2"/>
        <w:rPr>
          <w:lang w:val="en-US"/>
        </w:rPr>
      </w:pPr>
      <w:r w:rsidRPr="006D2968">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w:t>
      </w:r>
      <w:r w:rsidRPr="00ED0DE3">
        <w:lastRenderedPageBreak/>
        <w:t xml:space="preserve">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26" w:name="_Ref82265108"/>
      <w:r w:rsidRPr="0006267B">
        <w:t xml:space="preserve">Figura </w:t>
      </w:r>
      <w:fldSimple w:instr=" SEQ Figura \* ARABIC ">
        <w:r w:rsidR="0043045C" w:rsidRPr="0006267B">
          <w:t>2</w:t>
        </w:r>
      </w:fldSimple>
      <w:bookmarkEnd w:id="26"/>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095814A0">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77777777"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(2018) discorrem sobre possíveis estratégias para cada segmento. Sugerindo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w:t>
      </w:r>
      <w:r w:rsidRPr="00ED0DE3">
        <w:lastRenderedPageBreak/>
        <w:t xml:space="preserve">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r w:rsidR="0043045C">
        <w:t xml:space="preserve"> do protótipo</w:t>
      </w:r>
    </w:p>
    <w:p w14:paraId="53B8BCB5" w14:textId="72154742" w:rsidR="0043045C" w:rsidRDefault="0043045C" w:rsidP="0043045C">
      <w:pPr>
        <w:pStyle w:val="TF-TEXTO"/>
      </w:pPr>
      <w:r>
        <w:t>Esse capítulo visa apresentar a justificativa para a elaboração deste trabalho, os requisitos que serão seguidos e a metodologia que será utilizada. Será apresentada também uma breve revisão bibliográfica das principais áreas de estudo que serão exploradas, bem como os principais termos utilizados.</w:t>
      </w:r>
    </w:p>
    <w:p w14:paraId="29D16A9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41" w:name="_Ref57318354"/>
      <w:r>
        <w:t xml:space="preserve">Quadro </w:t>
      </w:r>
      <w:r w:rsidR="00FC266F">
        <w:t>2</w:t>
      </w:r>
      <w:bookmarkEnd w:id="4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 xml:space="preserve">Alvo da </w:t>
            </w:r>
            <w:proofErr w:type="spellStart"/>
            <w:r>
              <w:t>clusterização</w:t>
            </w:r>
            <w:proofErr w:type="spellEnd"/>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r>
              <w:t>means</w:t>
            </w:r>
            <w:proofErr w:type="spell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r>
              <w:t>means</w:t>
            </w:r>
            <w:proofErr w:type="spell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r>
              <w:t>means</w:t>
            </w:r>
            <w:proofErr w:type="spell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06A83B78"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7EFE2F26" w:rsidR="00C43C82" w:rsidRDefault="00C43C82"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r w:rsidR="00AA3EB7">
        <w:t xml:space="preserve">Ressalta 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69750FFF" w:rsidR="00C43C82" w:rsidRDefault="00C43C82" w:rsidP="00C43C82">
      <w:pPr>
        <w:pStyle w:val="TF-TEXTO"/>
      </w:pPr>
      <w:proofErr w:type="spellStart"/>
      <w:r w:rsidRPr="00EB7324">
        <w:lastRenderedPageBreak/>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454D69BA" w:rsidR="006B0760" w:rsidRPr="0075781C" w:rsidRDefault="00C43C82" w:rsidP="00C43C82">
      <w:pPr>
        <w:pStyle w:val="TF-TEXTO"/>
      </w:pPr>
      <w:r w:rsidRPr="00CE17A9">
        <w:t xml:space="preserve">Desta forma, este trabalho demonstra ser relevante, pois almeja </w:t>
      </w:r>
      <w:r w:rsidR="00CE17A9" w:rsidRPr="00CE17A9">
        <w:t>aplicar o</w:t>
      </w:r>
      <w:r w:rsidRPr="00CE17A9">
        <w:t xml:space="preserve"> modelo RFM </w:t>
      </w:r>
      <w:r w:rsidR="00CE17A9" w:rsidRPr="00CE17A9">
        <w:t xml:space="preserve">em conjunto com vários algoritmos de </w:t>
      </w:r>
      <w:proofErr w:type="spellStart"/>
      <w:r w:rsidR="00CE17A9" w:rsidRPr="00CE17A9">
        <w:t>clusterização</w:t>
      </w:r>
      <w:proofErr w:type="spellEnd"/>
      <w:r w:rsidR="00CE17A9" w:rsidRPr="00CE17A9">
        <w:t xml:space="preserve"> em forma de um artefato computacional</w:t>
      </w:r>
      <w:r w:rsidRPr="00CE17A9">
        <w:t xml:space="preserve"> que se adeque à vários contextos (mercado, comércio, varejo etc.), utilizando </w:t>
      </w:r>
      <w:r w:rsidR="00AA4B56">
        <w:t>várias</w:t>
      </w:r>
      <w:r w:rsidRPr="00CE17A9">
        <w:t xml:space="preserve"> bases de dados reais para testar a validade</w:t>
      </w:r>
      <w:r w:rsidR="00CE17A9" w:rsidRPr="00CE17A9">
        <w:t xml:space="preserve"> dos algoritmos utilizados</w:t>
      </w:r>
      <w:r w:rsidRPr="00CE17A9">
        <w:t>. Vis</w:t>
      </w:r>
      <w:r w:rsidR="00B77E94" w:rsidRPr="00CE17A9">
        <w:t>lumbra-se</w:t>
      </w:r>
      <w:r w:rsidRPr="00CE17A9">
        <w:t xml:space="preserve"> utilizar três índices para validação da </w:t>
      </w:r>
      <w:r w:rsidR="00CE17A9" w:rsidRPr="00CE17A9">
        <w:t>qualidade</w:t>
      </w:r>
      <w:r w:rsidRPr="00CE17A9">
        <w:t xml:space="preserve"> d</w:t>
      </w:r>
      <w:r w:rsidR="00CE17A9" w:rsidRPr="00CE17A9">
        <w:t>os</w:t>
      </w:r>
      <w:r w:rsidRPr="00CE17A9">
        <w:t xml:space="preserve"> clusters (</w:t>
      </w:r>
      <w:proofErr w:type="spellStart"/>
      <w:r w:rsidRPr="00CE17A9">
        <w:t>Silhouette</w:t>
      </w:r>
      <w:proofErr w:type="spellEnd"/>
      <w:r w:rsidRPr="00CE17A9">
        <w:t xml:space="preserve">, </w:t>
      </w:r>
      <w:proofErr w:type="spellStart"/>
      <w:r w:rsidRPr="00CE17A9">
        <w:t>Calinski-Harabasz</w:t>
      </w:r>
      <w:proofErr w:type="spellEnd"/>
      <w:r w:rsidRPr="00CE17A9">
        <w:t xml:space="preserve"> e Davies-</w:t>
      </w:r>
      <w:proofErr w:type="spellStart"/>
      <w:r w:rsidRPr="00CE17A9">
        <w:t>Bouldin</w:t>
      </w:r>
      <w:proofErr w:type="spellEnd"/>
      <w:r w:rsidRPr="00CE17A9">
        <w:rPr>
          <w:rFonts w:ascii="AdvOT8cb2ddbd" w:eastAsia="Calibri" w:hAnsi="AdvOT8cb2ddbd" w:cs="AdvOT8cb2ddbd"/>
          <w:sz w:val="19"/>
          <w:szCs w:val="19"/>
          <w:lang w:eastAsia="en-US"/>
        </w:rPr>
        <w:t>). Além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CE17A9">
        <w:rPr>
          <w:rFonts w:ascii="AdvOT8cb2ddbd" w:eastAsia="Calibri" w:hAnsi="AdvOT8cb2ddbd" w:cs="AdvOT8cb2ddbd"/>
          <w:sz w:val="19"/>
          <w:szCs w:val="19"/>
          <w:lang w:eastAsia="en-US"/>
        </w:rPr>
        <w:t xml:space="preserve"> serão aplicados diferentes algoritmos de </w:t>
      </w:r>
      <w:proofErr w:type="spellStart"/>
      <w:r w:rsidR="00CE17A9" w:rsidRPr="00CE17A9">
        <w:rPr>
          <w:rFonts w:ascii="AdvOT8cb2ddbd" w:eastAsia="Calibri" w:hAnsi="AdvOT8cb2ddbd" w:cs="AdvOT8cb2ddbd"/>
          <w:sz w:val="19"/>
          <w:szCs w:val="19"/>
          <w:lang w:eastAsia="en-US"/>
        </w:rPr>
        <w:t>clusterização</w:t>
      </w:r>
      <w:proofErr w:type="spellEnd"/>
      <w:r w:rsidRPr="00CE17A9">
        <w:rPr>
          <w:rFonts w:ascii="AdvOT8cb2ddbd" w:eastAsia="Calibri" w:hAnsi="AdvOT8cb2ddbd" w:cs="AdvOT8cb2ddbd"/>
          <w:sz w:val="19"/>
          <w:szCs w:val="19"/>
          <w:lang w:eastAsia="en-US"/>
        </w:rPr>
        <w:t xml:space="preserve">, podendo providenciar informações sobre </w:t>
      </w:r>
      <w:r w:rsidR="00CE17A9" w:rsidRPr="00CE17A9">
        <w:rPr>
          <w:rFonts w:ascii="AdvOT8cb2ddbd" w:eastAsia="Calibri" w:hAnsi="AdvOT8cb2ddbd" w:cs="AdvOT8cb2ddbd"/>
          <w:sz w:val="19"/>
          <w:szCs w:val="19"/>
          <w:lang w:eastAsia="en-US"/>
        </w:rPr>
        <w:t>seus desempenhos</w:t>
      </w:r>
      <w:r w:rsidR="00460AB5">
        <w:rPr>
          <w:rFonts w:ascii="AdvOT8cb2ddbd" w:eastAsia="Calibri" w:hAnsi="AdvOT8cb2ddbd" w:cs="AdvOT8cb2ddbd"/>
          <w:sz w:val="19"/>
          <w:szCs w:val="19"/>
          <w:lang w:eastAsia="en-US"/>
        </w:rPr>
        <w:t xml:space="preserve"> e qualidade de agrupamento</w:t>
      </w:r>
      <w:r w:rsidRPr="00CE17A9">
        <w:rPr>
          <w:rFonts w:ascii="AdvOT8cb2ddbd" w:eastAsia="Calibri" w:hAnsi="AdvOT8cb2ddbd" w:cs="AdvOT8cb2ddbd"/>
          <w:sz w:val="19"/>
          <w:szCs w:val="19"/>
          <w:lang w:eastAsia="en-US"/>
        </w:rPr>
        <w:t xml:space="preserve">, </w:t>
      </w:r>
      <w:r w:rsidR="00CE17A9" w:rsidRPr="00CE17A9">
        <w:rPr>
          <w:rFonts w:ascii="AdvOT8cb2ddbd" w:eastAsia="Calibri" w:hAnsi="AdvOT8cb2ddbd" w:cs="AdvOT8cb2ddbd"/>
          <w:sz w:val="19"/>
          <w:szCs w:val="19"/>
          <w:lang w:eastAsia="en-US"/>
        </w:rPr>
        <w:t>além de</w:t>
      </w:r>
      <w:r w:rsidRPr="00CE17A9">
        <w:rPr>
          <w:rFonts w:ascii="AdvOT8cb2ddbd" w:eastAsia="Calibri" w:hAnsi="AdvOT8cb2ddbd" w:cs="AdvOT8cb2ddbd"/>
          <w:sz w:val="19"/>
          <w:szCs w:val="19"/>
          <w:lang w:eastAsia="en-US"/>
        </w:rPr>
        <w:t xml:space="preserve"> ser aplicados processos de obtenção, limpeza e transformação de dados</w:t>
      </w:r>
      <w:r w:rsidR="00B77E94" w:rsidRPr="00CE17A9">
        <w:rPr>
          <w:rFonts w:ascii="AdvOT8cb2ddbd" w:eastAsia="Calibri" w:hAnsi="AdvOT8cb2ddbd" w:cs="AdvOT8cb2ddbd"/>
          <w:sz w:val="19"/>
          <w:szCs w:val="19"/>
          <w:lang w:eastAsia="en-US"/>
        </w:rPr>
        <w:t>.</w:t>
      </w:r>
    </w:p>
    <w:p w14:paraId="51E0058B" w14:textId="77777777" w:rsidR="00451B94" w:rsidRDefault="00451B94" w:rsidP="00E638A0">
      <w:pPr>
        <w:pStyle w:val="Ttulo2"/>
      </w:pPr>
      <w:r>
        <w:t>REQUISITOS PRINCIPAIS DO PROBLEMA A SER TRABALHADO</w:t>
      </w:r>
      <w:bookmarkEnd w:id="34"/>
      <w:bookmarkEnd w:id="35"/>
      <w:bookmarkEnd w:id="36"/>
      <w:bookmarkEnd w:id="37"/>
      <w:bookmarkEnd w:id="38"/>
      <w:bookmarkEnd w:id="39"/>
      <w:bookmarkEnd w:id="40"/>
    </w:p>
    <w:p w14:paraId="35CBE4EA" w14:textId="68EEAF2D" w:rsidR="00C43C82" w:rsidRDefault="00C43C82" w:rsidP="00C43C82">
      <w:pPr>
        <w:pStyle w:val="TF-TEXTO"/>
      </w:pPr>
      <w:r>
        <w:t xml:space="preserve">O </w:t>
      </w:r>
      <w:r w:rsidR="00EF6B4E">
        <w:t>artefato computacional</w:t>
      </w:r>
      <w:r>
        <w:t xml:space="preserve"> </w:t>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extrair dos clientes as características (</w:t>
      </w:r>
      <w:proofErr w:type="spellStart"/>
      <w:r>
        <w:t>recência</w:t>
      </w:r>
      <w:proofErr w:type="spellEnd"/>
      <w:r>
        <w:t xml:space="preserve">,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785DE9D6" w:rsidR="00C43C82" w:rsidRDefault="00C43C82" w:rsidP="00C43C82">
      <w:pPr>
        <w:pStyle w:val="TF-ALNEA"/>
        <w:numPr>
          <w:ilvl w:val="0"/>
          <w:numId w:val="5"/>
        </w:numPr>
      </w:pPr>
      <w:r>
        <w:t>utilizar algoritmo</w:t>
      </w:r>
      <w:r w:rsidR="00FF40D8">
        <w:t>s</w:t>
      </w:r>
      <w:r>
        <w:t xml:space="preserve"> de </w:t>
      </w:r>
      <w:proofErr w:type="spellStart"/>
      <w:r>
        <w:t>clusterização</w:t>
      </w:r>
      <w:proofErr w:type="spellEnd"/>
      <w:r>
        <w:t xml:space="preserve"> </w:t>
      </w:r>
      <w:r w:rsidR="00FF40D8">
        <w:t xml:space="preserve">tais como </w:t>
      </w:r>
      <w:r>
        <w:t>K-</w:t>
      </w:r>
      <w:proofErr w:type="spellStart"/>
      <w:r>
        <w:t>means</w:t>
      </w:r>
      <w:proofErr w:type="spellEnd"/>
      <w:r w:rsidR="00FF40D8">
        <w:t xml:space="preserve">, </w:t>
      </w:r>
      <w:proofErr w:type="spellStart"/>
      <w:r w:rsidR="00FF40D8">
        <w:t>mean</w:t>
      </w:r>
      <w:proofErr w:type="spellEnd"/>
      <w:r w:rsidR="00FF40D8">
        <w:t xml:space="preserve">-shift e DBSCAN </w:t>
      </w:r>
      <w:r>
        <w:t>(RF)</w:t>
      </w:r>
      <w:r w:rsidR="00B77E94">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 xml:space="preserve">utilizar o ambiente de desenvolvimento </w:t>
      </w:r>
      <w:proofErr w:type="spellStart"/>
      <w:r>
        <w:t>Jupyter</w:t>
      </w:r>
      <w:proofErr w:type="spellEnd"/>
      <w:r>
        <w:t xml:space="preserve"> Notebook (RNF);</w:t>
      </w:r>
    </w:p>
    <w:p w14:paraId="1A41784B" w14:textId="4B965510" w:rsidR="00451B94" w:rsidRPr="00286FED" w:rsidRDefault="00C43C82" w:rsidP="00C43C82">
      <w:pPr>
        <w:pStyle w:val="TF-ALNEA"/>
        <w:numPr>
          <w:ilvl w:val="0"/>
          <w:numId w:val="5"/>
        </w:numPr>
      </w:pPr>
      <w:r>
        <w:t xml:space="preserve">utilizar o banco de dados </w:t>
      </w:r>
      <w:proofErr w:type="spellStart"/>
      <w:r>
        <w:t>PostgreSQL</w:t>
      </w:r>
      <w:proofErr w:type="spellEnd"/>
      <w:r>
        <w:t xml:space="preserve">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 xml:space="preserve">algoritmos de </w:t>
      </w:r>
      <w:proofErr w:type="spellStart"/>
      <w:r w:rsidR="00FF40D8">
        <w:t>clusterização</w:t>
      </w:r>
      <w:proofErr w:type="spellEnd"/>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lastRenderedPageBreak/>
        <w:t>definição dos algoritmos</w:t>
      </w:r>
      <w:r w:rsidR="001E6B2A">
        <w:t xml:space="preserve"> de </w:t>
      </w:r>
      <w:proofErr w:type="spellStart"/>
      <w:r w:rsidR="001E6B2A">
        <w:t>clusterização</w:t>
      </w:r>
      <w:proofErr w:type="spellEnd"/>
      <w:r>
        <w:t xml:space="preserve">: </w:t>
      </w:r>
      <w:r w:rsidR="001E6B2A">
        <w:t xml:space="preserve">pesquisar e escolher o algoritmo de </w:t>
      </w:r>
      <w:proofErr w:type="spellStart"/>
      <w:r w:rsidR="001E6B2A">
        <w:t>clusterização</w:t>
      </w:r>
      <w:proofErr w:type="spellEnd"/>
      <w:r w:rsidR="001E6B2A">
        <w:t xml:space="preserve">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r w:rsidR="00FF40D8">
        <w:t>artefato computacional</w:t>
      </w:r>
      <w:r>
        <w:t xml:space="preserve"> de segmentação </w:t>
      </w:r>
      <w:r w:rsidR="00FF40D8">
        <w:t>levando em consideração as etapas (b) até (e), utilizando a</w:t>
      </w:r>
      <w:r>
        <w:t xml:space="preserve"> linguagem Python;</w:t>
      </w:r>
    </w:p>
    <w:p w14:paraId="11DB1A26" w14:textId="50099552" w:rsidR="00C43C82" w:rsidRPr="00FF40D8" w:rsidRDefault="00C43C82" w:rsidP="00C43C82">
      <w:pPr>
        <w:pStyle w:val="TF-ALNEA"/>
        <w:numPr>
          <w:ilvl w:val="0"/>
          <w:numId w:val="2"/>
        </w:numPr>
      </w:pPr>
      <w:r w:rsidRPr="00FF40D8">
        <w:t xml:space="preserve">análise dos </w:t>
      </w:r>
      <w:r w:rsidR="00FF40D8" w:rsidRPr="00FF40D8">
        <w:t>clusters</w:t>
      </w:r>
      <w:r w:rsidRPr="00FF40D8">
        <w:t xml:space="preserve">: </w:t>
      </w:r>
      <w:r w:rsidR="00FF40D8">
        <w:t>avaliar a qualidade dos clusters gerados a partir dos diferentes algoritmos</w:t>
      </w:r>
      <w:r w:rsidR="005757FE">
        <w:t xml:space="preserve"> de </w:t>
      </w:r>
      <w:proofErr w:type="spellStart"/>
      <w:r w:rsidR="005757FE">
        <w:t>clusterização</w:t>
      </w:r>
      <w:proofErr w:type="spellEnd"/>
      <w:r w:rsidR="005757FE">
        <w:t xml:space="preserve"> e seus comportamentos em múltiplas bases de dados</w:t>
      </w:r>
      <w:r w:rsidR="001E6B2A">
        <w:t>, aplicando índices de validação e apresentando-os na forma de gráficos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42" w:name="_Ref57318818"/>
      <w:r>
        <w:t xml:space="preserve">Quadro </w:t>
      </w:r>
      <w:r w:rsidR="00FC266F">
        <w:t>3</w:t>
      </w:r>
      <w:bookmarkEnd w:id="42"/>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 xml:space="preserve">definição dos algoritmos de </w:t>
            </w:r>
            <w:proofErr w:type="spellStart"/>
            <w:r>
              <w:t>clusterização</w:t>
            </w:r>
            <w:proofErr w:type="spellEnd"/>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00F24374" w14:textId="3EFB20D2" w:rsidR="00BF5478" w:rsidRDefault="00BF5478" w:rsidP="00C43C82">
      <w:pPr>
        <w:pStyle w:val="TF-TEXTO"/>
      </w:pPr>
      <w:r>
        <w:t xml:space="preserve">Neste capítulo 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597A163" w14:textId="2974CD3C" w:rsidR="00C43C82" w:rsidRPr="003C3EF9" w:rsidRDefault="00C43C82"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especializando-se em situações específicas, como o </w:t>
      </w:r>
      <w:proofErr w:type="spellStart"/>
      <w:r w:rsidRPr="003C3EF9">
        <w:rPr>
          <w:i/>
          <w:iCs/>
        </w:rPr>
        <w:t>Density-based</w:t>
      </w:r>
      <w:proofErr w:type="spellEnd"/>
      <w:r w:rsidRPr="003C3EF9">
        <w:rPr>
          <w:i/>
          <w:iCs/>
        </w:rPr>
        <w:t xml:space="preserve"> </w:t>
      </w:r>
      <w:proofErr w:type="spellStart"/>
      <w:r w:rsidRPr="003C3EF9">
        <w:rPr>
          <w:i/>
          <w:iCs/>
        </w:rPr>
        <w:t>spatial</w:t>
      </w:r>
      <w:proofErr w:type="spellEnd"/>
      <w:r w:rsidRPr="003C3EF9">
        <w:rPr>
          <w:i/>
          <w:iCs/>
        </w:rPr>
        <w:t xml:space="preserve"> </w:t>
      </w:r>
      <w:proofErr w:type="spellStart"/>
      <w:r w:rsidRPr="003C3EF9">
        <w:rPr>
          <w:i/>
          <w:iCs/>
        </w:rPr>
        <w:t>clustering</w:t>
      </w:r>
      <w:proofErr w:type="spellEnd"/>
      <w:r w:rsidRPr="003C3EF9">
        <w:rPr>
          <w:i/>
          <w:iCs/>
        </w:rPr>
        <w:t xml:space="preserve"> </w:t>
      </w:r>
      <w:proofErr w:type="spellStart"/>
      <w:r w:rsidRPr="003C3EF9">
        <w:rPr>
          <w:i/>
          <w:iCs/>
        </w:rPr>
        <w:t>of</w:t>
      </w:r>
      <w:proofErr w:type="spellEnd"/>
      <w:r w:rsidRPr="003C3EF9">
        <w:rPr>
          <w:i/>
          <w:iCs/>
        </w:rPr>
        <w:t xml:space="preserve"> </w:t>
      </w:r>
      <w:proofErr w:type="spellStart"/>
      <w:r w:rsidRPr="003C3EF9">
        <w:rPr>
          <w:i/>
          <w:iCs/>
        </w:rPr>
        <w:t>applications</w:t>
      </w:r>
      <w:proofErr w:type="spellEnd"/>
      <w:r w:rsidRPr="003C3EF9">
        <w:rPr>
          <w:i/>
          <w:iCs/>
        </w:rPr>
        <w:t xml:space="preserve"> </w:t>
      </w:r>
      <w:proofErr w:type="spellStart"/>
      <w:r w:rsidRPr="003C3EF9">
        <w:rPr>
          <w:i/>
          <w:iCs/>
        </w:rPr>
        <w:t>with</w:t>
      </w:r>
      <w:proofErr w:type="spellEnd"/>
      <w:r w:rsidRPr="003C3EF9">
        <w:rPr>
          <w:i/>
          <w:iCs/>
        </w:rPr>
        <w:t xml:space="preserve"> </w:t>
      </w:r>
      <w:proofErr w:type="spellStart"/>
      <w:r w:rsidRPr="003C3EF9">
        <w:rPr>
          <w:i/>
          <w:iCs/>
        </w:rPr>
        <w:t>noise</w:t>
      </w:r>
      <w:proofErr w:type="spellEnd"/>
      <w:r>
        <w:t xml:space="preserve"> (DBSCAN),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2761BE7B" w14:textId="0C8A4750" w:rsidR="000B12B2" w:rsidRDefault="00C43C82"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características podem variar, porém geralmente classificam </w:t>
      </w:r>
      <w:proofErr w:type="spellStart"/>
      <w:r>
        <w:t>recência</w:t>
      </w:r>
      <w:proofErr w:type="spellEnd"/>
      <w:r>
        <w:t xml:space="preserve">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630CB42F" w14:textId="564E1A31" w:rsidR="00C43C82" w:rsidRDefault="004824A6" w:rsidP="005F640E">
      <w:pPr>
        <w:pStyle w:val="TF-TEXTO"/>
      </w:pPr>
      <w:r>
        <w:t xml:space="preserve">O índice de </w:t>
      </w:r>
      <w:proofErr w:type="spellStart"/>
      <w:r w:rsidR="00023789">
        <w:t>Silhouette</w:t>
      </w:r>
      <w:proofErr w:type="spellEnd"/>
      <w:r>
        <w:t xml:space="preserve"> é utilizado no conceito de </w:t>
      </w:r>
      <w:proofErr w:type="spellStart"/>
      <w:r>
        <w:t>clusterização</w:t>
      </w:r>
      <w:proofErr w:type="spellEnd"/>
      <w:r>
        <w:t>,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w:t>
      </w:r>
      <w:r w:rsidR="005F640E">
        <w:t xml:space="preserve"> </w:t>
      </w:r>
      <w:r>
        <w:t xml:space="preserve">O índice de </w:t>
      </w:r>
      <w:proofErr w:type="spellStart"/>
      <w:r>
        <w:t>Calinski-Harabasz</w:t>
      </w:r>
      <w:proofErr w:type="spellEnd"/>
      <w:r w:rsidR="005F640E">
        <w:t xml:space="preserve"> é definido como a razão de duas somas calculadas entre todos os clusters: a soma da dispersão </w:t>
      </w:r>
      <w:proofErr w:type="spellStart"/>
      <w:r w:rsidR="005F640E">
        <w:t>intra-clusters</w:t>
      </w:r>
      <w:proofErr w:type="spellEnd"/>
      <w:r w:rsidR="005F640E">
        <w:t xml:space="preserve"> e soma da dispersão </w:t>
      </w:r>
      <w:proofErr w:type="spellStart"/>
      <w:r w:rsidR="005F640E">
        <w:t>inter-clusters</w:t>
      </w:r>
      <w:proofErr w:type="spellEnd"/>
      <w:r w:rsidR="005F640E">
        <w:t xml:space="preserve">. Quanto maior seu valor, melhor a performance da </w:t>
      </w:r>
      <w:proofErr w:type="spellStart"/>
      <w:r w:rsidR="005F640E">
        <w:t>clusterização</w:t>
      </w:r>
      <w:proofErr w:type="spellEnd"/>
      <w:r w:rsidR="005F640E">
        <w:t xml:space="preserve"> observada. Por fim</w:t>
      </w:r>
      <w:r w:rsidR="008901BE">
        <w:t>,</w:t>
      </w:r>
      <w:r w:rsidR="005F640E">
        <w:t xml:space="preserve"> o índice de Davies-</w:t>
      </w:r>
      <w:proofErr w:type="spellStart"/>
      <w:r w:rsidR="005F640E">
        <w:t>Bouldin</w:t>
      </w:r>
      <w:proofErr w:type="spellEnd"/>
      <w:r w:rsidR="005F640E">
        <w:t xml:space="preserve"> indica a similaridade média entre clusters, levando em conta sua distância e tamanho. Um valor baixo para este índice indica uma melhor separação entre os clusters.</w:t>
      </w:r>
    </w:p>
    <w:p w14:paraId="7ADEA90B" w14:textId="089FC0A1" w:rsidR="00641D88" w:rsidRDefault="00451B94" w:rsidP="00641D88">
      <w:pPr>
        <w:pStyle w:val="TF-refernciasbibliogrficasTTULO"/>
      </w:pPr>
      <w:bookmarkStart w:id="43" w:name="_Toc351015602"/>
      <w:bookmarkEnd w:id="27"/>
      <w:bookmarkEnd w:id="28"/>
      <w:bookmarkEnd w:id="29"/>
      <w:bookmarkEnd w:id="30"/>
      <w:bookmarkEnd w:id="31"/>
      <w:bookmarkEnd w:id="32"/>
      <w:bookmarkEnd w:id="33"/>
      <w:r>
        <w:lastRenderedPageBreak/>
        <w:t>Referências</w:t>
      </w:r>
      <w:bookmarkEnd w:id="43"/>
    </w:p>
    <w:p w14:paraId="638B4DFD" w14:textId="2EEACE98" w:rsidR="00641D88" w:rsidRPr="006D2968" w:rsidRDefault="00641D88" w:rsidP="00641D88">
      <w:pPr>
        <w:pStyle w:val="TF-TEXTO"/>
        <w:ind w:firstLine="0"/>
        <w:rPr>
          <w:lang w:val="en-US"/>
        </w:rPr>
      </w:pPr>
      <w:r>
        <w:t xml:space="preserve">CHERKASSKY, Vladimir S.; MULIER, Filip. </w:t>
      </w:r>
      <w:r w:rsidRPr="006D2968">
        <w:rPr>
          <w:lang w:val="en-US"/>
        </w:rPr>
        <w:t xml:space="preserve">Methods for data reduction and dimensionality reduction. In: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p>
    <w:p w14:paraId="63CD6E75" w14:textId="2D09D511" w:rsidR="00641D88" w:rsidRPr="006D2968" w:rsidRDefault="00641D88"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w:t>
      </w:r>
      <w:proofErr w:type="spellStart"/>
      <w:r w:rsidRPr="006D2968">
        <w:rPr>
          <w:lang w:val="en-US"/>
        </w:rPr>
        <w:t>Fery</w:t>
      </w:r>
      <w:proofErr w:type="spellEnd"/>
      <w:r w:rsidRPr="006D2968">
        <w:rPr>
          <w:lang w:val="en-US"/>
        </w:rPr>
        <w:t xml:space="preserve">. Clustering optimization in RFM analysis Based on k-Means. </w:t>
      </w:r>
      <w:r w:rsidRPr="006D2968">
        <w:rPr>
          <w:rStyle w:val="Forte"/>
          <w:lang w:val="en-US"/>
        </w:rPr>
        <w:t>Indonesian Journal Of Electrical Engineering And Computer Science</w:t>
      </w:r>
      <w:r w:rsidRPr="006D2968">
        <w:rPr>
          <w:lang w:val="en-US"/>
        </w:rPr>
        <w:t>, [</w:t>
      </w:r>
      <w:r w:rsidR="0082476B" w:rsidRPr="006D2968">
        <w:rPr>
          <w:lang w:val="en-US"/>
        </w:rPr>
        <w:t>S</w:t>
      </w:r>
      <w:r w:rsidRPr="006D2968">
        <w:rPr>
          <w:rStyle w:val="nfase"/>
          <w:lang w:val="en-US"/>
        </w:rPr>
        <w:t xml:space="preserve">. </w:t>
      </w:r>
      <w:r w:rsidRPr="006D2968">
        <w:rPr>
          <w:rStyle w:val="nfase"/>
          <w:i w:val="0"/>
          <w:iCs w:val="0"/>
          <w:lang w:val="en-US"/>
        </w:rPr>
        <w:t>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5B1376EA" w14:textId="03D37678" w:rsidR="00641D88" w:rsidRPr="006D2968" w:rsidRDefault="00641D88" w:rsidP="00641D88">
      <w:pPr>
        <w:pStyle w:val="TF-TEXTO"/>
        <w:ind w:firstLine="0"/>
        <w:rPr>
          <w:lang w:val="en-US"/>
        </w:rPr>
      </w:pPr>
      <w:r w:rsidRPr="006D2968">
        <w:rPr>
          <w:lang w:val="en-US"/>
        </w:rPr>
        <w:t xml:space="preserve">HUGHES, Arthur Middleton. </w:t>
      </w:r>
      <w:r w:rsidRPr="006D2968">
        <w:rPr>
          <w:rStyle w:val="Forte"/>
          <w:lang w:val="en-US"/>
        </w:rPr>
        <w:t>Strategic Database Marketing 4e</w:t>
      </w:r>
      <w:r w:rsidRPr="006D2968">
        <w:rPr>
          <w:lang w:val="en-US"/>
        </w:rPr>
        <w:t xml:space="preserve">: the masterplan for starting and managing a profitable, customer-based marketing program. 4. ed. [S. </w:t>
      </w:r>
      <w:r w:rsidR="0082476B" w:rsidRPr="006D2968">
        <w:rPr>
          <w:lang w:val="en-US"/>
        </w:rPr>
        <w:t>l</w:t>
      </w:r>
      <w:r w:rsidRPr="006D2968">
        <w:rPr>
          <w:lang w:val="en-US"/>
        </w:rPr>
        <w:t>.]: McGraw-Hill, 2011. 608 p.</w:t>
      </w:r>
    </w:p>
    <w:p w14:paraId="682276C0" w14:textId="2D5ECAB7" w:rsidR="00746165" w:rsidRPr="006D2968" w:rsidRDefault="00641D88"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4BA610F3" w14:textId="1BF0130F" w:rsidR="00746165" w:rsidRPr="006D2968" w:rsidRDefault="00746165"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Strategies for successful CRM implementation. Information Management &amp; Computer Security,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021EA55D" w14:textId="7B8B4AE8" w:rsidR="00641D88" w:rsidRPr="006D2968" w:rsidRDefault="00641D88" w:rsidP="00641D88">
      <w:pPr>
        <w:pStyle w:val="TF-TEXTO"/>
        <w:ind w:firstLine="0"/>
        <w:rPr>
          <w:lang w:val="en-US"/>
        </w:rPr>
      </w:pPr>
      <w:r w:rsidRPr="006D2968">
        <w:rPr>
          <w:lang w:val="en-US"/>
        </w:rPr>
        <w:t xml:space="preserve">PEKER, </w:t>
      </w:r>
      <w:proofErr w:type="spellStart"/>
      <w:r w:rsidRPr="006D2968">
        <w:rPr>
          <w:lang w:val="en-US"/>
        </w:rPr>
        <w:t>Serhat</w:t>
      </w:r>
      <w:proofErr w:type="spellEnd"/>
      <w:r w:rsidRPr="006D2968">
        <w:rPr>
          <w:lang w:val="en-US"/>
        </w:rPr>
        <w:t xml:space="preserve">; KOCYIGIT, </w:t>
      </w:r>
      <w:proofErr w:type="spellStart"/>
      <w:r w:rsidRPr="006D2968">
        <w:rPr>
          <w:lang w:val="en-US"/>
        </w:rPr>
        <w:t>Altan</w:t>
      </w:r>
      <w:proofErr w:type="spellEnd"/>
      <w:r w:rsidRPr="006D2968">
        <w:rPr>
          <w:lang w:val="en-US"/>
        </w:rPr>
        <w:t xml:space="preserve">;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6CBA880C" w14:textId="0FC176C5" w:rsidR="00641D88" w:rsidRPr="006D2968" w:rsidRDefault="00641D88"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4B021518" w14:textId="77777777" w:rsidR="00641D88" w:rsidRPr="006D2968" w:rsidRDefault="00641D88" w:rsidP="00641D88">
      <w:pPr>
        <w:pStyle w:val="TF-TEXTO"/>
        <w:ind w:firstLine="0"/>
        <w:rPr>
          <w:lang w:val="en-US"/>
        </w:rPr>
      </w:pPr>
      <w:r w:rsidRPr="006D2968">
        <w:rPr>
          <w:lang w:val="en-US"/>
        </w:rPr>
        <w:t xml:space="preserve">RASHID, Mohammad A.; HOSSAIN, Liaquat; PATRICK, Jon David. The Evolution of ERP Systems: a historical perspective. In: NAH, Fiona </w:t>
      </w:r>
      <w:proofErr w:type="spellStart"/>
      <w:r w:rsidRPr="006D2968">
        <w:rPr>
          <w:lang w:val="en-US"/>
        </w:rPr>
        <w:t>Fui-Hoon</w:t>
      </w:r>
      <w:proofErr w:type="spellEnd"/>
      <w:r w:rsidRPr="006D2968">
        <w:rPr>
          <w:lang w:val="en-US"/>
        </w:rPr>
        <w:t xml:space="preserve">.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29F0174E" w14:textId="2893A446" w:rsidR="00641D88" w:rsidRPr="006D2968" w:rsidRDefault="00641D88"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7ABAE027" w14:textId="5140A0F2" w:rsidR="00641D88" w:rsidRPr="006D2968" w:rsidRDefault="00641D88" w:rsidP="00641D88">
      <w:pPr>
        <w:pStyle w:val="TF-TEXTO"/>
        <w:ind w:firstLine="0"/>
        <w:rPr>
          <w:lang w:val="en-US"/>
        </w:rPr>
      </w:pPr>
      <w:r w:rsidRPr="006D2968">
        <w:rPr>
          <w:lang w:val="en-US"/>
        </w:rPr>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w:t>
      </w:r>
      <w:r w:rsidR="0082476B">
        <w:t>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1FA2C25B" w14:textId="0ABACB3D" w:rsidR="00A4118A" w:rsidRPr="006D2968" w:rsidRDefault="00A4118A" w:rsidP="00A4118A">
      <w:pPr>
        <w:pStyle w:val="TF-TEXTO"/>
        <w:ind w:firstLine="0"/>
        <w:rPr>
          <w:lang w:val="en-US"/>
        </w:rPr>
      </w:pPr>
      <w:r w:rsidRPr="006D2968">
        <w:rPr>
          <w:lang w:val="en-US"/>
        </w:rPr>
        <w:t xml:space="preserve">TSIPTSIS, Konstantinos K.; CHORIANOPOULOS, </w:t>
      </w:r>
      <w:proofErr w:type="spellStart"/>
      <w:r w:rsidRPr="006D2968">
        <w:rPr>
          <w:lang w:val="en-US"/>
        </w:rPr>
        <w:t>Antonios</w:t>
      </w:r>
      <w:proofErr w:type="spellEnd"/>
      <w:r w:rsidRPr="006D2968">
        <w:rPr>
          <w:lang w:val="en-US"/>
        </w:rPr>
        <w:t>. Data Mining Techniques in CRM: inside customer segmentation. Chichester: John Wiley &amp; Sons, 2009. 374 p.</w:t>
      </w:r>
    </w:p>
    <w:p w14:paraId="6E3629AF" w14:textId="28F8FD9B" w:rsidR="00641D88" w:rsidRDefault="00641D88" w:rsidP="00641D88">
      <w:pPr>
        <w:pStyle w:val="TF-TEXTO"/>
        <w:ind w:firstLine="0"/>
      </w:pPr>
      <w:r w:rsidRPr="006D2968">
        <w:rPr>
          <w:lang w:val="en-US"/>
        </w:rPr>
        <w:t>VERHOEF, Peter C</w:t>
      </w:r>
      <w:r w:rsidR="0082476B" w:rsidRPr="006D2968">
        <w:rPr>
          <w:lang w:val="en-US"/>
        </w:rPr>
        <w:t xml:space="preserve"> </w:t>
      </w:r>
      <w:r w:rsidR="0082476B"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w:t>
      </w:r>
      <w:r w:rsidR="0082476B">
        <w:t>l</w:t>
      </w:r>
      <w:proofErr w:type="spellEnd"/>
      <w:r>
        <w:t>.], v. 34, n. 4, p. 471-481, mar. 2003. Disponível em: https://liacs.leidenuniv.nl/~puttenpwhvander/library/Others/segmpredmodel-hoekstra.pdf. Acesso em: 19 set. 2021.</w:t>
      </w:r>
    </w:p>
    <w:p w14:paraId="3E1F1C9D" w14:textId="7091C923" w:rsidR="0000224C" w:rsidRDefault="0000224C" w:rsidP="00F85B68">
      <w:pPr>
        <w:keepNext w:val="0"/>
        <w:keepLines w:val="0"/>
      </w:pPr>
    </w:p>
    <w:p w14:paraId="23DE43D8" w14:textId="77777777" w:rsidR="00F85B68" w:rsidRPr="00F85B68" w:rsidRDefault="00F85B68" w:rsidP="00F85B68">
      <w:pPr>
        <w:keepNext w:val="0"/>
        <w:keepLines w:val="0"/>
        <w:rPr>
          <w:sz w:val="20"/>
        </w:rPr>
      </w:pPr>
    </w:p>
    <w:sectPr w:rsidR="00F85B68" w:rsidRPr="00F85B68" w:rsidSect="00EC2D7A">
      <w:headerReference w:type="default" r:id="rId16"/>
      <w:footerReference w:type="even"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188A" w14:textId="77777777" w:rsidR="005A2F5D" w:rsidRDefault="005A2F5D">
      <w:r>
        <w:separator/>
      </w:r>
    </w:p>
  </w:endnote>
  <w:endnote w:type="continuationSeparator" w:id="0">
    <w:p w14:paraId="792850A8" w14:textId="77777777" w:rsidR="005A2F5D" w:rsidRDefault="005A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08638986"/>
      <w:docPartObj>
        <w:docPartGallery w:val="Page Numbers (Bottom of Page)"/>
        <w:docPartUnique/>
      </w:docPartObj>
    </w:sdtPr>
    <w:sdtEndPr>
      <w:rPr>
        <w:rStyle w:val="Nmerodepgina"/>
      </w:rPr>
    </w:sdtEndPr>
    <w:sdtContent>
      <w:p w14:paraId="236EB518" w14:textId="75B7F31B"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F8EC6D4" w14:textId="77777777" w:rsidR="00BF39FC" w:rsidRDefault="00BF39FC" w:rsidP="00BF39F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34292739"/>
      <w:docPartObj>
        <w:docPartGallery w:val="Page Numbers (Bottom of Page)"/>
        <w:docPartUnique/>
      </w:docPartObj>
    </w:sdtPr>
    <w:sdtEndPr>
      <w:rPr>
        <w:rStyle w:val="Nmerodepgina"/>
      </w:rPr>
    </w:sdtEndPr>
    <w:sdtContent>
      <w:p w14:paraId="572767C8" w14:textId="41D4A49D"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2A53678" w14:textId="77777777" w:rsidR="00BF39FC" w:rsidRDefault="00BF39FC" w:rsidP="00BF39F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9361" w14:textId="77777777" w:rsidR="005A2F5D" w:rsidRDefault="005A2F5D">
      <w:r>
        <w:separator/>
      </w:r>
    </w:p>
  </w:footnote>
  <w:footnote w:type="continuationSeparator" w:id="0">
    <w:p w14:paraId="49A7AC36" w14:textId="77777777" w:rsidR="005A2F5D" w:rsidRDefault="005A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10765"/>
    <w:rsid w:val="00012922"/>
    <w:rsid w:val="0001575C"/>
    <w:rsid w:val="000179B5"/>
    <w:rsid w:val="00017B62"/>
    <w:rsid w:val="000204E7"/>
    <w:rsid w:val="00022955"/>
    <w:rsid w:val="00023789"/>
    <w:rsid w:val="00023FA0"/>
    <w:rsid w:val="0002602F"/>
    <w:rsid w:val="00030E4A"/>
    <w:rsid w:val="00031A27"/>
    <w:rsid w:val="00031EE0"/>
    <w:rsid w:val="0004641A"/>
    <w:rsid w:val="00052A07"/>
    <w:rsid w:val="000533DA"/>
    <w:rsid w:val="0005457F"/>
    <w:rsid w:val="000608E9"/>
    <w:rsid w:val="00061FEB"/>
    <w:rsid w:val="0006267B"/>
    <w:rsid w:val="000667DF"/>
    <w:rsid w:val="0007209B"/>
    <w:rsid w:val="00075792"/>
    <w:rsid w:val="00080F9C"/>
    <w:rsid w:val="000831A2"/>
    <w:rsid w:val="0008579A"/>
    <w:rsid w:val="00086AA8"/>
    <w:rsid w:val="0008732D"/>
    <w:rsid w:val="0009735C"/>
    <w:rsid w:val="000A104C"/>
    <w:rsid w:val="000A19DE"/>
    <w:rsid w:val="000A3EAB"/>
    <w:rsid w:val="000B12B2"/>
    <w:rsid w:val="000B3868"/>
    <w:rsid w:val="000C1926"/>
    <w:rsid w:val="000C1A18"/>
    <w:rsid w:val="000C648D"/>
    <w:rsid w:val="000C7143"/>
    <w:rsid w:val="000C7E74"/>
    <w:rsid w:val="000D1294"/>
    <w:rsid w:val="000D77C2"/>
    <w:rsid w:val="000E039E"/>
    <w:rsid w:val="000E27F9"/>
    <w:rsid w:val="000E2B1E"/>
    <w:rsid w:val="000E311F"/>
    <w:rsid w:val="000E3A68"/>
    <w:rsid w:val="000E6CE0"/>
    <w:rsid w:val="000F77E3"/>
    <w:rsid w:val="00106DED"/>
    <w:rsid w:val="00107B02"/>
    <w:rsid w:val="0011363A"/>
    <w:rsid w:val="00113A3F"/>
    <w:rsid w:val="001164FE"/>
    <w:rsid w:val="00117C92"/>
    <w:rsid w:val="00125084"/>
    <w:rsid w:val="00125277"/>
    <w:rsid w:val="001375F7"/>
    <w:rsid w:val="001554E9"/>
    <w:rsid w:val="00161F5C"/>
    <w:rsid w:val="00162BF1"/>
    <w:rsid w:val="0016560C"/>
    <w:rsid w:val="001768C5"/>
    <w:rsid w:val="00186092"/>
    <w:rsid w:val="00193A97"/>
    <w:rsid w:val="001948BE"/>
    <w:rsid w:val="0019547B"/>
    <w:rsid w:val="001A12CE"/>
    <w:rsid w:val="001A6292"/>
    <w:rsid w:val="001A7511"/>
    <w:rsid w:val="001B2F1E"/>
    <w:rsid w:val="001B6D5E"/>
    <w:rsid w:val="001C0212"/>
    <w:rsid w:val="001C1EF9"/>
    <w:rsid w:val="001C33B0"/>
    <w:rsid w:val="001C57E6"/>
    <w:rsid w:val="001C5CBB"/>
    <w:rsid w:val="001D465C"/>
    <w:rsid w:val="001D6234"/>
    <w:rsid w:val="001E646A"/>
    <w:rsid w:val="001E682E"/>
    <w:rsid w:val="001E6B2A"/>
    <w:rsid w:val="001F007F"/>
    <w:rsid w:val="001F0D36"/>
    <w:rsid w:val="00202F3F"/>
    <w:rsid w:val="00224BB2"/>
    <w:rsid w:val="00224FB0"/>
    <w:rsid w:val="00235240"/>
    <w:rsid w:val="002368FD"/>
    <w:rsid w:val="0024110F"/>
    <w:rsid w:val="002423AB"/>
    <w:rsid w:val="002440B0"/>
    <w:rsid w:val="0024545A"/>
    <w:rsid w:val="00247676"/>
    <w:rsid w:val="0025685C"/>
    <w:rsid w:val="00272835"/>
    <w:rsid w:val="00276E8F"/>
    <w:rsid w:val="0027792D"/>
    <w:rsid w:val="00281ADC"/>
    <w:rsid w:val="00282723"/>
    <w:rsid w:val="00282788"/>
    <w:rsid w:val="0028617A"/>
    <w:rsid w:val="0029608A"/>
    <w:rsid w:val="002A6617"/>
    <w:rsid w:val="002A7E1B"/>
    <w:rsid w:val="002B0EDC"/>
    <w:rsid w:val="002B4718"/>
    <w:rsid w:val="002C46C5"/>
    <w:rsid w:val="002D21B8"/>
    <w:rsid w:val="002D6260"/>
    <w:rsid w:val="002E6DD1"/>
    <w:rsid w:val="002F027E"/>
    <w:rsid w:val="00312CEA"/>
    <w:rsid w:val="00313B5F"/>
    <w:rsid w:val="00316116"/>
    <w:rsid w:val="00320BFA"/>
    <w:rsid w:val="0032378D"/>
    <w:rsid w:val="00331436"/>
    <w:rsid w:val="00335048"/>
    <w:rsid w:val="00340AD0"/>
    <w:rsid w:val="00340B6D"/>
    <w:rsid w:val="00340C8E"/>
    <w:rsid w:val="00344540"/>
    <w:rsid w:val="003519A3"/>
    <w:rsid w:val="00362443"/>
    <w:rsid w:val="00362C8C"/>
    <w:rsid w:val="0037046F"/>
    <w:rsid w:val="00373EF0"/>
    <w:rsid w:val="00377DA7"/>
    <w:rsid w:val="00380B01"/>
    <w:rsid w:val="00380BA3"/>
    <w:rsid w:val="00383087"/>
    <w:rsid w:val="003941EF"/>
    <w:rsid w:val="003A2B7D"/>
    <w:rsid w:val="003A4A75"/>
    <w:rsid w:val="003A5366"/>
    <w:rsid w:val="003B647A"/>
    <w:rsid w:val="003C5262"/>
    <w:rsid w:val="003D398C"/>
    <w:rsid w:val="003D473B"/>
    <w:rsid w:val="003D4B35"/>
    <w:rsid w:val="003E3478"/>
    <w:rsid w:val="003E4F19"/>
    <w:rsid w:val="003F5F25"/>
    <w:rsid w:val="0040436D"/>
    <w:rsid w:val="00410543"/>
    <w:rsid w:val="004173CC"/>
    <w:rsid w:val="0042356B"/>
    <w:rsid w:val="0042420A"/>
    <w:rsid w:val="004243D2"/>
    <w:rsid w:val="00424610"/>
    <w:rsid w:val="00424AD5"/>
    <w:rsid w:val="0043045C"/>
    <w:rsid w:val="00431C8E"/>
    <w:rsid w:val="00435424"/>
    <w:rsid w:val="0044177E"/>
    <w:rsid w:val="00451B94"/>
    <w:rsid w:val="00455AED"/>
    <w:rsid w:val="00460AB5"/>
    <w:rsid w:val="004661F2"/>
    <w:rsid w:val="00470C41"/>
    <w:rsid w:val="00471B36"/>
    <w:rsid w:val="00474EA3"/>
    <w:rsid w:val="0047690F"/>
    <w:rsid w:val="00476C78"/>
    <w:rsid w:val="00482174"/>
    <w:rsid w:val="004824A6"/>
    <w:rsid w:val="0048576D"/>
    <w:rsid w:val="00493B1A"/>
    <w:rsid w:val="0049495C"/>
    <w:rsid w:val="00497EF6"/>
    <w:rsid w:val="004A3EBA"/>
    <w:rsid w:val="004B42D8"/>
    <w:rsid w:val="004B5047"/>
    <w:rsid w:val="004B6B8F"/>
    <w:rsid w:val="004B7511"/>
    <w:rsid w:val="004C3719"/>
    <w:rsid w:val="004D0934"/>
    <w:rsid w:val="004D30D2"/>
    <w:rsid w:val="004E0350"/>
    <w:rsid w:val="004E23CE"/>
    <w:rsid w:val="004E516B"/>
    <w:rsid w:val="004F7467"/>
    <w:rsid w:val="00500539"/>
    <w:rsid w:val="00503373"/>
    <w:rsid w:val="00503F3F"/>
    <w:rsid w:val="00504693"/>
    <w:rsid w:val="005312EB"/>
    <w:rsid w:val="00536336"/>
    <w:rsid w:val="0054044B"/>
    <w:rsid w:val="00542ED7"/>
    <w:rsid w:val="00550D4A"/>
    <w:rsid w:val="00564A29"/>
    <w:rsid w:val="00564FBC"/>
    <w:rsid w:val="005705A9"/>
    <w:rsid w:val="00572864"/>
    <w:rsid w:val="005757FE"/>
    <w:rsid w:val="00581BD6"/>
    <w:rsid w:val="0058482B"/>
    <w:rsid w:val="0058618A"/>
    <w:rsid w:val="00587002"/>
    <w:rsid w:val="00591611"/>
    <w:rsid w:val="00592BA8"/>
    <w:rsid w:val="005A2F5D"/>
    <w:rsid w:val="005A362B"/>
    <w:rsid w:val="005A4952"/>
    <w:rsid w:val="005A4CE8"/>
    <w:rsid w:val="005B20A1"/>
    <w:rsid w:val="005B2478"/>
    <w:rsid w:val="005B2E12"/>
    <w:rsid w:val="005B530D"/>
    <w:rsid w:val="005C21FC"/>
    <w:rsid w:val="005C30AE"/>
    <w:rsid w:val="005E35F3"/>
    <w:rsid w:val="005E400D"/>
    <w:rsid w:val="005E698D"/>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277E"/>
    <w:rsid w:val="006364F4"/>
    <w:rsid w:val="00640352"/>
    <w:rsid w:val="00641D88"/>
    <w:rsid w:val="006426D5"/>
    <w:rsid w:val="00642924"/>
    <w:rsid w:val="006466FF"/>
    <w:rsid w:val="00646A5F"/>
    <w:rsid w:val="006475C1"/>
    <w:rsid w:val="00656C00"/>
    <w:rsid w:val="00656C83"/>
    <w:rsid w:val="00661967"/>
    <w:rsid w:val="00661F61"/>
    <w:rsid w:val="006638B1"/>
    <w:rsid w:val="00671B49"/>
    <w:rsid w:val="00674155"/>
    <w:rsid w:val="006746CA"/>
    <w:rsid w:val="00676358"/>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D2968"/>
    <w:rsid w:val="006E25D2"/>
    <w:rsid w:val="0070391A"/>
    <w:rsid w:val="00706486"/>
    <w:rsid w:val="007214E3"/>
    <w:rsid w:val="007222F7"/>
    <w:rsid w:val="00724679"/>
    <w:rsid w:val="00725368"/>
    <w:rsid w:val="007304F3"/>
    <w:rsid w:val="00730839"/>
    <w:rsid w:val="00730F60"/>
    <w:rsid w:val="00733FF9"/>
    <w:rsid w:val="0073452F"/>
    <w:rsid w:val="00746165"/>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A58D0"/>
    <w:rsid w:val="007A6C1F"/>
    <w:rsid w:val="007D0720"/>
    <w:rsid w:val="007D10F2"/>
    <w:rsid w:val="007D207E"/>
    <w:rsid w:val="007D6DEC"/>
    <w:rsid w:val="007E4491"/>
    <w:rsid w:val="007E46A1"/>
    <w:rsid w:val="007E730D"/>
    <w:rsid w:val="007E7311"/>
    <w:rsid w:val="007F20C0"/>
    <w:rsid w:val="007F403E"/>
    <w:rsid w:val="00802D0F"/>
    <w:rsid w:val="008072AC"/>
    <w:rsid w:val="00810CEA"/>
    <w:rsid w:val="008114E3"/>
    <w:rsid w:val="008233E5"/>
    <w:rsid w:val="0082476B"/>
    <w:rsid w:val="008329EC"/>
    <w:rsid w:val="00833DE8"/>
    <w:rsid w:val="00833F47"/>
    <w:rsid w:val="008348C3"/>
    <w:rsid w:val="008373B4"/>
    <w:rsid w:val="008404C4"/>
    <w:rsid w:val="00847D37"/>
    <w:rsid w:val="0085001D"/>
    <w:rsid w:val="0085734D"/>
    <w:rsid w:val="00863D3B"/>
    <w:rsid w:val="00867D48"/>
    <w:rsid w:val="00870802"/>
    <w:rsid w:val="00871A41"/>
    <w:rsid w:val="00874E62"/>
    <w:rsid w:val="00886D76"/>
    <w:rsid w:val="008901BE"/>
    <w:rsid w:val="00897019"/>
    <w:rsid w:val="008A04DE"/>
    <w:rsid w:val="008B0A07"/>
    <w:rsid w:val="008B781F"/>
    <w:rsid w:val="008C0069"/>
    <w:rsid w:val="008C1495"/>
    <w:rsid w:val="008C5E2A"/>
    <w:rsid w:val="008D4159"/>
    <w:rsid w:val="008D5522"/>
    <w:rsid w:val="008D69C5"/>
    <w:rsid w:val="008D7404"/>
    <w:rsid w:val="008E0F86"/>
    <w:rsid w:val="008F2DC1"/>
    <w:rsid w:val="008F70AD"/>
    <w:rsid w:val="00900DB1"/>
    <w:rsid w:val="00901FAB"/>
    <w:rsid w:val="009022BF"/>
    <w:rsid w:val="00902976"/>
    <w:rsid w:val="009044C8"/>
    <w:rsid w:val="00911CD9"/>
    <w:rsid w:val="00912B71"/>
    <w:rsid w:val="00914F6D"/>
    <w:rsid w:val="00931632"/>
    <w:rsid w:val="00931D85"/>
    <w:rsid w:val="00932C92"/>
    <w:rsid w:val="009427FA"/>
    <w:rsid w:val="009454E4"/>
    <w:rsid w:val="00946836"/>
    <w:rsid w:val="00947919"/>
    <w:rsid w:val="00951AF4"/>
    <w:rsid w:val="00964CC5"/>
    <w:rsid w:val="0096683A"/>
    <w:rsid w:val="00967611"/>
    <w:rsid w:val="009814F5"/>
    <w:rsid w:val="00984240"/>
    <w:rsid w:val="00987F2B"/>
    <w:rsid w:val="00995B07"/>
    <w:rsid w:val="00996037"/>
    <w:rsid w:val="009A2619"/>
    <w:rsid w:val="009A5850"/>
    <w:rsid w:val="009B10D6"/>
    <w:rsid w:val="009B38C7"/>
    <w:rsid w:val="009C11EE"/>
    <w:rsid w:val="009D65D0"/>
    <w:rsid w:val="009D7E91"/>
    <w:rsid w:val="009E135E"/>
    <w:rsid w:val="009E3C92"/>
    <w:rsid w:val="009E54F4"/>
    <w:rsid w:val="009E71AD"/>
    <w:rsid w:val="009F2BFA"/>
    <w:rsid w:val="00A03A3D"/>
    <w:rsid w:val="00A045C4"/>
    <w:rsid w:val="00A07C45"/>
    <w:rsid w:val="00A10DFA"/>
    <w:rsid w:val="00A1602E"/>
    <w:rsid w:val="00A21708"/>
    <w:rsid w:val="00A22362"/>
    <w:rsid w:val="00A249BA"/>
    <w:rsid w:val="00A307C7"/>
    <w:rsid w:val="00A4118A"/>
    <w:rsid w:val="00A44581"/>
    <w:rsid w:val="00A44B7B"/>
    <w:rsid w:val="00A45093"/>
    <w:rsid w:val="00A50EAF"/>
    <w:rsid w:val="00A602AF"/>
    <w:rsid w:val="00A602F9"/>
    <w:rsid w:val="00A650EE"/>
    <w:rsid w:val="00A662C8"/>
    <w:rsid w:val="00A70DE9"/>
    <w:rsid w:val="00A71157"/>
    <w:rsid w:val="00A73F03"/>
    <w:rsid w:val="00A966E6"/>
    <w:rsid w:val="00AA1CDD"/>
    <w:rsid w:val="00AA3EB7"/>
    <w:rsid w:val="00AA4B56"/>
    <w:rsid w:val="00AB2BE3"/>
    <w:rsid w:val="00AB7834"/>
    <w:rsid w:val="00AC4D5F"/>
    <w:rsid w:val="00AD1D2C"/>
    <w:rsid w:val="00AE0525"/>
    <w:rsid w:val="00AE08DB"/>
    <w:rsid w:val="00AE0A17"/>
    <w:rsid w:val="00AE2729"/>
    <w:rsid w:val="00AE3148"/>
    <w:rsid w:val="00AE5AE2"/>
    <w:rsid w:val="00AE7343"/>
    <w:rsid w:val="00AF67E3"/>
    <w:rsid w:val="00B00A13"/>
    <w:rsid w:val="00B00D69"/>
    <w:rsid w:val="00B00E04"/>
    <w:rsid w:val="00B02F00"/>
    <w:rsid w:val="00B05485"/>
    <w:rsid w:val="00B1458E"/>
    <w:rsid w:val="00B14C51"/>
    <w:rsid w:val="00B20021"/>
    <w:rsid w:val="00B20FDE"/>
    <w:rsid w:val="00B251D9"/>
    <w:rsid w:val="00B42041"/>
    <w:rsid w:val="00B43FBF"/>
    <w:rsid w:val="00B44F11"/>
    <w:rsid w:val="00B50B43"/>
    <w:rsid w:val="00B51846"/>
    <w:rsid w:val="00B62979"/>
    <w:rsid w:val="00B70056"/>
    <w:rsid w:val="00B74D75"/>
    <w:rsid w:val="00B768C5"/>
    <w:rsid w:val="00B77E94"/>
    <w:rsid w:val="00B823A7"/>
    <w:rsid w:val="00B86A51"/>
    <w:rsid w:val="00B90FA5"/>
    <w:rsid w:val="00B919F1"/>
    <w:rsid w:val="00B9651F"/>
    <w:rsid w:val="00BA2260"/>
    <w:rsid w:val="00BB468D"/>
    <w:rsid w:val="00BB4B6D"/>
    <w:rsid w:val="00BC0E8D"/>
    <w:rsid w:val="00BC4F18"/>
    <w:rsid w:val="00BE6551"/>
    <w:rsid w:val="00BF093B"/>
    <w:rsid w:val="00BF39FC"/>
    <w:rsid w:val="00BF5478"/>
    <w:rsid w:val="00BF69DD"/>
    <w:rsid w:val="00BF76F8"/>
    <w:rsid w:val="00C00B88"/>
    <w:rsid w:val="00C05C3A"/>
    <w:rsid w:val="00C06B2A"/>
    <w:rsid w:val="00C35E57"/>
    <w:rsid w:val="00C35E80"/>
    <w:rsid w:val="00C363B4"/>
    <w:rsid w:val="00C40AA2"/>
    <w:rsid w:val="00C4244F"/>
    <w:rsid w:val="00C43C82"/>
    <w:rsid w:val="00C458D3"/>
    <w:rsid w:val="00C55D4D"/>
    <w:rsid w:val="00C632ED"/>
    <w:rsid w:val="00C66150"/>
    <w:rsid w:val="00C70EF5"/>
    <w:rsid w:val="00C756C5"/>
    <w:rsid w:val="00C82195"/>
    <w:rsid w:val="00C82CAE"/>
    <w:rsid w:val="00C83FBD"/>
    <w:rsid w:val="00C8442E"/>
    <w:rsid w:val="00C930A8"/>
    <w:rsid w:val="00CA108B"/>
    <w:rsid w:val="00CA6CDB"/>
    <w:rsid w:val="00CB5E13"/>
    <w:rsid w:val="00CC3524"/>
    <w:rsid w:val="00CD1138"/>
    <w:rsid w:val="00CD27BE"/>
    <w:rsid w:val="00CD29E9"/>
    <w:rsid w:val="00CD4BBC"/>
    <w:rsid w:val="00CD6F0F"/>
    <w:rsid w:val="00CE0BB7"/>
    <w:rsid w:val="00CE17A9"/>
    <w:rsid w:val="00CE3E9A"/>
    <w:rsid w:val="00CE708B"/>
    <w:rsid w:val="00CF26B7"/>
    <w:rsid w:val="00CF6759"/>
    <w:rsid w:val="00CF6E39"/>
    <w:rsid w:val="00CF72DA"/>
    <w:rsid w:val="00D03A6A"/>
    <w:rsid w:val="00D03B57"/>
    <w:rsid w:val="00D0769A"/>
    <w:rsid w:val="00D15B4E"/>
    <w:rsid w:val="00D177E7"/>
    <w:rsid w:val="00D2079F"/>
    <w:rsid w:val="00D41B91"/>
    <w:rsid w:val="00D447EF"/>
    <w:rsid w:val="00D505E2"/>
    <w:rsid w:val="00D6185A"/>
    <w:rsid w:val="00D61EFB"/>
    <w:rsid w:val="00D6498F"/>
    <w:rsid w:val="00D6767F"/>
    <w:rsid w:val="00D73428"/>
    <w:rsid w:val="00D7463D"/>
    <w:rsid w:val="00D765F9"/>
    <w:rsid w:val="00D80F5A"/>
    <w:rsid w:val="00D83DE8"/>
    <w:rsid w:val="00D84943"/>
    <w:rsid w:val="00D87546"/>
    <w:rsid w:val="00D94AE7"/>
    <w:rsid w:val="00D966B3"/>
    <w:rsid w:val="00D970F0"/>
    <w:rsid w:val="00DA4540"/>
    <w:rsid w:val="00DA587E"/>
    <w:rsid w:val="00DA60F4"/>
    <w:rsid w:val="00DA6B03"/>
    <w:rsid w:val="00DA72D4"/>
    <w:rsid w:val="00DB0F8B"/>
    <w:rsid w:val="00DB3052"/>
    <w:rsid w:val="00DC2D17"/>
    <w:rsid w:val="00DE23BF"/>
    <w:rsid w:val="00DE3981"/>
    <w:rsid w:val="00DE40DD"/>
    <w:rsid w:val="00DE55D6"/>
    <w:rsid w:val="00DE7755"/>
    <w:rsid w:val="00DF059A"/>
    <w:rsid w:val="00DF3D56"/>
    <w:rsid w:val="00DF64E9"/>
    <w:rsid w:val="00DF6D19"/>
    <w:rsid w:val="00DF6ED2"/>
    <w:rsid w:val="00DF70F5"/>
    <w:rsid w:val="00E00823"/>
    <w:rsid w:val="00E05428"/>
    <w:rsid w:val="00E2252C"/>
    <w:rsid w:val="00E270C0"/>
    <w:rsid w:val="00E36D82"/>
    <w:rsid w:val="00E406A7"/>
    <w:rsid w:val="00E460B9"/>
    <w:rsid w:val="00E51601"/>
    <w:rsid w:val="00E51965"/>
    <w:rsid w:val="00E638A0"/>
    <w:rsid w:val="00E67121"/>
    <w:rsid w:val="00E70438"/>
    <w:rsid w:val="00E7198D"/>
    <w:rsid w:val="00E735AF"/>
    <w:rsid w:val="00E74CA6"/>
    <w:rsid w:val="00E75E3D"/>
    <w:rsid w:val="00E84491"/>
    <w:rsid w:val="00E9364C"/>
    <w:rsid w:val="00E9731C"/>
    <w:rsid w:val="00EA112D"/>
    <w:rsid w:val="00EA213D"/>
    <w:rsid w:val="00EA4E4C"/>
    <w:rsid w:val="00EB04B7"/>
    <w:rsid w:val="00EB49CD"/>
    <w:rsid w:val="00EB7992"/>
    <w:rsid w:val="00EC0104"/>
    <w:rsid w:val="00EC0184"/>
    <w:rsid w:val="00EC2D7A"/>
    <w:rsid w:val="00EC633A"/>
    <w:rsid w:val="00ED1B9D"/>
    <w:rsid w:val="00ED77AB"/>
    <w:rsid w:val="00EE056F"/>
    <w:rsid w:val="00EE1741"/>
    <w:rsid w:val="00EF43F5"/>
    <w:rsid w:val="00EF6B4E"/>
    <w:rsid w:val="00EF74D7"/>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2AF"/>
    <w:rsid w:val="00F51785"/>
    <w:rsid w:val="00F530D7"/>
    <w:rsid w:val="00F541E6"/>
    <w:rsid w:val="00F62F49"/>
    <w:rsid w:val="00F640BF"/>
    <w:rsid w:val="00F70754"/>
    <w:rsid w:val="00F77926"/>
    <w:rsid w:val="00F83A19"/>
    <w:rsid w:val="00F85B68"/>
    <w:rsid w:val="00F879A1"/>
    <w:rsid w:val="00F92FC4"/>
    <w:rsid w:val="00F9793C"/>
    <w:rsid w:val="00FA0C14"/>
    <w:rsid w:val="00FA137A"/>
    <w:rsid w:val="00FA5504"/>
    <w:rsid w:val="00FB4B02"/>
    <w:rsid w:val="00FC266F"/>
    <w:rsid w:val="00FC2831"/>
    <w:rsid w:val="00FC2D40"/>
    <w:rsid w:val="00FC3600"/>
    <w:rsid w:val="00FC4A9F"/>
    <w:rsid w:val="00FC565B"/>
    <w:rsid w:val="00FC66BA"/>
    <w:rsid w:val="00FE006E"/>
    <w:rsid w:val="00FE00FA"/>
    <w:rsid w:val="00FE197E"/>
    <w:rsid w:val="00FF01EE"/>
    <w:rsid w:val="00FF0DF1"/>
    <w:rsid w:val="00FF26AA"/>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7505918">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6646</Words>
  <Characters>37902</Characters>
  <Application>Microsoft Office Word</Application>
  <DocSecurity>0</DocSecurity>
  <Lines>315</Lines>
  <Paragraphs>88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2021-10-10T14:52:00Z</dcterms:created>
  <dcterms:modified xsi:type="dcterms:W3CDTF">2021-10-10T14:52:00Z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