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xml:space="preserve">– </w:t>
      </w:r>
      <w:proofErr w:type="spellStart"/>
      <w:r>
        <w:t>Coorientador</w:t>
      </w:r>
      <w:proofErr w:type="spellEnd"/>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destes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 tradução nossa)</w:t>
      </w:r>
      <w:r w:rsidR="00022955" w:rsidRPr="00CF6759">
        <w:t xml:space="preserve">. </w:t>
      </w:r>
    </w:p>
    <w:p w14:paraId="74972D9B" w14:textId="05E735E8" w:rsidR="00901FAB" w:rsidRPr="00CF6759" w:rsidRDefault="00022955"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do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proofErr w:type="spellStart"/>
      <w:r w:rsidR="004A3EBA" w:rsidRPr="00CF6759">
        <w:t>Nguyen</w:t>
      </w:r>
      <w:proofErr w:type="spellEnd"/>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w:t>
      </w:r>
      <w:proofErr w:type="spellStart"/>
      <w:r w:rsidR="001C0212" w:rsidRPr="00CF6759">
        <w:t>Kumar</w:t>
      </w:r>
      <w:proofErr w:type="spellEnd"/>
      <w:r w:rsidR="001C0212" w:rsidRPr="00CF6759">
        <w:t xml:space="preserve"> (2008, p.29), </w:t>
      </w:r>
      <w:r w:rsidR="002D21B8" w:rsidRPr="00CF6759">
        <w:t xml:space="preserve">o modelo </w:t>
      </w:r>
      <w:proofErr w:type="spellStart"/>
      <w:r w:rsidR="002D21B8" w:rsidRPr="00CF6759">
        <w:t>Recency-Frequency-Monetary</w:t>
      </w:r>
      <w:proofErr w:type="spellEnd"/>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high-tech 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dos clientes (vendas), dos quais são obtidos os atributos de </w:t>
      </w:r>
      <w:proofErr w:type="spellStart"/>
      <w:r w:rsidR="006C187D" w:rsidRPr="00CF6759">
        <w:t>recência</w:t>
      </w:r>
      <w:proofErr w:type="spellEnd"/>
      <w:r w:rsidR="006C187D" w:rsidRPr="00CF6759">
        <w:t xml:space="preserve"> (R), frequência (F) e monetário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para segmentar clientes</w:t>
      </w:r>
      <w:r w:rsidR="00FC266F" w:rsidRPr="00FC266F">
        <w:t xml:space="preserve">, </w:t>
      </w:r>
      <w:r w:rsidR="005757FE" w:rsidRPr="00FC266F">
        <w:t>extrai</w:t>
      </w:r>
      <w:r w:rsidR="00FC266F">
        <w:t>ndo</w:t>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algoritmos de </w:t>
      </w:r>
      <w:proofErr w:type="spellStart"/>
      <w:r w:rsidRPr="00E70438">
        <w:t>clusterização</w:t>
      </w:r>
      <w:proofErr w:type="spellEnd"/>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23" w:name="_Toc419598587"/>
      <w:r>
        <w:t xml:space="preserve">trabalhos </w:t>
      </w:r>
      <w:r w:rsidRPr="00FC4A9F">
        <w:t>correlatos</w:t>
      </w:r>
    </w:p>
    <w:p w14:paraId="6124AEFB" w14:textId="59612AE5" w:rsidR="00C43C82" w:rsidRPr="004E1041" w:rsidRDefault="00272835" w:rsidP="00C43C82">
      <w:pPr>
        <w:pStyle w:val="TF-TEXTO"/>
      </w:pPr>
      <w:r>
        <w:t xml:space="preserve">Neste capítulo 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r w:rsidR="001C1EF9">
        <w:t xml:space="preserve">proposto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final,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1250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w:t>
      </w:r>
      <w:r>
        <w:lastRenderedPageBreak/>
        <w:t>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4" w:name="_Ref81598703"/>
      <w:r>
        <w:t xml:space="preserve">Figura </w:t>
      </w:r>
      <w:fldSimple w:instr=" SEQ Figura \* ARABIC ">
        <w:r w:rsidR="0043045C">
          <w:rPr>
            <w:noProof/>
          </w:rPr>
          <w:t>1</w:t>
        </w:r>
      </w:fldSimple>
      <w:bookmarkEnd w:id="24"/>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2BA2A3F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número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fldSimple w:instr=" SEQ Tabela \* ARABIC ">
        <w:r w:rsidR="0043045C">
          <w:rPr>
            <w:noProof/>
          </w:rPr>
          <w:t>1</w:t>
        </w:r>
      </w:fldSimple>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Sendo 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5" w:name="_Ref81932986"/>
      <w:r>
        <w:t xml:space="preserve">Tabela </w:t>
      </w:r>
      <w:fldSimple w:instr=" SEQ Tabela \* ARABIC ">
        <w:r w:rsidR="00FC266F">
          <w:rPr>
            <w:noProof/>
          </w:rPr>
          <w:t>2</w:t>
        </w:r>
      </w:fldSimple>
      <w:bookmarkEnd w:id="25"/>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 vale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w:t>
      </w:r>
      <w:r w:rsidRPr="00ED0DE3">
        <w:lastRenderedPageBreak/>
        <w:t xml:space="preserve">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6" w:name="_Ref82265108"/>
      <w:r w:rsidRPr="0006267B">
        <w:t xml:space="preserve">Figura </w:t>
      </w:r>
      <w:fldSimple w:instr=" SEQ Figura \* ARABIC ">
        <w:r w:rsidR="0043045C" w:rsidRPr="0006267B">
          <w:t>2</w:t>
        </w:r>
      </w:fldSimple>
      <w:bookmarkEnd w:id="26"/>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 Sugerindo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w:t>
      </w:r>
      <w:r w:rsidRPr="00ED0DE3">
        <w:lastRenderedPageBreak/>
        <w:t xml:space="preserve">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r w:rsidR="0043045C">
        <w:t xml:space="preserve"> do protótipo</w:t>
      </w:r>
    </w:p>
    <w:p w14:paraId="53B8BCB5" w14:textId="72154742" w:rsidR="0043045C" w:rsidRDefault="0043045C" w:rsidP="0043045C">
      <w:pPr>
        <w:pStyle w:val="TF-TEXTO"/>
      </w:pPr>
      <w:r>
        <w:t>Esse capítulo visa apresentar a justificativa para a elaboração deste trabalho, os requisitos que serão seguidos e a metodologia que será utilizada. Será apresentada também uma breve revisão bibliográfica das principais áreas de estudo que serão exploradas, bem como os principais termos utilizados.</w:t>
      </w:r>
    </w:p>
    <w:p w14:paraId="29D16A9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1" w:name="_Ref57318354"/>
      <w:r>
        <w:t xml:space="preserve">Quadro </w:t>
      </w:r>
      <w:r w:rsidR="00FC266F">
        <w:t>2</w:t>
      </w:r>
      <w:bookmarkEnd w:id="4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r>
              <w:t>means</w:t>
            </w:r>
            <w:proofErr w:type="spell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r>
              <w:t>means</w:t>
            </w:r>
            <w:proofErr w:type="spell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r>
              <w:t>means</w:t>
            </w:r>
            <w:proofErr w:type="spell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r w:rsidR="00AA3EB7">
        <w:t xml:space="preserve">Ressalta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proofErr w:type="spellStart"/>
      <w:r w:rsidRPr="00EB7324">
        <w:lastRenderedPageBreak/>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454D69BA" w:rsidR="006B0760" w:rsidRPr="0075781C" w:rsidRDefault="00C43C82" w:rsidP="00C43C82">
      <w:pPr>
        <w:pStyle w:val="TF-TEXTO"/>
      </w:pPr>
      <w:r w:rsidRPr="00CE17A9">
        <w:t xml:space="preserve">Desta forma, este trabalho demonstra ser relevante, pois almeja </w:t>
      </w:r>
      <w:r w:rsidR="00CE17A9" w:rsidRPr="00CE17A9">
        <w:t>aplicar o</w:t>
      </w:r>
      <w:r w:rsidRPr="00CE17A9">
        <w:t xml:space="preserve"> modelo RFM </w:t>
      </w:r>
      <w:r w:rsidR="00CE17A9" w:rsidRPr="00CE17A9">
        <w:t xml:space="preserve">em conjunto com vários algoritmos de </w:t>
      </w:r>
      <w:proofErr w:type="spellStart"/>
      <w:r w:rsidR="00CE17A9" w:rsidRPr="00CE17A9">
        <w:t>clusterização</w:t>
      </w:r>
      <w:proofErr w:type="spellEnd"/>
      <w:r w:rsidR="00CE17A9" w:rsidRPr="00CE17A9">
        <w:t xml:space="preserve"> em forma de um artefato computacional</w:t>
      </w:r>
      <w:r w:rsidRPr="00CE17A9">
        <w:t xml:space="preserve"> que se adeque à vários contextos (mercado, comércio, varejo etc.), utilizando </w:t>
      </w:r>
      <w:r w:rsidR="00AA4B56">
        <w:t>várias</w:t>
      </w:r>
      <w:r w:rsidRPr="00CE17A9">
        <w:t xml:space="preserve"> bases de dados reais para testar a validade</w:t>
      </w:r>
      <w:r w:rsidR="00CE17A9" w:rsidRPr="00CE17A9">
        <w:t xml:space="preserve"> dos algoritmos utilizados</w:t>
      </w:r>
      <w:r w:rsidRPr="00CE17A9">
        <w:t>. Vis</w:t>
      </w:r>
      <w:r w:rsidR="00B77E94" w:rsidRPr="00CE17A9">
        <w:t>lumbra-se</w:t>
      </w:r>
      <w:r w:rsidRPr="00CE17A9">
        <w:t xml:space="preserve"> utilizar três índices para validação da </w:t>
      </w:r>
      <w:r w:rsidR="00CE17A9" w:rsidRPr="00CE17A9">
        <w:t>qualidade</w:t>
      </w:r>
      <w:r w:rsidRPr="00CE17A9">
        <w:t xml:space="preserve"> d</w:t>
      </w:r>
      <w:r w:rsidR="00CE17A9" w:rsidRPr="00CE17A9">
        <w:t>os</w:t>
      </w:r>
      <w:r w:rsidRPr="00CE17A9">
        <w:t xml:space="preserve"> clusters (</w:t>
      </w:r>
      <w:proofErr w:type="spellStart"/>
      <w:r w:rsidRPr="00CE17A9">
        <w:t>Silhouette</w:t>
      </w:r>
      <w:proofErr w:type="spellEnd"/>
      <w:r w:rsidRPr="00CE17A9">
        <w:t xml:space="preserve">, </w:t>
      </w:r>
      <w:proofErr w:type="spellStart"/>
      <w:r w:rsidRPr="00CE17A9">
        <w:t>Calinski-Harabasz</w:t>
      </w:r>
      <w:proofErr w:type="spellEnd"/>
      <w:r w:rsidRPr="00CE17A9">
        <w:t xml:space="preserve"> e Davies-</w:t>
      </w:r>
      <w:proofErr w:type="spellStart"/>
      <w:r w:rsidRPr="00CE17A9">
        <w:t>Bouldin</w:t>
      </w:r>
      <w:proofErr w:type="spellEnd"/>
      <w:r w:rsidRPr="00CE17A9">
        <w:rPr>
          <w:rFonts w:ascii="AdvOT8cb2ddbd" w:eastAsia="Calibri" w:hAnsi="AdvOT8cb2ddbd" w:cs="AdvOT8cb2ddbd"/>
          <w:sz w:val="19"/>
          <w:szCs w:val="19"/>
          <w:lang w:eastAsia="en-US"/>
        </w:rPr>
        <w:t>). Além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w:t>
      </w:r>
      <w:proofErr w:type="spellStart"/>
      <w:r w:rsidR="00CE17A9" w:rsidRPr="00CE17A9">
        <w:rPr>
          <w:rFonts w:ascii="AdvOT8cb2ddbd" w:eastAsia="Calibri" w:hAnsi="AdvOT8cb2ddbd" w:cs="AdvOT8cb2ddbd"/>
          <w:sz w:val="19"/>
          <w:szCs w:val="19"/>
          <w:lang w:eastAsia="en-US"/>
        </w:rPr>
        <w:t>clusterização</w:t>
      </w:r>
      <w:proofErr w:type="spellEnd"/>
      <w:r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34"/>
      <w:bookmarkEnd w:id="35"/>
      <w:bookmarkEnd w:id="36"/>
      <w:bookmarkEnd w:id="37"/>
      <w:bookmarkEnd w:id="38"/>
      <w:bookmarkEnd w:id="39"/>
      <w:bookmarkEnd w:id="40"/>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w:t>
      </w:r>
      <w:proofErr w:type="spellStart"/>
      <w:r>
        <w:t>clusterização</w:t>
      </w:r>
      <w:proofErr w:type="spellEnd"/>
      <w:r>
        <w:t xml:space="preserve">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 xml:space="preserve">utilizar o banco de dados </w:t>
      </w:r>
      <w:proofErr w:type="spellStart"/>
      <w:r>
        <w:t>PostgreSQL</w:t>
      </w:r>
      <w:proofErr w:type="spellEnd"/>
      <w:r>
        <w:t xml:space="preserve">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lastRenderedPageBreak/>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2" w:name="_Ref57318818"/>
      <w:r>
        <w:t xml:space="preserve">Quadro </w:t>
      </w:r>
      <w:r w:rsidR="00FC266F">
        <w:t>3</w:t>
      </w:r>
      <w:bookmarkEnd w:id="42"/>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r>
        <w:t xml:space="preserve">Neste capítulo 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2974CD3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Density-based</w:t>
      </w:r>
      <w:proofErr w:type="spellEnd"/>
      <w:r w:rsidRPr="003C3EF9">
        <w:rPr>
          <w:i/>
          <w:iCs/>
        </w:rPr>
        <w:t xml:space="preserve"> </w:t>
      </w:r>
      <w:proofErr w:type="spellStart"/>
      <w:r w:rsidRPr="003C3EF9">
        <w:rPr>
          <w:i/>
          <w:iCs/>
        </w:rPr>
        <w:t>spatial</w:t>
      </w:r>
      <w:proofErr w:type="spellEnd"/>
      <w:r w:rsidRPr="003C3EF9">
        <w:rPr>
          <w:i/>
          <w:iCs/>
        </w:rPr>
        <w:t xml:space="preserve"> </w:t>
      </w:r>
      <w:proofErr w:type="spellStart"/>
      <w:r w:rsidRPr="003C3EF9">
        <w:rPr>
          <w:i/>
          <w:iCs/>
        </w:rPr>
        <w:t>clustering</w:t>
      </w:r>
      <w:proofErr w:type="spellEnd"/>
      <w:r w:rsidRPr="003C3EF9">
        <w:rPr>
          <w:i/>
          <w:iCs/>
        </w:rPr>
        <w:t xml:space="preserve"> </w:t>
      </w:r>
      <w:proofErr w:type="spellStart"/>
      <w:r w:rsidRPr="003C3EF9">
        <w:rPr>
          <w:i/>
          <w:iCs/>
        </w:rPr>
        <w:t>of</w:t>
      </w:r>
      <w:proofErr w:type="spellEnd"/>
      <w:r w:rsidRPr="003C3EF9">
        <w:rPr>
          <w:i/>
          <w:iCs/>
        </w:rPr>
        <w:t xml:space="preserve"> </w:t>
      </w:r>
      <w:proofErr w:type="spellStart"/>
      <w:r w:rsidRPr="003C3EF9">
        <w:rPr>
          <w:i/>
          <w:iCs/>
        </w:rPr>
        <w:t>applications</w:t>
      </w:r>
      <w:proofErr w:type="spellEnd"/>
      <w:r w:rsidRPr="003C3EF9">
        <w:rPr>
          <w:i/>
          <w:iCs/>
        </w:rPr>
        <w:t xml:space="preserve"> </w:t>
      </w:r>
      <w:proofErr w:type="spellStart"/>
      <w:r w:rsidRPr="003C3EF9">
        <w:rPr>
          <w:i/>
          <w:iCs/>
        </w:rPr>
        <w:t>with</w:t>
      </w:r>
      <w:proofErr w:type="spellEnd"/>
      <w:r w:rsidRPr="003C3EF9">
        <w:rPr>
          <w:i/>
          <w:iCs/>
        </w:rPr>
        <w:t xml:space="preserve"> </w:t>
      </w:r>
      <w:proofErr w:type="spellStart"/>
      <w:r w:rsidRPr="003C3EF9">
        <w:rPr>
          <w:i/>
          <w:iCs/>
        </w:rPr>
        <w:t>noise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proofErr w:type="spellStart"/>
      <w:r w:rsidR="00023789">
        <w:t>Silhouette</w:t>
      </w:r>
      <w:proofErr w:type="spellEnd"/>
      <w:r>
        <w:t xml:space="preserve"> é utilizado no conceito de </w:t>
      </w:r>
      <w:proofErr w:type="spellStart"/>
      <w:r>
        <w:t>clusterização</w:t>
      </w:r>
      <w:proofErr w:type="spellEnd"/>
      <w:r>
        <w:t>,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xml:space="preserve">. Quanto maior seu valor, melhor a performance da </w:t>
      </w:r>
      <w:proofErr w:type="spellStart"/>
      <w:r w:rsidR="005F640E">
        <w:t>clusterização</w:t>
      </w:r>
      <w:proofErr w:type="spellEnd"/>
      <w:r w:rsidR="005F640E">
        <w:t xml:space="preserve">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43" w:name="_Toc351015602"/>
      <w:bookmarkEnd w:id="27"/>
      <w:bookmarkEnd w:id="28"/>
      <w:bookmarkEnd w:id="29"/>
      <w:bookmarkEnd w:id="30"/>
      <w:bookmarkEnd w:id="31"/>
      <w:bookmarkEnd w:id="32"/>
      <w:bookmarkEnd w:id="33"/>
      <w:r>
        <w:lastRenderedPageBreak/>
        <w:t>Referências</w:t>
      </w:r>
      <w:bookmarkEnd w:id="43"/>
    </w:p>
    <w:p w14:paraId="638B4DFD" w14:textId="2EEACE98" w:rsidR="00641D88" w:rsidRPr="006D2968" w:rsidRDefault="00641D88" w:rsidP="00641D88">
      <w:pPr>
        <w:pStyle w:val="TF-TEXTO"/>
        <w:ind w:firstLine="0"/>
        <w:rPr>
          <w:lang w:val="en-US"/>
        </w:rPr>
      </w:pPr>
      <w:r>
        <w:t xml:space="preserve">CHERKASSKY, Vladimir S.; MULIER, Filip. </w:t>
      </w:r>
      <w:r w:rsidRPr="006D2968">
        <w:rPr>
          <w:lang w:val="en-US"/>
        </w:rPr>
        <w:t xml:space="preserve">Methods for data reduction and dimensionality reduction. In: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63CD6E75" w14:textId="2D09D511" w:rsidR="00641D88" w:rsidRPr="006D2968" w:rsidRDefault="00641D88"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5B1376EA" w14:textId="03D37678" w:rsidR="00641D88" w:rsidRPr="006D2968" w:rsidRDefault="00641D88" w:rsidP="00641D88">
      <w:pPr>
        <w:pStyle w:val="TF-TEXTO"/>
        <w:ind w:firstLine="0"/>
        <w:rPr>
          <w:lang w:val="en-US"/>
        </w:rPr>
      </w:pPr>
      <w:r w:rsidRPr="006D2968">
        <w:rPr>
          <w:lang w:val="en-US"/>
        </w:rPr>
        <w:t xml:space="preserve">HUGHES, Arthur Middleton.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Strategies for successful CRM implementation. Information Management &amp; Computer Security,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021EA55D" w14:textId="7B8B4AE8" w:rsidR="00641D88" w:rsidRPr="006D2968" w:rsidRDefault="00641D88"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w:t>
      </w:r>
      <w:r w:rsidR="0082476B">
        <w:t>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1FA2C25B" w14:textId="0ABACB3D" w:rsidR="00A4118A" w:rsidRPr="006D2968" w:rsidRDefault="00A4118A"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Data Mining Techniques in CRM: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5A621887" w14:textId="77777777" w:rsidR="006D2968" w:rsidRDefault="006D2968">
      <w:pPr>
        <w:keepNext w:val="0"/>
        <w:keepLines w:val="0"/>
        <w:rPr>
          <w:sz w:val="20"/>
        </w:rPr>
      </w:pPr>
      <w:r>
        <w:br w:type="page"/>
      </w:r>
    </w:p>
    <w:p w14:paraId="1E066F4B" w14:textId="77777777" w:rsidR="00B9651F" w:rsidRPr="00320BFA" w:rsidRDefault="00B9651F" w:rsidP="00B9651F">
      <w:pPr>
        <w:pStyle w:val="TF-xAvalTTULO"/>
      </w:pPr>
      <w:r w:rsidRPr="00320BFA">
        <w:lastRenderedPageBreak/>
        <w:t>FORMULÁRIO  DE  avaliação</w:t>
      </w:r>
      <w:r>
        <w:t xml:space="preserve"> </w:t>
      </w:r>
      <w:r w:rsidRPr="00320BFA">
        <w:t xml:space="preserve">– PROFESSOR </w:t>
      </w:r>
      <w:r>
        <w:t>AVALIADOR</w:t>
      </w:r>
    </w:p>
    <w:p w14:paraId="77E856FA" w14:textId="03CA383A" w:rsidR="00B9651F" w:rsidRDefault="00B9651F" w:rsidP="00B9651F">
      <w:pPr>
        <w:pStyle w:val="TF-xAvalLINHA"/>
      </w:pPr>
      <w:r w:rsidRPr="00320BFA">
        <w:t>Avaliador(a):</w:t>
      </w:r>
      <w:r w:rsidRPr="00320BFA">
        <w:tab/>
      </w:r>
      <w:r w:rsidRPr="00B9651F">
        <w:rPr>
          <w:b/>
          <w:bCs/>
        </w:rPr>
        <w:t>Andreza Sartori</w:t>
      </w:r>
    </w:p>
    <w:p w14:paraId="275DA0A5" w14:textId="77777777" w:rsidR="00B9651F" w:rsidRPr="00C767AD" w:rsidRDefault="00B9651F" w:rsidP="00B9651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B9651F" w:rsidRPr="00320BFA" w14:paraId="4A1D943F"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DE89C1A" w14:textId="77777777" w:rsidR="00B9651F" w:rsidRPr="00320BFA" w:rsidRDefault="00B9651F"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FB97A31" w14:textId="77777777" w:rsidR="00B9651F" w:rsidRPr="00320BFA" w:rsidRDefault="00B9651F"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991A775" w14:textId="77777777" w:rsidR="00B9651F" w:rsidRPr="00320BFA" w:rsidRDefault="00B9651F"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3D1FE82" w14:textId="77777777" w:rsidR="00B9651F" w:rsidRPr="00320BFA" w:rsidRDefault="00B9651F" w:rsidP="00225EA3">
            <w:pPr>
              <w:pStyle w:val="TF-xAvalITEMTABELA"/>
            </w:pPr>
            <w:r w:rsidRPr="00320BFA">
              <w:t>não atende</w:t>
            </w:r>
          </w:p>
        </w:tc>
      </w:tr>
      <w:tr w:rsidR="00B9651F" w:rsidRPr="00320BFA" w14:paraId="31675B8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BCD189D" w14:textId="77777777" w:rsidR="00B9651F" w:rsidRPr="0000224C" w:rsidRDefault="00B9651F"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636362C" w14:textId="77777777" w:rsidR="00B9651F" w:rsidRPr="00320BFA" w:rsidRDefault="00B9651F" w:rsidP="00225EA3">
            <w:pPr>
              <w:pStyle w:val="TF-xAvalITEM"/>
              <w:numPr>
                <w:ilvl w:val="0"/>
                <w:numId w:val="13"/>
              </w:numPr>
            </w:pPr>
            <w:r w:rsidRPr="00320BFA">
              <w:t>INTRODUÇÃO</w:t>
            </w:r>
          </w:p>
          <w:p w14:paraId="58C908A1" w14:textId="77777777" w:rsidR="00B9651F" w:rsidRPr="00320BFA" w:rsidRDefault="00B9651F"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35CEFBE" w14:textId="77777777" w:rsidR="00B9651F" w:rsidRPr="00320BFA" w:rsidRDefault="00B9651F"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0F660B0B" w14:textId="77777777" w:rsidR="00B9651F" w:rsidRPr="00320BFA" w:rsidRDefault="00B9651F"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8C24F41" w14:textId="77777777" w:rsidR="00B9651F" w:rsidRPr="00320BFA" w:rsidRDefault="00B9651F" w:rsidP="00225EA3">
            <w:pPr>
              <w:keepNext w:val="0"/>
              <w:keepLines w:val="0"/>
              <w:ind w:left="709" w:hanging="709"/>
              <w:jc w:val="both"/>
              <w:rPr>
                <w:sz w:val="18"/>
              </w:rPr>
            </w:pPr>
          </w:p>
        </w:tc>
      </w:tr>
      <w:tr w:rsidR="00B9651F" w:rsidRPr="00320BFA" w14:paraId="2826B0CB"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2F7853"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27F505" w14:textId="77777777" w:rsidR="00B9651F" w:rsidRPr="00320BFA" w:rsidRDefault="00B9651F"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CEFBE19"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45C9388"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94A90F" w14:textId="77777777" w:rsidR="00B9651F" w:rsidRPr="00320BFA" w:rsidRDefault="00B9651F" w:rsidP="00225EA3">
            <w:pPr>
              <w:keepNext w:val="0"/>
              <w:keepLines w:val="0"/>
              <w:ind w:left="709" w:hanging="709"/>
              <w:jc w:val="both"/>
              <w:rPr>
                <w:sz w:val="18"/>
              </w:rPr>
            </w:pPr>
          </w:p>
        </w:tc>
      </w:tr>
      <w:tr w:rsidR="00B9651F" w:rsidRPr="00320BFA" w14:paraId="1F6B65C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591776"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E60127" w14:textId="77777777" w:rsidR="00B9651F" w:rsidRPr="00320BFA" w:rsidRDefault="00B9651F" w:rsidP="00225EA3">
            <w:pPr>
              <w:pStyle w:val="TF-xAvalITEM"/>
              <w:numPr>
                <w:ilvl w:val="0"/>
                <w:numId w:val="13"/>
              </w:numPr>
            </w:pPr>
            <w:r w:rsidRPr="00320BFA">
              <w:t>OBJETIVOS</w:t>
            </w:r>
          </w:p>
          <w:p w14:paraId="5DC71599" w14:textId="77777777" w:rsidR="00B9651F" w:rsidRPr="00320BFA" w:rsidRDefault="00B9651F"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9948605"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E635D3"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7ABA87C" w14:textId="77777777" w:rsidR="00B9651F" w:rsidRPr="00320BFA" w:rsidRDefault="00B9651F" w:rsidP="00225EA3">
            <w:pPr>
              <w:keepNext w:val="0"/>
              <w:keepLines w:val="0"/>
              <w:ind w:left="709" w:hanging="709"/>
              <w:jc w:val="both"/>
              <w:rPr>
                <w:sz w:val="18"/>
              </w:rPr>
            </w:pPr>
          </w:p>
        </w:tc>
      </w:tr>
      <w:tr w:rsidR="00B9651F" w:rsidRPr="00320BFA" w14:paraId="1AAA4167"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2D519F"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A12D09" w14:textId="77777777" w:rsidR="00B9651F" w:rsidRPr="00320BFA" w:rsidRDefault="00B9651F"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94977E1"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88C2C3"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3A48C61" w14:textId="77777777" w:rsidR="00B9651F" w:rsidRPr="00320BFA" w:rsidRDefault="00B9651F" w:rsidP="00225EA3">
            <w:pPr>
              <w:keepNext w:val="0"/>
              <w:keepLines w:val="0"/>
              <w:ind w:left="709" w:hanging="709"/>
              <w:jc w:val="both"/>
              <w:rPr>
                <w:sz w:val="18"/>
              </w:rPr>
            </w:pPr>
          </w:p>
        </w:tc>
      </w:tr>
      <w:tr w:rsidR="00B9651F" w:rsidRPr="00320BFA" w14:paraId="68475688"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9BCFEE"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484AA30" w14:textId="77777777" w:rsidR="00B9651F" w:rsidRPr="00320BFA" w:rsidRDefault="00B9651F" w:rsidP="00225EA3">
            <w:pPr>
              <w:pStyle w:val="TF-xAvalITEM"/>
              <w:numPr>
                <w:ilvl w:val="0"/>
                <w:numId w:val="13"/>
              </w:numPr>
            </w:pPr>
            <w:r w:rsidRPr="00320BFA">
              <w:t>TRABALHOS CORRELATOS</w:t>
            </w:r>
          </w:p>
          <w:p w14:paraId="3081CD47" w14:textId="77777777" w:rsidR="00B9651F" w:rsidRPr="00320BFA" w:rsidRDefault="00B9651F"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EACEE76"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B45249F"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69AB610" w14:textId="77777777" w:rsidR="00B9651F" w:rsidRPr="00320BFA" w:rsidRDefault="00B9651F" w:rsidP="00225EA3">
            <w:pPr>
              <w:keepNext w:val="0"/>
              <w:keepLines w:val="0"/>
              <w:ind w:left="709" w:hanging="709"/>
              <w:jc w:val="both"/>
              <w:rPr>
                <w:sz w:val="18"/>
              </w:rPr>
            </w:pPr>
          </w:p>
        </w:tc>
      </w:tr>
      <w:tr w:rsidR="00B9651F" w:rsidRPr="00320BFA" w14:paraId="2560396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CF8DA1"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791462" w14:textId="77777777" w:rsidR="00B9651F" w:rsidRPr="00320BFA" w:rsidRDefault="00B9651F" w:rsidP="00225EA3">
            <w:pPr>
              <w:pStyle w:val="TF-xAvalITEM"/>
              <w:numPr>
                <w:ilvl w:val="0"/>
                <w:numId w:val="13"/>
              </w:numPr>
            </w:pPr>
            <w:r w:rsidRPr="00320BFA">
              <w:t>JUSTIFICATIVA</w:t>
            </w:r>
          </w:p>
          <w:p w14:paraId="6C0FC499" w14:textId="77777777" w:rsidR="00B9651F" w:rsidRPr="00320BFA" w:rsidRDefault="00B9651F"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3F608FC"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0C37881"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5F28EE1" w14:textId="77777777" w:rsidR="00B9651F" w:rsidRPr="00320BFA" w:rsidRDefault="00B9651F" w:rsidP="00225EA3">
            <w:pPr>
              <w:keepNext w:val="0"/>
              <w:keepLines w:val="0"/>
              <w:ind w:left="709" w:hanging="709"/>
              <w:jc w:val="both"/>
              <w:rPr>
                <w:sz w:val="18"/>
              </w:rPr>
            </w:pPr>
          </w:p>
        </w:tc>
      </w:tr>
      <w:tr w:rsidR="00B9651F" w:rsidRPr="00320BFA" w14:paraId="24ABC7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87571E"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262245" w14:textId="77777777" w:rsidR="00B9651F" w:rsidRPr="00320BFA" w:rsidRDefault="00B9651F"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7FD7B05"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655360"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43C3435" w14:textId="77777777" w:rsidR="00B9651F" w:rsidRPr="00320BFA" w:rsidRDefault="00B9651F" w:rsidP="00225EA3">
            <w:pPr>
              <w:keepNext w:val="0"/>
              <w:keepLines w:val="0"/>
              <w:ind w:left="709" w:hanging="709"/>
              <w:jc w:val="both"/>
              <w:rPr>
                <w:sz w:val="18"/>
              </w:rPr>
            </w:pPr>
          </w:p>
        </w:tc>
      </w:tr>
      <w:tr w:rsidR="00B9651F" w:rsidRPr="00320BFA" w14:paraId="31F0339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D03B3E0"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18859F" w14:textId="77777777" w:rsidR="00B9651F" w:rsidRPr="00320BFA" w:rsidRDefault="00B9651F"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1CAF84F"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2A4B67C"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3F966F9" w14:textId="77777777" w:rsidR="00B9651F" w:rsidRPr="00320BFA" w:rsidRDefault="00B9651F" w:rsidP="00225EA3">
            <w:pPr>
              <w:keepNext w:val="0"/>
              <w:keepLines w:val="0"/>
              <w:ind w:left="709" w:hanging="709"/>
              <w:jc w:val="both"/>
              <w:rPr>
                <w:sz w:val="18"/>
              </w:rPr>
            </w:pPr>
          </w:p>
        </w:tc>
      </w:tr>
      <w:tr w:rsidR="00B9651F" w:rsidRPr="00320BFA" w14:paraId="6D28B17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F7756D"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E60CD6F" w14:textId="77777777" w:rsidR="00B9651F" w:rsidRPr="00320BFA" w:rsidRDefault="00B9651F" w:rsidP="00225EA3">
            <w:pPr>
              <w:pStyle w:val="TF-xAvalITEM"/>
              <w:numPr>
                <w:ilvl w:val="0"/>
                <w:numId w:val="13"/>
              </w:numPr>
            </w:pPr>
            <w:r w:rsidRPr="00320BFA">
              <w:t>REQUISITOS PRINCIPAIS DO PROBLEMA A SER TRABALHADO</w:t>
            </w:r>
          </w:p>
          <w:p w14:paraId="22B5F850" w14:textId="77777777" w:rsidR="00B9651F" w:rsidRPr="00320BFA" w:rsidRDefault="00B9651F"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A03D88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0956C42"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66FDF0" w14:textId="77777777" w:rsidR="00B9651F" w:rsidRPr="00320BFA" w:rsidRDefault="00B9651F" w:rsidP="00225EA3">
            <w:pPr>
              <w:keepNext w:val="0"/>
              <w:keepLines w:val="0"/>
              <w:ind w:left="709" w:hanging="709"/>
              <w:jc w:val="both"/>
              <w:rPr>
                <w:sz w:val="18"/>
              </w:rPr>
            </w:pPr>
          </w:p>
        </w:tc>
      </w:tr>
      <w:tr w:rsidR="00B9651F" w:rsidRPr="00320BFA" w14:paraId="0A13A20C"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2DBEF5"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039FD5" w14:textId="77777777" w:rsidR="00B9651F" w:rsidRPr="00320BFA" w:rsidRDefault="00B9651F" w:rsidP="00225EA3">
            <w:pPr>
              <w:pStyle w:val="TF-xAvalITEM"/>
              <w:numPr>
                <w:ilvl w:val="0"/>
                <w:numId w:val="13"/>
              </w:numPr>
            </w:pPr>
            <w:r w:rsidRPr="00320BFA">
              <w:t>METODOLOGIA</w:t>
            </w:r>
          </w:p>
          <w:p w14:paraId="79179E9E" w14:textId="77777777" w:rsidR="00B9651F" w:rsidRPr="00320BFA" w:rsidRDefault="00B9651F"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2D178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EEB45F7"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2E804F9" w14:textId="77777777" w:rsidR="00B9651F" w:rsidRPr="00320BFA" w:rsidRDefault="00B9651F" w:rsidP="00225EA3">
            <w:pPr>
              <w:keepNext w:val="0"/>
              <w:keepLines w:val="0"/>
              <w:ind w:left="709" w:hanging="709"/>
              <w:jc w:val="both"/>
              <w:rPr>
                <w:sz w:val="18"/>
              </w:rPr>
            </w:pPr>
          </w:p>
        </w:tc>
      </w:tr>
      <w:tr w:rsidR="00B9651F" w:rsidRPr="00320BFA" w14:paraId="6FE4C563"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3C54D1"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8EA114" w14:textId="77777777" w:rsidR="00B9651F" w:rsidRPr="00320BFA" w:rsidRDefault="00B9651F"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9C65D3A"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F32F32"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16662B0" w14:textId="77777777" w:rsidR="00B9651F" w:rsidRPr="00320BFA" w:rsidRDefault="00B9651F" w:rsidP="00225EA3">
            <w:pPr>
              <w:keepNext w:val="0"/>
              <w:keepLines w:val="0"/>
              <w:ind w:left="709" w:hanging="709"/>
              <w:jc w:val="both"/>
              <w:rPr>
                <w:sz w:val="18"/>
              </w:rPr>
            </w:pPr>
          </w:p>
        </w:tc>
      </w:tr>
      <w:tr w:rsidR="00B9651F" w:rsidRPr="00320BFA" w14:paraId="2C9ACA4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7563CC"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825443" w14:textId="77777777" w:rsidR="00B9651F" w:rsidRPr="00320BFA" w:rsidRDefault="00B9651F" w:rsidP="00225EA3">
            <w:pPr>
              <w:pStyle w:val="TF-xAvalITEM"/>
              <w:numPr>
                <w:ilvl w:val="0"/>
                <w:numId w:val="13"/>
              </w:numPr>
            </w:pPr>
            <w:r w:rsidRPr="00320BFA">
              <w:t>REVISÃO BIBLIOGRÁFICA</w:t>
            </w:r>
            <w:r>
              <w:t xml:space="preserve"> (atenção para a diferença de conteúdo entre projeto e pré-projeto)</w:t>
            </w:r>
          </w:p>
          <w:p w14:paraId="32E76F4C" w14:textId="77777777" w:rsidR="00B9651F" w:rsidRPr="00320BFA" w:rsidRDefault="00B9651F"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3A59218"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1E29A9B"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D51F7C3" w14:textId="77777777" w:rsidR="00B9651F" w:rsidRPr="00320BFA" w:rsidRDefault="00B9651F" w:rsidP="00225EA3">
            <w:pPr>
              <w:keepNext w:val="0"/>
              <w:keepLines w:val="0"/>
              <w:ind w:left="709" w:hanging="709"/>
              <w:jc w:val="both"/>
              <w:rPr>
                <w:sz w:val="18"/>
              </w:rPr>
            </w:pPr>
          </w:p>
        </w:tc>
      </w:tr>
      <w:tr w:rsidR="00B9651F" w:rsidRPr="00320BFA" w14:paraId="2ECEB74A"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5003B4"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DAAE36A" w14:textId="77777777" w:rsidR="00B9651F" w:rsidRPr="00320BFA" w:rsidRDefault="00B9651F"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E316E0"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5F16027"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02644E" w14:textId="77777777" w:rsidR="00B9651F" w:rsidRPr="00320BFA" w:rsidRDefault="00B9651F" w:rsidP="00225EA3">
            <w:pPr>
              <w:keepNext w:val="0"/>
              <w:keepLines w:val="0"/>
              <w:ind w:left="709" w:hanging="709"/>
              <w:jc w:val="both"/>
              <w:rPr>
                <w:sz w:val="18"/>
              </w:rPr>
            </w:pPr>
          </w:p>
        </w:tc>
      </w:tr>
      <w:tr w:rsidR="00B9651F" w:rsidRPr="00320BFA" w14:paraId="2630B702"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5A5924" w14:textId="77777777" w:rsidR="00B9651F" w:rsidRPr="0000224C" w:rsidRDefault="00B9651F"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41A89F3" w14:textId="77777777" w:rsidR="00B9651F" w:rsidRPr="00320BFA" w:rsidRDefault="00B9651F" w:rsidP="00225EA3">
            <w:pPr>
              <w:pStyle w:val="TF-xAvalITEM"/>
              <w:numPr>
                <w:ilvl w:val="0"/>
                <w:numId w:val="13"/>
              </w:numPr>
            </w:pPr>
            <w:r w:rsidRPr="00320BFA">
              <w:t>LINGUAGEM USADA (redação)</w:t>
            </w:r>
          </w:p>
          <w:p w14:paraId="692B213E" w14:textId="77777777" w:rsidR="00B9651F" w:rsidRPr="00320BFA" w:rsidRDefault="00B9651F"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6A72BEE" w14:textId="77777777" w:rsidR="00B9651F" w:rsidRPr="00320BFA" w:rsidRDefault="00B9651F"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64D0C39" w14:textId="77777777" w:rsidR="00B9651F" w:rsidRPr="00320BFA" w:rsidRDefault="00B9651F"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4DABA7B" w14:textId="77777777" w:rsidR="00B9651F" w:rsidRPr="00320BFA" w:rsidRDefault="00B9651F" w:rsidP="00225EA3">
            <w:pPr>
              <w:keepNext w:val="0"/>
              <w:keepLines w:val="0"/>
              <w:ind w:left="709" w:hanging="709"/>
              <w:jc w:val="both"/>
              <w:rPr>
                <w:sz w:val="18"/>
              </w:rPr>
            </w:pPr>
          </w:p>
        </w:tc>
      </w:tr>
      <w:tr w:rsidR="00B9651F" w:rsidRPr="00320BFA" w14:paraId="0357761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E995A7" w14:textId="77777777" w:rsidR="00B9651F" w:rsidRPr="00320BFA" w:rsidRDefault="00B9651F"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D1EFDE9" w14:textId="77777777" w:rsidR="00B9651F" w:rsidRPr="00320BFA" w:rsidRDefault="00B9651F"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8FFB01C" w14:textId="77777777" w:rsidR="00B9651F" w:rsidRPr="00320BFA" w:rsidRDefault="00B9651F"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413DB31" w14:textId="77777777" w:rsidR="00B9651F" w:rsidRPr="00320BFA" w:rsidRDefault="00B9651F"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18CCC969" w14:textId="77777777" w:rsidR="00B9651F" w:rsidRPr="00320BFA" w:rsidRDefault="00B9651F" w:rsidP="00225EA3">
            <w:pPr>
              <w:keepNext w:val="0"/>
              <w:keepLines w:val="0"/>
              <w:ind w:left="709" w:hanging="709"/>
              <w:jc w:val="both"/>
              <w:rPr>
                <w:sz w:val="18"/>
              </w:rPr>
            </w:pPr>
          </w:p>
        </w:tc>
      </w:tr>
    </w:tbl>
    <w:p w14:paraId="4D5B46D9" w14:textId="77777777" w:rsidR="00B9651F" w:rsidRDefault="00B9651F" w:rsidP="00B9651F">
      <w:pPr>
        <w:pStyle w:val="TF-xAvalLINHA"/>
        <w:tabs>
          <w:tab w:val="left" w:leader="underscore" w:pos="6237"/>
        </w:tabs>
      </w:pPr>
    </w:p>
    <w:p w14:paraId="41B9C687" w14:textId="77777777" w:rsidR="00B9651F" w:rsidRDefault="00B9651F" w:rsidP="00B9651F">
      <w:pPr>
        <w:pStyle w:val="TF-xAvalTTULO"/>
        <w:ind w:left="0" w:firstLine="0"/>
        <w:jc w:val="left"/>
      </w:pPr>
    </w:p>
    <w:p w14:paraId="3E1F1C9D" w14:textId="0053DD5F" w:rsidR="0000224C" w:rsidRDefault="0000224C" w:rsidP="00B9651F">
      <w:pPr>
        <w:pStyle w:val="TF-xAvalTTULO"/>
      </w:pPr>
    </w:p>
    <w:sectPr w:rsidR="0000224C" w:rsidSect="00EC2D7A">
      <w:head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1F5C"/>
    <w:rsid w:val="00162BF1"/>
    <w:rsid w:val="0016560C"/>
    <w:rsid w:val="001768C5"/>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177E"/>
    <w:rsid w:val="00451B94"/>
    <w:rsid w:val="00455AED"/>
    <w:rsid w:val="00460AB5"/>
    <w:rsid w:val="004661F2"/>
    <w:rsid w:val="00470C41"/>
    <w:rsid w:val="00471B36"/>
    <w:rsid w:val="00474EA3"/>
    <w:rsid w:val="0047690F"/>
    <w:rsid w:val="00476C78"/>
    <w:rsid w:val="00482174"/>
    <w:rsid w:val="004824A6"/>
    <w:rsid w:val="0048576D"/>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2968"/>
    <w:rsid w:val="006E25D2"/>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86D76"/>
    <w:rsid w:val="008901BE"/>
    <w:rsid w:val="00897019"/>
    <w:rsid w:val="008A04DE"/>
    <w:rsid w:val="008B0A07"/>
    <w:rsid w:val="008B781F"/>
    <w:rsid w:val="008C0069"/>
    <w:rsid w:val="008C1495"/>
    <w:rsid w:val="008C5E2A"/>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B468D"/>
    <w:rsid w:val="00BB4B6D"/>
    <w:rsid w:val="00BC0E8D"/>
    <w:rsid w:val="00BC4F18"/>
    <w:rsid w:val="00BE6551"/>
    <w:rsid w:val="00BF093B"/>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11</Pages>
  <Words>6917</Words>
  <Characters>39662</Characters>
  <Application>Microsoft Office Word</Application>
  <DocSecurity>0</DocSecurity>
  <Lines>330</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38</cp:revision>
  <cp:lastPrinted>2015-03-26T13:00:00Z</cp:lastPrinted>
  <dcterms:created xsi:type="dcterms:W3CDTF">2021-09-26T19:19:00Z</dcterms:created>
  <dcterms:modified xsi:type="dcterms:W3CDTF">2021-10-06T17:11:00Z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