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507263" w14:paraId="00074947" w14:textId="77777777" w:rsidTr="00225EA3">
        <w:tc>
          <w:tcPr>
            <w:tcW w:w="9212" w:type="dxa"/>
            <w:gridSpan w:val="2"/>
            <w:shd w:val="clear" w:color="auto" w:fill="auto"/>
          </w:tcPr>
          <w:p w14:paraId="1652C2C9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507263" w14:paraId="7CF086FF" w14:textId="77777777" w:rsidTr="00225EA3">
        <w:tc>
          <w:tcPr>
            <w:tcW w:w="5778" w:type="dxa"/>
            <w:shd w:val="clear" w:color="auto" w:fill="auto"/>
          </w:tcPr>
          <w:p w14:paraId="3292DB5F" w14:textId="77777777" w:rsidR="00507263" w:rsidRPr="003C5262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6F6964B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F176E60" w14:textId="77777777" w:rsidR="00507263" w:rsidRDefault="00507263" w:rsidP="003D6DAC">
      <w:pPr>
        <w:pStyle w:val="TF-TTULO"/>
        <w:ind w:firstLine="709"/>
      </w:pPr>
    </w:p>
    <w:p w14:paraId="147108DD" w14:textId="7B4B3404" w:rsidR="002B0EDC" w:rsidRPr="00B00E04" w:rsidRDefault="00E7494E" w:rsidP="003D6DAC">
      <w:pPr>
        <w:pStyle w:val="TF-TTULO"/>
        <w:ind w:firstLine="709"/>
      </w:pPr>
      <w:r>
        <w:t>Facilitando acessibiliade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r>
        <w:t xml:space="preserve">Prof. </w:t>
      </w:r>
      <w:r w:rsidR="00E7494E">
        <w:t>Luciana Pereira de Araújo Kohler</w:t>
      </w:r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Content Accessibility Guiselines</w:t>
      </w:r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r w:rsidRPr="00D93297">
        <w:rPr>
          <w:i/>
          <w:iCs/>
        </w:rPr>
        <w:t>Medium</w:t>
      </w:r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7D5636" w:rsidRPr="00F605A1">
        <w:rPr>
          <w:i/>
          <w:iCs/>
        </w:rPr>
        <w:t>apud.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>: monocromacias</w:t>
      </w:r>
      <w:r>
        <w:t>, em que apenas percebe-se níveis de luminosidade, resultando em uma visão “preto e branco”</w:t>
      </w:r>
      <w:r w:rsidR="003601DE">
        <w:t>;</w:t>
      </w:r>
      <w:r>
        <w:t xml:space="preserve"> dicromacias e tricomacias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Deuteranomalia, que ocorre nos cones tipo M, sendo sua ausência denominada Deuteranopia, e resulta em dificuldade na distinção de vermelho/verde e roxo/azul. </w:t>
      </w:r>
      <w:r w:rsidR="00F674B0">
        <w:t>Protanomalia é quando a anomalia se encontra nos cones tipo L, e dificulta a distinção de azul/verde e vermelho/verde</w:t>
      </w:r>
      <w:r w:rsidR="008F4257">
        <w:t>, e total ausência desses cones é denominada Protanopia</w:t>
      </w:r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531B5739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arbitraria,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>Diante deste cenário, este trabalho propõe uma solução para a adequação de sites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lastRenderedPageBreak/>
        <w:t>Os objetivos específicos são:</w:t>
      </w:r>
    </w:p>
    <w:p w14:paraId="2359D673" w14:textId="662A77FA" w:rsidR="00C35E57" w:rsidRDefault="00FF514E" w:rsidP="00C35E57">
      <w:pPr>
        <w:pStyle w:val="TF-ALNEA"/>
      </w:pPr>
      <w:r>
        <w:t>possibilitar que as pessoas com as três diferentes formas de discromatopsia tenham acesso a todo o conteúdo das páginas;</w:t>
      </w:r>
    </w:p>
    <w:p w14:paraId="4884CC20" w14:textId="0EDE45A3" w:rsidR="00C35E57" w:rsidRDefault="00FF514E" w:rsidP="00C35E57">
      <w:pPr>
        <w:pStyle w:val="TF-ALNEA"/>
      </w:pPr>
      <w:r>
        <w:t xml:space="preserve">tornar a solução acessível, utilizando as </w:t>
      </w:r>
      <w:r w:rsidR="00B324F9">
        <w:t>diretrizes de acessibilidade</w:t>
      </w:r>
      <w:r>
        <w:t xml:space="preserve"> 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7AC2D95A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tangencia </w:t>
      </w:r>
      <w:r w:rsidR="00072C95">
        <w:t xml:space="preserve">a </w:t>
      </w:r>
      <w:r w:rsidR="0029636B">
        <w:t>este. A seção 2.1 descreve um módulo do Vis</w:t>
      </w:r>
      <w:r w:rsidR="00671D46">
        <w:t>-</w:t>
      </w:r>
      <w:r w:rsidR="0029636B">
        <w:t>A</w:t>
      </w:r>
      <w:r w:rsidR="00671D46">
        <w:t>-W</w:t>
      </w:r>
      <w:r w:rsidR="0029636B">
        <w:t xml:space="preserve">is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re-colorização de imagens, mantendo detalhes visuais para pessoas daltônicas</w:t>
      </w:r>
    </w:p>
    <w:p w14:paraId="4BC56702" w14:textId="71EF3FFF" w:rsidR="00A44581" w:rsidRPr="0071746D" w:rsidRDefault="0042373B" w:rsidP="00796E4C">
      <w:pPr>
        <w:pStyle w:val="Ttulo2"/>
        <w:rPr>
          <w:lang w:val="en-US"/>
        </w:rPr>
      </w:pPr>
      <w:r w:rsidRPr="0071746D">
        <w:rPr>
          <w:lang w:val="en-US"/>
        </w:rPr>
        <w:t>Increasing Web accessibility through an assisted color specification interface for colorblind people</w:t>
      </w:r>
      <w:r w:rsidR="00A44581" w:rsidRPr="0071746D">
        <w:rPr>
          <w:lang w:val="en-US"/>
        </w:rPr>
        <w:t xml:space="preserve"> </w:t>
      </w:r>
    </w:p>
    <w:p w14:paraId="78AF9078" w14:textId="4C5CBDCE" w:rsidR="00A004FB" w:rsidRDefault="004C6F76" w:rsidP="00A004FB">
      <w:pPr>
        <w:pStyle w:val="TF-TEXTO"/>
      </w:pPr>
      <w:r>
        <w:t>Foti</w:t>
      </w:r>
      <w:r w:rsidR="00A004FB">
        <w:t xml:space="preserve"> </w:t>
      </w:r>
      <w:r w:rsidR="0001629D">
        <w:t xml:space="preserve">e </w:t>
      </w:r>
      <w:r>
        <w:t>Santucci</w:t>
      </w:r>
      <w:r w:rsidR="0001629D">
        <w:t xml:space="preserve"> (2009) desenvolveram</w:t>
      </w:r>
      <w:r w:rsidR="00A004FB">
        <w:t xml:space="preserve"> um módulo para o sistema Vis</w:t>
      </w:r>
      <w:r w:rsidR="0001629D">
        <w:t>-</w:t>
      </w:r>
      <w:r w:rsidR="00A004FB">
        <w:t>A</w:t>
      </w:r>
      <w:r w:rsidR="0001629D">
        <w:t>-W</w:t>
      </w:r>
      <w:r w:rsidR="00A004FB">
        <w:t xml:space="preserve">is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r w:rsidR="004C6F76">
        <w:t>Foti</w:t>
      </w:r>
      <w:r w:rsidR="00C37141">
        <w:t xml:space="preserve"> e </w:t>
      </w:r>
      <w:r w:rsidR="004C6F76">
        <w:t>Santucci</w:t>
      </w:r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>teste Ishihara</w:t>
      </w:r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F605A1">
        <w:rPr>
          <w:i/>
          <w:iCs/>
        </w:rPr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reajustadas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r w:rsidR="00C63032" w:rsidRPr="00FB148D">
        <w:rPr>
          <w:i/>
          <w:iCs/>
        </w:rPr>
        <w:t>Long</w:t>
      </w:r>
      <w:r w:rsidR="00C63032">
        <w:t xml:space="preserve">, </w:t>
      </w:r>
      <w:r w:rsidR="00C63032" w:rsidRPr="00FB148D">
        <w:rPr>
          <w:i/>
          <w:iCs/>
        </w:rPr>
        <w:t>Medium</w:t>
      </w:r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6068E647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>1 ilustra como o módulo para esse usuário</w:t>
      </w:r>
      <w:r>
        <w:t xml:space="preserve"> portador de Protanopia.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r w:rsidR="0038453C" w:rsidRPr="00F605A1">
        <w:rPr>
          <w:i/>
          <w:iCs/>
        </w:rPr>
        <w:t>sliders</w:t>
      </w:r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r w:rsidR="00D4540D" w:rsidRPr="00F605A1">
        <w:rPr>
          <w:i/>
          <w:iCs/>
        </w:rPr>
        <w:t>slider</w:t>
      </w:r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resetar o tipo e refazer o teste. Abaixo disso fica a amostra de website com uma amostra de cada componente. O módulo foi demonstrado na Handymatica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r w:rsidR="00836A21">
        <w:fldChar w:fldCharType="begin"/>
      </w:r>
      <w:r w:rsidR="00836A21">
        <w:instrText xml:space="preserve"> SEQ Figura \* ARABIC </w:instrText>
      </w:r>
      <w:r w:rsidR="00836A21">
        <w:fldChar w:fldCharType="separate"/>
      </w:r>
      <w:r w:rsidR="00D92ADB">
        <w:rPr>
          <w:noProof/>
        </w:rPr>
        <w:t>1</w:t>
      </w:r>
      <w:r w:rsidR="00836A21">
        <w:rPr>
          <w:noProof/>
        </w:rPr>
        <w:fldChar w:fldCharType="end"/>
      </w:r>
      <w:r>
        <w:t>. Módulo na plataforma Vis-A-Wis</w:t>
      </w:r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032E3">
        <w:rPr>
          <w:rStyle w:val="Refdenotadefim"/>
        </w:rPr>
        <w:endnoteReference w:id="1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r w:rsidR="004C6F76">
        <w:t>Foti</w:t>
      </w:r>
      <w:r>
        <w:t xml:space="preserve"> e </w:t>
      </w:r>
      <w:r w:rsidR="004C6F76">
        <w:t xml:space="preserve">Santucci </w:t>
      </w:r>
      <w:r>
        <w:t>(2009)</w:t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>m de identificar cores, o aplicativo ainda busca 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Ionic que é </w:t>
      </w:r>
      <w:r w:rsidR="008E6319" w:rsidRPr="00F605A1">
        <w:rPr>
          <w:i/>
          <w:iCs/>
        </w:rPr>
        <w:t>open-source</w:t>
      </w:r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r w:rsidR="00796E4C">
        <w:t>HyperText Markup Language (</w:t>
      </w:r>
      <w:r w:rsidR="008E6319">
        <w:t>HTML</w:t>
      </w:r>
      <w:r w:rsidR="00796E4C">
        <w:t>)</w:t>
      </w:r>
      <w:r w:rsidR="008E6319">
        <w:t xml:space="preserve">, </w:t>
      </w:r>
      <w:r w:rsidR="00796E4C">
        <w:t>Cascading Style Sheets (</w:t>
      </w:r>
      <w:r w:rsidR="008E6319">
        <w:t>CSS</w:t>
      </w:r>
      <w:r w:rsidR="00796E4C">
        <w:t>)</w:t>
      </w:r>
      <w:r w:rsidR="008E6319">
        <w:t xml:space="preserve"> e JavaScript.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r w:rsidR="00796E4C">
        <w:t>Application Programming Interface (</w:t>
      </w:r>
      <w:r w:rsidR="000354DD">
        <w:t>API</w:t>
      </w:r>
      <w:r w:rsidR="00796E4C">
        <w:t>)</w:t>
      </w:r>
      <w:r w:rsidR="000354DD">
        <w:t xml:space="preserve"> da IBM Watson, com o Visual Recognition.</w:t>
      </w:r>
    </w:p>
    <w:p w14:paraId="4BCFFF5D" w14:textId="6D7FFB15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escaneada. Após o </w:t>
      </w:r>
      <w:r>
        <w:rPr>
          <w:i/>
          <w:iCs/>
        </w:rPr>
        <w:t>scan</w:t>
      </w:r>
      <w:r>
        <w:t xml:space="preserve">,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r w:rsidR="000818FB" w:rsidRPr="00F605A1">
        <w:rPr>
          <w:i/>
          <w:iCs/>
        </w:rPr>
        <w:t>scan</w:t>
      </w:r>
      <w:r w:rsidR="000818FB">
        <w:t xml:space="preserve"> na forma como é apresentado ao usuário, com a descrição da cor destacada em relação à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r w:rsidR="00836A21">
        <w:fldChar w:fldCharType="begin"/>
      </w:r>
      <w:r w:rsidR="00836A21">
        <w:instrText xml:space="preserve"> SEQ Figura \* ARABIC </w:instrText>
      </w:r>
      <w:r w:rsidR="00836A21">
        <w:fldChar w:fldCharType="separate"/>
      </w:r>
      <w:r>
        <w:rPr>
          <w:noProof/>
        </w:rPr>
        <w:t>2</w:t>
      </w:r>
      <w:r w:rsidR="00836A21">
        <w:rPr>
          <w:noProof/>
        </w:rPr>
        <w:fldChar w:fldCharType="end"/>
      </w:r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58644ADD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à portadores de discromatopsia através da mudança de cores, priorizando o contraste.</w:t>
      </w:r>
      <w:r w:rsidR="003C4980">
        <w:t xml:space="preserve"> O trabalho introduz a discromatopsia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>ferramentas semiautomáticas de reajuste de cores</w:t>
      </w:r>
      <w:r>
        <w:t xml:space="preserve"> para a visão de um daltônico. Essas ferramentas utilizam alguns parâmetros, com valores normalmente fornecidos por usuários, para que ocorra o reajuste. O objetivo desse tipo de ferramenta é manter o contraste entre objetos na imagem e o fazem selecionando cores-chave através de amostragem e realizando o reajuste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2B0202C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à uma cor-chave. </w:t>
      </w:r>
      <w:r w:rsidR="00E2391F" w:rsidRPr="00EF42B9">
        <w:t>Essa mudança acarreta mudanças de todas as etapas do processo de reajuste, incluindo a adição de pesos às cores de acordo com sua importância para pessoas com discromatopsia.</w:t>
      </w:r>
    </w:p>
    <w:p w14:paraId="4EDCC455" w14:textId="2AAAAC9D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>viram um significante avanço em termos de performance em relação à trabalhos anteriores. Na Figura</w:t>
      </w:r>
      <w:r>
        <w:t xml:space="preserve"> 3 é possível observar os resultados</w:t>
      </w:r>
      <w:r w:rsidR="00887A02">
        <w:t xml:space="preserve"> do novo algoritmo. Cada fileira corresponde a um tipo de dicromacia: a primeira à protanopia; a segunda à deuteranopia; a terceira à tritanopia.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r>
        <w:t>Figura 3. Resultados do reajuste.</w:t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</w:p>
    <w:p w14:paraId="7817D9B2" w14:textId="76D86534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r>
        <w:t>Nesse capítulo 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r>
              <w:t>Foti e Santucci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r>
              <w:t>Vis-A-Wis</w:t>
            </w:r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r>
              <w:t>Mobile (Ionic)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77777777" w:rsidR="009E17C7" w:rsidRDefault="009E17C7" w:rsidP="000A73F8">
            <w:pPr>
              <w:pStyle w:val="TF-TEXTOQUADRO"/>
            </w:pPr>
            <w:r>
              <w:t>Reajuste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autor</w:t>
      </w:r>
    </w:p>
    <w:p w14:paraId="60260791" w14:textId="2237E6DB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r w:rsidR="004C6F76">
        <w:t>Foti</w:t>
      </w:r>
      <w:r w:rsidR="009E36EF">
        <w:t xml:space="preserve"> e </w:t>
      </w:r>
      <w:r w:rsidR="004C6F76">
        <w:t>Santucci</w:t>
      </w:r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agência do mesmo o reajuste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52EA6C37" w:rsidR="00A62504" w:rsidRDefault="00734FC8" w:rsidP="002C6314">
      <w:pPr>
        <w:pStyle w:val="TF-TEXTO"/>
      </w:pPr>
      <w:r>
        <w:t xml:space="preserve"> O segundo trabalho</w:t>
      </w:r>
      <w:r w:rsidR="00986E5E">
        <w:t xml:space="preserve">, sendo o de Mergulhão, Andrade e do Nascimento (2019), </w:t>
      </w:r>
      <w:r>
        <w:t>não trabalha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r w:rsidR="004C6F76">
        <w:t>Foti</w:t>
      </w:r>
      <w:r w:rsidR="00E85A10">
        <w:t xml:space="preserve"> e </w:t>
      </w:r>
      <w:r w:rsidR="004C6F76">
        <w:t>Santucci</w:t>
      </w:r>
      <w:r w:rsidR="00E85A10">
        <w:t xml:space="preserve"> (2009) é o único que possui teste para determinar o tipo de discromatopsia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respectivamente.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Pr="00710B13">
        <w:rPr>
          <w:i/>
          <w:iCs/>
        </w:rPr>
        <w:t>inputs</w:t>
      </w:r>
      <w:r>
        <w:t xml:space="preserve"> do próprio usuário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5781C071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tratam de websites em seus trabalhos, porém no contexto da plataforma Vis</w:t>
      </w:r>
      <w:r w:rsidR="0001629D">
        <w:t>-</w:t>
      </w:r>
      <w:r>
        <w:t>A</w:t>
      </w:r>
      <w:r w:rsidR="0001629D">
        <w:t>-W</w:t>
      </w:r>
      <w:r>
        <w:t>is.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discromatopsia</w:t>
      </w:r>
      <w:r w:rsidR="00D4540D">
        <w:t>, à 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>Diferentemente dos trabalhos discutidos, será desenvolvido uma extensão de navegador web para que o usuário consiga utilizar com qualquer website acessado pelo navegador 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JavaScript ou um </w:t>
      </w:r>
      <w:r w:rsidRPr="00FF1C81">
        <w:rPr>
          <w:i/>
          <w:iCs/>
        </w:rPr>
        <w:t>superset</w:t>
      </w:r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discromatopsia, acessibilidade </w:t>
      </w:r>
      <w:r>
        <w:lastRenderedPageBreak/>
        <w:t>no ambiente web e algoritmos de reajuste de cores;</w:t>
      </w:r>
    </w:p>
    <w:p w14:paraId="34538ADC" w14:textId="006FE120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licitação de requisitos: utilizando informações da etapa anterior</w:t>
      </w:r>
      <w:r w:rsidR="00C05AED">
        <w:t>, assim como os trabalhos correlatos</w:t>
      </w:r>
      <w:r w:rsidR="00757D1D">
        <w:t>,</w:t>
      </w:r>
      <w:r w:rsidR="00757D1D">
        <w:tab/>
        <w:t>reavaliar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specificação de análise: elaboração dos diagramas de casos de uso e classe seguindo a Unified Modeling Language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Store</w:t>
      </w:r>
      <w:r w:rsidR="00757D1D">
        <w:t>;</w:t>
      </w:r>
    </w:p>
    <w:p w14:paraId="73AB5908" w14:textId="1185F691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provindo da </w:t>
      </w:r>
      <w:r w:rsidR="00F74AB8">
        <w:t>extensão</w:t>
      </w:r>
      <w:r w:rsidR="00F44B66">
        <w:t xml:space="preserve"> juntamente com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bookmarkEnd w:id="39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r w:rsidRPr="007E0D87">
              <w:t>A</w:t>
            </w:r>
            <w:r w:rsidR="00451B94" w:rsidRPr="007E0D87">
              <w:t>no</w:t>
            </w:r>
            <w:r>
              <w:t xml:space="preserve"> 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3D29111" w14:textId="6E4D01E7" w:rsidR="0092259F" w:rsidRDefault="0092259F" w:rsidP="00DF64E9">
      <w:pPr>
        <w:pStyle w:val="TF-TEXTO"/>
      </w:pPr>
      <w:r>
        <w:t xml:space="preserve">Este capítulo descreve de forma breve os assuntos que fundamentarão o estudo a ser realizado: discromatopsia e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172271AE" w14:textId="0492972B" w:rsidR="0093404E" w:rsidRPr="0092259F" w:rsidRDefault="0093404E" w:rsidP="0093404E">
      <w:pPr>
        <w:pStyle w:val="TF-TEXTO"/>
      </w:pPr>
      <w:r>
        <w:t>Discromatopsia é uma perturbação na percepção das cores, associada à uma anomalia nas células denominadas cones que se encontram 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>TAN, 2014). Segundo Spalding (1999) c</w:t>
      </w:r>
      <w:r w:rsidR="006677C5">
        <w:t>erca de 8% dos homens e 0</w:t>
      </w:r>
      <w:r w:rsidR="00C05AED">
        <w:t>,</w:t>
      </w:r>
      <w:r w:rsidR="006677C5">
        <w:t>4% das mulheres são portadores de discromatopsia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r w:rsidR="00C05AED">
        <w:t>,</w:t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r w:rsidR="004C6F76">
        <w:t>Foti</w:t>
      </w:r>
      <w:r w:rsidR="001E6FC0">
        <w:t xml:space="preserve"> e </w:t>
      </w:r>
      <w:r w:rsidR="004C6F76">
        <w:t>Santucci</w:t>
      </w:r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40B4AD6" w14:textId="2185CF9A" w:rsidR="00B6145F" w:rsidRPr="0071746D" w:rsidRDefault="00B6145F" w:rsidP="00B6145F">
      <w:pPr>
        <w:pStyle w:val="TF-REFERNCIASITEM0"/>
        <w:rPr>
          <w:lang w:val="en-US"/>
        </w:rPr>
      </w:pPr>
      <w:r>
        <w:t xml:space="preserve">CHAN, Xin Bei V.; GOH, Shi Min S.; TAN, Ngiap Chuan. </w:t>
      </w:r>
      <w:r w:rsidRPr="0071746D">
        <w:rPr>
          <w:lang w:val="en-US"/>
        </w:rPr>
        <w:t xml:space="preserve">Subjects with colour vision deficiency in the community: what do primary care physicians need to know?. </w:t>
      </w:r>
      <w:r w:rsidRPr="0071746D">
        <w:rPr>
          <w:b/>
          <w:bCs/>
          <w:lang w:val="en-US"/>
        </w:rPr>
        <w:t>Asia Pacific Family Medicine</w:t>
      </w:r>
      <w:r w:rsidRPr="0071746D">
        <w:rPr>
          <w:lang w:val="en-US"/>
        </w:rPr>
        <w:t>, v. 13, n. 1, p. 1-10, 2014.</w:t>
      </w:r>
    </w:p>
    <w:p w14:paraId="6EEAD640" w14:textId="0CD95FC1" w:rsidR="00903EC0" w:rsidRPr="0071746D" w:rsidRDefault="00903EC0" w:rsidP="00B6145F">
      <w:pPr>
        <w:pStyle w:val="TF-REFERNCIASITEM0"/>
        <w:rPr>
          <w:lang w:val="en-US"/>
        </w:rPr>
      </w:pPr>
      <w:r w:rsidRPr="0071746D">
        <w:rPr>
          <w:lang w:val="en-US"/>
        </w:rPr>
        <w:t xml:space="preserve">DATABASE, Color And Vision. </w:t>
      </w:r>
      <w:r w:rsidRPr="0071746D">
        <w:rPr>
          <w:b/>
          <w:bCs/>
          <w:lang w:val="en-US"/>
        </w:rPr>
        <w:t>Color And Vision Database</w:t>
      </w:r>
      <w:r w:rsidRPr="0071746D">
        <w:rPr>
          <w:lang w:val="en-US"/>
        </w:rPr>
        <w:t>. [2008?]. Disponível em: http://www.cvrl.org.</w:t>
      </w:r>
    </w:p>
    <w:p w14:paraId="257A0836" w14:textId="4D3E6D10" w:rsidR="00B6145F" w:rsidRDefault="00B6145F" w:rsidP="00B6145F">
      <w:pPr>
        <w:pStyle w:val="TF-REFERNCIASITEM0"/>
      </w:pPr>
      <w:r w:rsidRPr="0071746D">
        <w:rPr>
          <w:lang w:val="en-US"/>
        </w:rPr>
        <w:t xml:space="preserve">FOTI, Antonella; SANTUCCI, Giuseppe. Increasing Web accessibility through an assisted color specification interface for colorblind people. </w:t>
      </w:r>
      <w:r>
        <w:rPr>
          <w:b/>
          <w:bCs/>
        </w:rPr>
        <w:t>IxD&amp;A</w:t>
      </w:r>
      <w:r>
        <w:t>, v. 5, p. 41-48, 2009.</w:t>
      </w:r>
    </w:p>
    <w:p w14:paraId="14985869" w14:textId="3F5429DA" w:rsidR="00B6145F" w:rsidRPr="000C5436" w:rsidRDefault="00B6145F" w:rsidP="00B6145F">
      <w:pPr>
        <w:pStyle w:val="TF-REFERNCIASITEM0"/>
        <w:rPr>
          <w:lang w:val="en-US"/>
        </w:rPr>
      </w:pPr>
      <w:r>
        <w:t xml:space="preserve">HANDYMATICA. </w:t>
      </w:r>
      <w:r>
        <w:rPr>
          <w:rStyle w:val="Forte"/>
        </w:rPr>
        <w:t>Handymatica</w:t>
      </w:r>
      <w:r>
        <w:t xml:space="preserve">. Disponível em: https://www.handimatica.com/. </w:t>
      </w:r>
      <w:r w:rsidRPr="000C5436">
        <w:rPr>
          <w:lang w:val="en-US"/>
        </w:rPr>
        <w:t>Acesso em: 27 set. 2021.</w:t>
      </w:r>
    </w:p>
    <w:p w14:paraId="6873CA3F" w14:textId="1270F81A" w:rsidR="00B6145F" w:rsidRDefault="00B6145F" w:rsidP="00B6145F">
      <w:pPr>
        <w:pStyle w:val="TF-REFERNCIASITEM0"/>
      </w:pPr>
      <w:r w:rsidRPr="000C5436">
        <w:rPr>
          <w:lang w:val="en-US"/>
        </w:rPr>
        <w:t xml:space="preserve">HUANG, Jia-Bin et al. Image recolorization for the colorblind. In: </w:t>
      </w:r>
      <w:r w:rsidRPr="000C5436">
        <w:rPr>
          <w:b/>
          <w:bCs/>
          <w:lang w:val="en-US"/>
        </w:rPr>
        <w:t>2009 IEEE International Conference on Acoustics, Speech and Signal Processing</w:t>
      </w:r>
      <w:r w:rsidRPr="000C5436">
        <w:rPr>
          <w:lang w:val="en-US"/>
        </w:rPr>
        <w:t xml:space="preserve">. </w:t>
      </w:r>
      <w:r>
        <w:t>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Pr="000C5436" w:rsidRDefault="00B6145F" w:rsidP="009E71AD">
      <w:pPr>
        <w:pStyle w:val="TF-REFERNCIASITEM0"/>
        <w:rPr>
          <w:lang w:val="en-US"/>
        </w:rPr>
      </w:pPr>
      <w:r w:rsidRPr="000C5436">
        <w:rPr>
          <w:lang w:val="en-US"/>
        </w:rPr>
        <w:t xml:space="preserve">ISHIHARA, Shinobu. </w:t>
      </w:r>
      <w:r w:rsidRPr="000C5436">
        <w:rPr>
          <w:b/>
          <w:bCs/>
          <w:lang w:val="en-US"/>
        </w:rPr>
        <w:t>Test for colour-blindness</w:t>
      </w:r>
      <w:r w:rsidRPr="000C5436">
        <w:rPr>
          <w:lang w:val="en-US"/>
        </w:rP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NEI. </w:t>
      </w:r>
      <w:r w:rsidRPr="000C5436">
        <w:rPr>
          <w:rStyle w:val="Forte"/>
          <w:lang w:val="en-US"/>
        </w:rPr>
        <w:t>Color Blindness</w:t>
      </w:r>
      <w:r w:rsidRPr="000C5436">
        <w:rPr>
          <w:lang w:val="en-US"/>
        </w:rPr>
        <w:t xml:space="preserve">. </w:t>
      </w:r>
      <w:r>
        <w:t>Disponível em: https://www.nei.nih.gov/learn-about-eye-health/eye-conditions-and-diseases/color-blindness. Acesso em: 27 set. 2021.</w:t>
      </w:r>
    </w:p>
    <w:p w14:paraId="3A5C970A" w14:textId="3F59CC98" w:rsidR="00B6145F" w:rsidRPr="000C5436" w:rsidRDefault="00B6145F" w:rsidP="009E71AD">
      <w:pPr>
        <w:pStyle w:val="TF-REFERNCIASITEM0"/>
        <w:rPr>
          <w:lang w:val="en-US"/>
        </w:rPr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 w:rsidRPr="000C5436">
        <w:rPr>
          <w:b/>
          <w:bCs/>
          <w:lang w:val="en-US"/>
        </w:rPr>
        <w:t>Blucher Physics Proceedings</w:t>
      </w:r>
      <w:r w:rsidRPr="000C5436">
        <w:rPr>
          <w:lang w:val="en-US"/>
        </w:rPr>
        <w:t>, v. 6, n. 1, p. 61-66, 2019.</w:t>
      </w:r>
    </w:p>
    <w:p w14:paraId="3DE4328B" w14:textId="329482BB" w:rsidR="00CF2DBA" w:rsidRPr="000C5436" w:rsidRDefault="00CF2DBA" w:rsidP="009E71AD">
      <w:pPr>
        <w:pStyle w:val="TF-REFERNCIASITEM0"/>
        <w:rPr>
          <w:color w:val="FF0000"/>
          <w:lang w:val="en-US"/>
        </w:rPr>
      </w:pPr>
      <w:r w:rsidRPr="000C5436">
        <w:rPr>
          <w:lang w:val="en-US"/>
        </w:rPr>
        <w:t xml:space="preserve">MERIN, Saul. </w:t>
      </w:r>
      <w:r w:rsidRPr="000C5436">
        <w:rPr>
          <w:rStyle w:val="Forte"/>
          <w:lang w:val="en-US"/>
        </w:rPr>
        <w:t>Inherited Eye Diseases</w:t>
      </w:r>
      <w:r w:rsidRPr="000C5436">
        <w:rPr>
          <w:lang w:val="en-US"/>
        </w:rPr>
        <w:t>: diagnosis and management. 2. ed. Boca Raton: Crc Press, 2005.</w:t>
      </w:r>
    </w:p>
    <w:p w14:paraId="552717F8" w14:textId="67D0D4C7" w:rsidR="00B6145F" w:rsidRPr="000C5436" w:rsidRDefault="00B6145F" w:rsidP="00203445">
      <w:pPr>
        <w:pStyle w:val="TF-REFERNCIASITEM0"/>
        <w:rPr>
          <w:lang w:val="en-US"/>
        </w:rPr>
      </w:pPr>
      <w:r w:rsidRPr="000C5436">
        <w:rPr>
          <w:lang w:val="en-US"/>
        </w:rPr>
        <w:lastRenderedPageBreak/>
        <w:t xml:space="preserve">SPALDING, J. A. Colour vision deficiency in the medical profession. </w:t>
      </w:r>
      <w:r w:rsidRPr="000C5436">
        <w:rPr>
          <w:b/>
          <w:bCs/>
          <w:lang w:val="en-US"/>
        </w:rPr>
        <w:t>British journal of general practice</w:t>
      </w:r>
      <w:r w:rsidRPr="000C5436">
        <w:rPr>
          <w:lang w:val="en-US"/>
        </w:rP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W3C. </w:t>
      </w:r>
      <w:r w:rsidRPr="000C5436">
        <w:rPr>
          <w:rStyle w:val="Forte"/>
          <w:lang w:val="en-US"/>
        </w:rPr>
        <w:t>Web Content Accessibility Guidelines (WCAG) 2.0</w:t>
      </w:r>
      <w:r w:rsidRPr="000C5436">
        <w:rPr>
          <w:lang w:val="en-US"/>
        </w:rPr>
        <w:t xml:space="preserve">. </w:t>
      </w:r>
      <w:r>
        <w:t>2008. Disponível em: https://www.w3.org/TR/2008/REC-WCAG20-20081211/. Acesso em: 26 set. 2021.</w:t>
      </w:r>
    </w:p>
    <w:p w14:paraId="17E5488A" w14:textId="1884E23D" w:rsidR="00B6145F" w:rsidRDefault="00B6145F" w:rsidP="00203445">
      <w:pPr>
        <w:pStyle w:val="TF-REFERNCIASITEM0"/>
        <w:rPr>
          <w:color w:val="FF0000"/>
        </w:rPr>
      </w:pPr>
    </w:p>
    <w:p w14:paraId="3E1F1C9D" w14:textId="21B3B123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2F80B763" w14:textId="7FFBA64A" w:rsidR="009A5955" w:rsidRPr="00C15B92" w:rsidRDefault="009A5955" w:rsidP="00C15B92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2052889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DCF850" w14:textId="3C3C8957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7EFE97C" w14:textId="77777777" w:rsidR="00F85E88" w:rsidRDefault="00F85E88" w:rsidP="00F85E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22064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D0FF91" w14:textId="415F549C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F980DA" w14:textId="77777777" w:rsidR="00F85E88" w:rsidRDefault="00F85E88" w:rsidP="00F85E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5436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D2751"/>
    <w:rsid w:val="003D398C"/>
    <w:rsid w:val="003D473B"/>
    <w:rsid w:val="003D4B35"/>
    <w:rsid w:val="003D6DAC"/>
    <w:rsid w:val="003E1FD4"/>
    <w:rsid w:val="003E4F19"/>
    <w:rsid w:val="003F14A5"/>
    <w:rsid w:val="003F374C"/>
    <w:rsid w:val="003F5F25"/>
    <w:rsid w:val="003F7904"/>
    <w:rsid w:val="00401AEB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0726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1746D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6A21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3E4B"/>
    <w:rsid w:val="00B05485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A2260"/>
    <w:rsid w:val="00BA5821"/>
    <w:rsid w:val="00BB468D"/>
    <w:rsid w:val="00BC0E8D"/>
    <w:rsid w:val="00BC4F18"/>
    <w:rsid w:val="00BE313B"/>
    <w:rsid w:val="00BE6551"/>
    <w:rsid w:val="00BF093B"/>
    <w:rsid w:val="00BF2A6C"/>
    <w:rsid w:val="00C00B88"/>
    <w:rsid w:val="00C05AED"/>
    <w:rsid w:val="00C06B2A"/>
    <w:rsid w:val="00C15B92"/>
    <w:rsid w:val="00C16CB3"/>
    <w:rsid w:val="00C35E57"/>
    <w:rsid w:val="00C35E80"/>
    <w:rsid w:val="00C37141"/>
    <w:rsid w:val="00C40AA2"/>
    <w:rsid w:val="00C41352"/>
    <w:rsid w:val="00C4244F"/>
    <w:rsid w:val="00C458D3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5E88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3227</Words>
  <Characters>17427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2015-03-26T13:00:00Z</cp:lastPrinted>
  <dcterms:created xsi:type="dcterms:W3CDTF">2021-10-10T14:55:00Z</dcterms:created>
  <dcterms:modified xsi:type="dcterms:W3CDTF">2021-10-10T14:56:00Z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