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</w:t>
            </w:r>
            <w:proofErr w:type="gramEnd"/>
            <w:r w:rsidR="004F3F4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 xml:space="preserve">Vitor Hugo </w:t>
      </w:r>
      <w:proofErr w:type="spellStart"/>
      <w:r>
        <w:t>Helmbrecht</w:t>
      </w:r>
      <w:proofErr w:type="spellEnd"/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</w:t>
      </w:r>
      <w:r w:rsidRPr="00014217">
        <w:rPr>
          <w:highlight w:val="yellow"/>
        </w:rPr>
        <w:t>.</w:t>
      </w:r>
      <w:r w:rsidR="001D0964" w:rsidRPr="00014217">
        <w:rPr>
          <w:highlight w:val="yellow"/>
        </w:rPr>
        <w:t>24</w:t>
      </w:r>
      <w:r>
        <w:t xml:space="preserve">), a educação ambiental é considerada </w:t>
      </w:r>
      <w:r w:rsidRPr="00014217">
        <w:rPr>
          <w:highlight w:val="yellow"/>
        </w:rPr>
        <w:t>incialmente</w:t>
      </w:r>
      <w:r>
        <w:t xml:space="preserve">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</w:t>
      </w:r>
      <w:commentRangeStart w:id="9"/>
      <w:r w:rsidR="00042C54">
        <w:t xml:space="preserve">ambiente </w:t>
      </w:r>
      <w:commentRangeEnd w:id="9"/>
      <w:r w:rsidR="00F333F3">
        <w:rPr>
          <w:rStyle w:val="Refdecomentrio"/>
        </w:rPr>
        <w:commentReference w:id="9"/>
      </w:r>
      <w:r w:rsidR="00042C54">
        <w:t>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 xml:space="preserve">Por sua vez, Silva e </w:t>
      </w:r>
      <w:proofErr w:type="spellStart"/>
      <w:r>
        <w:t>Kodama</w:t>
      </w:r>
      <w:proofErr w:type="spellEnd"/>
      <w:r>
        <w:t xml:space="preserve"> (2004) explicam como uma criança demonstra prazer em aprender e tem oportunidade de lidar com suas pulsões em busca de satisfação de seus desejos quando ela brinca. Silva e </w:t>
      </w:r>
      <w:proofErr w:type="spellStart"/>
      <w:r>
        <w:t>Kodama</w:t>
      </w:r>
      <w:proofErr w:type="spellEnd"/>
      <w:r>
        <w:t xml:space="preserve">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 xml:space="preserve">utilizando realidade virtual com </w:t>
      </w:r>
      <w:commentRangeStart w:id="10"/>
      <w:r>
        <w:t xml:space="preserve">ilusão de ótica </w:t>
      </w:r>
      <w:commentRangeEnd w:id="10"/>
      <w:r w:rsidR="005175DC">
        <w:rPr>
          <w:rStyle w:val="Refdecomentrio"/>
        </w:rPr>
        <w:commentReference w:id="10"/>
      </w:r>
      <w:r>
        <w:t>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27EA0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commentRangeStart w:id="25"/>
      <w:r>
        <w:t xml:space="preserve">avaliar </w:t>
      </w:r>
      <w:commentRangeEnd w:id="25"/>
      <w:r w:rsidR="00C65061">
        <w:rPr>
          <w:rStyle w:val="Refdecomentrio"/>
        </w:rPr>
        <w:commentReference w:id="25"/>
      </w:r>
      <w:r>
        <w:t>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6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 xml:space="preserve"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</w:t>
      </w:r>
      <w:proofErr w:type="spellStart"/>
      <w:r w:rsidRPr="008D0B7A">
        <w:t>Vignettes</w:t>
      </w:r>
      <w:proofErr w:type="spellEnd"/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proofErr w:type="spellStart"/>
      <w:r w:rsidR="00E85445" w:rsidRPr="00B31BA3">
        <w:t>Monument</w:t>
      </w:r>
      <w:proofErr w:type="spellEnd"/>
      <w:r w:rsidR="00E85445" w:rsidRPr="00B31BA3">
        <w:t xml:space="preserve">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proofErr w:type="spellStart"/>
      <w:r>
        <w:t>Nienow</w:t>
      </w:r>
      <w:proofErr w:type="spellEnd"/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7" w:name="_Ref120868052"/>
      <w:r w:rsidRPr="00E72F92"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 w:rsidR="006224CB">
        <w:rPr>
          <w:noProof/>
        </w:rPr>
        <w:t>1</w:t>
      </w:r>
      <w:r w:rsidR="004A2B71">
        <w:rPr>
          <w:noProof/>
        </w:rPr>
        <w:fldChar w:fldCharType="end"/>
      </w:r>
      <w:bookmarkEnd w:id="27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proofErr w:type="spellStart"/>
      <w:r w:rsidR="005C524D" w:rsidRPr="00D90BBA">
        <w:t>N</w:t>
      </w:r>
      <w:r w:rsidR="00A65C9D">
        <w:t>ienow</w:t>
      </w:r>
      <w:proofErr w:type="spellEnd"/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 xml:space="preserve">Always </w:t>
      </w:r>
      <w:proofErr w:type="spellStart"/>
      <w:r w:rsidRPr="00D54182">
        <w:t>On</w:t>
      </w:r>
      <w:proofErr w:type="spellEnd"/>
      <w:r w:rsidRPr="00D54182">
        <w:t xml:space="preserve">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proofErr w:type="spellStart"/>
      <w:r w:rsidR="00CE54BE" w:rsidRPr="00D54182">
        <w:t>One</w:t>
      </w:r>
      <w:proofErr w:type="spellEnd"/>
      <w:r w:rsidR="00CE54BE" w:rsidRPr="00D54182">
        <w:t xml:space="preserve">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8" w:name="_Ref120868018"/>
      <w:r w:rsidRPr="00FA6366"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 w:rsidR="006224CB">
        <w:rPr>
          <w:noProof/>
        </w:rPr>
        <w:t>2</w:t>
      </w:r>
      <w:r w:rsidR="004A2B71">
        <w:rPr>
          <w:noProof/>
        </w:rPr>
        <w:fldChar w:fldCharType="end"/>
      </w:r>
      <w:bookmarkEnd w:id="28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proofErr w:type="spellStart"/>
      <w:r w:rsidR="006224CB" w:rsidRPr="00D90BBA">
        <w:t>N</w:t>
      </w:r>
      <w:r w:rsidR="006224CB">
        <w:t>ienow</w:t>
      </w:r>
      <w:proofErr w:type="spellEnd"/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9" w:name="_Ref120868032"/>
      <w:r w:rsidRPr="0014324E"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 w:rsidR="006224CB">
        <w:rPr>
          <w:noProof/>
        </w:rPr>
        <w:t>3</w:t>
      </w:r>
      <w:r w:rsidR="004A2B71">
        <w:rPr>
          <w:noProof/>
        </w:rPr>
        <w:fldChar w:fldCharType="end"/>
      </w:r>
      <w:bookmarkEnd w:id="29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proofErr w:type="spellStart"/>
      <w:r w:rsidR="002F2368" w:rsidRPr="00D90BBA">
        <w:t>N</w:t>
      </w:r>
      <w:r w:rsidR="002F2368">
        <w:t>ienow</w:t>
      </w:r>
      <w:proofErr w:type="spellEnd"/>
      <w:r w:rsidR="002F2368">
        <w:t xml:space="preserve">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 xml:space="preserve">Ao final do desenvolvimento e dos testes, </w:t>
      </w:r>
      <w:proofErr w:type="spellStart"/>
      <w:r w:rsidR="00477DF1">
        <w:t>Nienow</w:t>
      </w:r>
      <w:proofErr w:type="spellEnd"/>
      <w:r w:rsidR="00477DF1">
        <w:t xml:space="preserve">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</w:r>
      <w:proofErr w:type="spellStart"/>
      <w:r>
        <w:t>Nienow</w:t>
      </w:r>
      <w:proofErr w:type="spellEnd"/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</w:t>
      </w:r>
      <w:proofErr w:type="spellStart"/>
      <w:r w:rsidR="00267D21">
        <w:t>Nienow</w:t>
      </w:r>
      <w:proofErr w:type="spellEnd"/>
      <w:r w:rsidR="00267D21">
        <w:t xml:space="preserve">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 xml:space="preserve">Por fim, mesmo com resultados satisfatórios, </w:t>
      </w:r>
      <w:proofErr w:type="spellStart"/>
      <w:r>
        <w:t>N</w:t>
      </w:r>
      <w:r w:rsidR="00420F96">
        <w:t>i</w:t>
      </w:r>
      <w:r>
        <w:t>enow</w:t>
      </w:r>
      <w:proofErr w:type="spellEnd"/>
      <w:r>
        <w:t xml:space="preserve">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proofErr w:type="spellStart"/>
      <w:r>
        <w:t>Vignettes</w:t>
      </w:r>
      <w:proofErr w:type="spellEnd"/>
      <w:r>
        <w:t xml:space="preserve">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</w:t>
      </w:r>
      <w:proofErr w:type="spellStart"/>
      <w:r w:rsidR="00D00DC8">
        <w:t>Skeleton</w:t>
      </w:r>
      <w:proofErr w:type="spellEnd"/>
      <w:r w:rsidR="00D00DC8">
        <w:t xml:space="preserve">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</w:t>
      </w:r>
      <w:commentRangeStart w:id="30"/>
      <w:r w:rsidR="0008315B">
        <w:t>(</w:t>
      </w:r>
      <w:proofErr w:type="spellStart"/>
      <w:r w:rsidR="0008315B">
        <w:t>Skeleton</w:t>
      </w:r>
      <w:proofErr w:type="spellEnd"/>
      <w:r w:rsidR="0008315B">
        <w:t xml:space="preserve"> Business</w:t>
      </w:r>
      <w:commentRangeEnd w:id="30"/>
      <w:r w:rsidR="001A182C">
        <w:rPr>
          <w:rStyle w:val="Refdecomentrio"/>
        </w:rPr>
        <w:commentReference w:id="30"/>
      </w:r>
      <w:r w:rsidR="0008315B">
        <w:t>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31" w:name="_Ref120868075"/>
      <w:r>
        <w:lastRenderedPageBreak/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 w:rsidR="006224CB">
        <w:rPr>
          <w:noProof/>
        </w:rPr>
        <w:t>4</w:t>
      </w:r>
      <w:r w:rsidR="004A2B71">
        <w:rPr>
          <w:noProof/>
        </w:rPr>
        <w:fldChar w:fldCharType="end"/>
      </w:r>
      <w:bookmarkEnd w:id="31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proofErr w:type="spellStart"/>
      <w:r>
        <w:t>Monument</w:t>
      </w:r>
      <w:proofErr w:type="spellEnd"/>
      <w:r>
        <w:t xml:space="preserve">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proofErr w:type="spellStart"/>
      <w:r w:rsidR="00A92466">
        <w:t>Ustwo</w:t>
      </w:r>
      <w:proofErr w:type="spellEnd"/>
      <w:r w:rsidR="00A92466">
        <w:t xml:space="preserve">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32" w:name="_Ref120815097"/>
      <w:r w:rsidRPr="00645FC7"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 w:rsidR="006224CB">
        <w:rPr>
          <w:noProof/>
        </w:rPr>
        <w:t>5</w:t>
      </w:r>
      <w:r w:rsidR="004A2B71">
        <w:rPr>
          <w:noProof/>
        </w:rPr>
        <w:fldChar w:fldCharType="end"/>
      </w:r>
      <w:bookmarkEnd w:id="32"/>
      <w:r w:rsidRPr="00645FC7">
        <w:t xml:space="preserve">: </w:t>
      </w:r>
      <w:r>
        <w:t xml:space="preserve">Alguns níveis do jogo </w:t>
      </w:r>
      <w:proofErr w:type="spellStart"/>
      <w:r w:rsidRPr="00645FC7">
        <w:t>Monument</w:t>
      </w:r>
      <w:proofErr w:type="spellEnd"/>
      <w:r w:rsidRPr="00645FC7">
        <w:t xml:space="preserve">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proofErr w:type="spellStart"/>
      <w:r w:rsidR="00A92466" w:rsidRPr="00767ADD">
        <w:t>Ustwo</w:t>
      </w:r>
      <w:proofErr w:type="spellEnd"/>
      <w:r w:rsidR="00A92466" w:rsidRPr="00767ADD">
        <w:t xml:space="preserve">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</w:r>
      <w:proofErr w:type="spellStart"/>
      <w:r>
        <w:t>Monument</w:t>
      </w:r>
      <w:proofErr w:type="spellEnd"/>
      <w:r>
        <w:t xml:space="preserve">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6"/>
      <w:r>
        <w:t>proposta do jogo</w:t>
      </w:r>
    </w:p>
    <w:p w14:paraId="116A9B5A" w14:textId="5B617418" w:rsidR="00673DE9" w:rsidRDefault="00673DE9" w:rsidP="00673DE9">
      <w:pPr>
        <w:pStyle w:val="TF-TEXTO"/>
      </w:pPr>
      <w:proofErr w:type="gramStart"/>
      <w:r w:rsidRPr="00AA5376">
        <w:rPr>
          <w:highlight w:val="yellow"/>
        </w:rPr>
        <w:t xml:space="preserve">Neste </w:t>
      </w:r>
      <w:r w:rsidR="006B33EC" w:rsidRPr="00AA5376">
        <w:rPr>
          <w:highlight w:val="yellow"/>
        </w:rPr>
        <w:t>seção</w:t>
      </w:r>
      <w:proofErr w:type="gramEnd"/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7" w:name="_Ref120814954"/>
      <w:bookmarkStart w:id="48" w:name="_Ref120868112"/>
      <w:r>
        <w:t xml:space="preserve">Quadro </w:t>
      </w:r>
      <w:r w:rsidR="004A2B71">
        <w:fldChar w:fldCharType="begin"/>
      </w:r>
      <w:r w:rsidR="004A2B71">
        <w:instrText xml:space="preserve"> SEQ Quadro \* ARABIC </w:instrText>
      </w:r>
      <w:r w:rsidR="004A2B71">
        <w:fldChar w:fldCharType="separate"/>
      </w:r>
      <w:r w:rsidR="00E86EBF">
        <w:rPr>
          <w:noProof/>
        </w:rPr>
        <w:t>1</w:t>
      </w:r>
      <w:r w:rsidR="004A2B71">
        <w:rPr>
          <w:noProof/>
        </w:rPr>
        <w:fldChar w:fldCharType="end"/>
      </w:r>
      <w:bookmarkEnd w:id="47"/>
      <w:r w:rsidR="00673DE9">
        <w:t xml:space="preserve"> - Comparativo dos trabalhos correlatos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4A2B71" w:rsidP="00E04E95">
            <w:pPr>
              <w:pStyle w:val="TF-TEXTOQUADRO"/>
            </w:pPr>
            <w:r>
              <w:rPr>
                <w:noProof/>
              </w:rPr>
              <w:pict w14:anchorId="31B5B9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D36F081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proofErr w:type="spellStart"/>
            <w:r>
              <w:t>Nienow</w:t>
            </w:r>
            <w:proofErr w:type="spellEnd"/>
            <w:r>
              <w:t xml:space="preserve">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proofErr w:type="spellStart"/>
            <w:r>
              <w:t>Skeleton</w:t>
            </w:r>
            <w:proofErr w:type="spellEnd"/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proofErr w:type="spellStart"/>
            <w:r>
              <w:t>Ustwo</w:t>
            </w:r>
            <w:proofErr w:type="spellEnd"/>
            <w:r>
              <w:t xml:space="preserve">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proofErr w:type="spellStart"/>
            <w:r>
              <w:t>Vignettes</w:t>
            </w:r>
            <w:proofErr w:type="spellEnd"/>
            <w:r>
              <w:t xml:space="preserve"> recebeu </w:t>
            </w:r>
            <w:r w:rsidR="00CA451B">
              <w:t>e foi indicado a premiações</w:t>
            </w:r>
            <w:r>
              <w:t xml:space="preserve"> desde 2015 até 2018, incluindo o prêmio </w:t>
            </w:r>
            <w:proofErr w:type="spellStart"/>
            <w:r>
              <w:t>IndieCade</w:t>
            </w:r>
            <w:proofErr w:type="spellEnd"/>
            <w:r>
              <w:t xml:space="preserve">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proofErr w:type="spellStart"/>
            <w:r>
              <w:t>Monument</w:t>
            </w:r>
            <w:proofErr w:type="spellEnd"/>
            <w:r>
              <w:t xml:space="preserve">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 xml:space="preserve">é possível observar que </w:t>
      </w:r>
      <w:proofErr w:type="spellStart"/>
      <w:r>
        <w:t>Nienow</w:t>
      </w:r>
      <w:proofErr w:type="spellEnd"/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</w:t>
      </w:r>
      <w:proofErr w:type="spellStart"/>
      <w:r w:rsidR="001321A6">
        <w:t>Skeleton</w:t>
      </w:r>
      <w:proofErr w:type="spellEnd"/>
      <w:r w:rsidR="001321A6">
        <w:t xml:space="preserve">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 xml:space="preserve">Quanto ao tipo de jogo desenvolvido, </w:t>
      </w:r>
      <w:proofErr w:type="spellStart"/>
      <w:r w:rsidR="00FC2806">
        <w:t>Niewon</w:t>
      </w:r>
      <w:proofErr w:type="spellEnd"/>
      <w:r w:rsidR="00FC2806">
        <w:t xml:space="preserve">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</w:t>
      </w:r>
      <w:proofErr w:type="spellStart"/>
      <w:r w:rsidR="00FC2806">
        <w:t>Skeleton</w:t>
      </w:r>
      <w:proofErr w:type="spellEnd"/>
      <w:r w:rsidR="00FC2806">
        <w:t xml:space="preserve"> </w:t>
      </w:r>
      <w:proofErr w:type="spellStart"/>
      <w:r w:rsidR="00FC2806">
        <w:t>Busines</w:t>
      </w:r>
      <w:proofErr w:type="spellEnd"/>
      <w:r w:rsidR="00FC2806">
        <w:t xml:space="preserve">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 xml:space="preserve">Na parte de motor gráfico, todos os autores escolheram o mesmo software: Unity 3D, mas com seus próprios motivos para terem realizado essa escolha. </w:t>
      </w:r>
      <w:proofErr w:type="spellStart"/>
      <w:r>
        <w:t>Nienow</w:t>
      </w:r>
      <w:proofErr w:type="spellEnd"/>
      <w:r>
        <w:t xml:space="preserve">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</w:t>
      </w:r>
      <w:proofErr w:type="spellStart"/>
      <w:r>
        <w:t>Skeleton</w:t>
      </w:r>
      <w:proofErr w:type="spellEnd"/>
      <w:r>
        <w:t xml:space="preserve">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</w:t>
      </w:r>
      <w:proofErr w:type="spellStart"/>
      <w:r>
        <w:t>Nienow</w:t>
      </w:r>
      <w:proofErr w:type="spellEnd"/>
      <w:r>
        <w:t xml:space="preserve">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optaram ambos pelo desenvolvimento de 10 estágios em seus jogos, enquanto </w:t>
      </w:r>
      <w:proofErr w:type="spellStart"/>
      <w:r w:rsidR="00801607" w:rsidRPr="00BE2066">
        <w:t>Nienow</w:t>
      </w:r>
      <w:proofErr w:type="spellEnd"/>
      <w:r w:rsidR="00801607" w:rsidRPr="00BE2066">
        <w:t xml:space="preserve"> (2019) </w:t>
      </w:r>
      <w:r w:rsidR="00F25DEF">
        <w:t>optou</w:t>
      </w:r>
      <w:r w:rsidR="00801607" w:rsidRPr="00BE2066">
        <w:t xml:space="preserve"> por apenas 3 fases. Essa disparidade pode ser justificada pelo fato de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</w:t>
      </w:r>
      <w:proofErr w:type="spellStart"/>
      <w:r w:rsidR="00FE2BF8" w:rsidRPr="00BE2066">
        <w:t>Skeleton</w:t>
      </w:r>
      <w:proofErr w:type="spellEnd"/>
      <w:r w:rsidR="00FE2BF8" w:rsidRPr="00BE2066">
        <w:t xml:space="preserve">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</w:t>
      </w:r>
      <w:proofErr w:type="spellStart"/>
      <w:r w:rsidR="00FE2BF8" w:rsidRPr="00BE2066">
        <w:t>Nienow</w:t>
      </w:r>
      <w:proofErr w:type="spellEnd"/>
      <w:r w:rsidR="00FE2BF8" w:rsidRPr="00BE2066">
        <w:t xml:space="preserve">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 xml:space="preserve">conscientização </w:t>
      </w:r>
      <w:commentRangeStart w:id="49"/>
      <w:r w:rsidR="00997C76">
        <w:t>ambiental</w:t>
      </w:r>
      <w:commentRangeEnd w:id="49"/>
      <w:r w:rsidR="00BF4F80">
        <w:rPr>
          <w:rStyle w:val="Refdecomentrio"/>
        </w:rPr>
        <w:commentReference w:id="49"/>
      </w:r>
      <w:r w:rsidR="00997C76">
        <w:t>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commentRangeStart w:id="50"/>
      <w:r>
        <w:t xml:space="preserve">conter </w:t>
      </w:r>
      <w:commentRangeEnd w:id="50"/>
      <w:r w:rsidR="00614C86">
        <w:rPr>
          <w:rStyle w:val="Refdecomentrio"/>
        </w:rPr>
        <w:commentReference w:id="50"/>
      </w:r>
      <w:r>
        <w:t>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</w:t>
      </w:r>
      <w:proofErr w:type="spellStart"/>
      <w:r w:rsidR="00225813">
        <w:t>Lucidchart</w:t>
      </w:r>
      <w:proofErr w:type="spellEnd"/>
      <w:r w:rsidR="00225813">
        <w:t xml:space="preserve">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51" w:name="_Ref98650273"/>
      <w:r>
        <w:t xml:space="preserve">Quadro </w:t>
      </w:r>
      <w:r w:rsidR="004A2B71">
        <w:fldChar w:fldCharType="begin"/>
      </w:r>
      <w:r w:rsidR="004A2B71">
        <w:instrText xml:space="preserve"> SEQ Q</w:instrText>
      </w:r>
      <w:r w:rsidR="004A2B71">
        <w:instrText xml:space="preserve">uadro \* ARABIC </w:instrText>
      </w:r>
      <w:r w:rsidR="004A2B71">
        <w:fldChar w:fldCharType="separate"/>
      </w:r>
      <w:r w:rsidR="00E86EBF">
        <w:rPr>
          <w:noProof/>
        </w:rPr>
        <w:t>2</w:t>
      </w:r>
      <w:r w:rsidR="004A2B71">
        <w:rPr>
          <w:noProof/>
        </w:rPr>
        <w:fldChar w:fldCharType="end"/>
      </w:r>
      <w:bookmarkEnd w:id="51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 xml:space="preserve">O termo Realidade Virtual (RV) surgiu nos anos 80 quando Jason </w:t>
      </w:r>
      <w:proofErr w:type="spellStart"/>
      <w:r>
        <w:t>Lamier</w:t>
      </w:r>
      <w:proofErr w:type="spellEnd"/>
      <w:r>
        <w:t xml:space="preserve">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</w:t>
      </w:r>
      <w:commentRangeStart w:id="52"/>
      <w:r>
        <w:t>educação</w:t>
      </w:r>
      <w:commentRangeEnd w:id="52"/>
      <w:r w:rsidR="00584186">
        <w:rPr>
          <w:rStyle w:val="Refdecomentrio"/>
        </w:rPr>
        <w:commentReference w:id="52"/>
      </w:r>
      <w:r>
        <w:t>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53" w:name="_Ref120868176"/>
      <w:r>
        <w:t xml:space="preserve">Figura </w:t>
      </w:r>
      <w:r w:rsidR="004A2B71">
        <w:fldChar w:fldCharType="begin"/>
      </w:r>
      <w:r w:rsidR="004A2B71">
        <w:instrText xml:space="preserve"> SEQ Figura \* ARABIC </w:instrText>
      </w:r>
      <w:r w:rsidR="004A2B71">
        <w:fldChar w:fldCharType="separate"/>
      </w:r>
      <w:r>
        <w:rPr>
          <w:noProof/>
        </w:rPr>
        <w:t>6</w:t>
      </w:r>
      <w:r w:rsidR="004A2B71">
        <w:rPr>
          <w:noProof/>
        </w:rPr>
        <w:fldChar w:fldCharType="end"/>
      </w:r>
      <w:bookmarkEnd w:id="53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54" w:name="_Ref120956720"/>
      <w:r>
        <w:lastRenderedPageBreak/>
        <w:t xml:space="preserve">Quadro </w:t>
      </w:r>
      <w:r w:rsidR="004A2B71">
        <w:fldChar w:fldCharType="begin"/>
      </w:r>
      <w:r w:rsidR="004A2B71">
        <w:instrText xml:space="preserve"> SEQ Quadro \* ARABIC </w:instrText>
      </w:r>
      <w:r w:rsidR="004A2B71">
        <w:fldChar w:fldCharType="separate"/>
      </w:r>
      <w:r>
        <w:rPr>
          <w:noProof/>
        </w:rPr>
        <w:t>3</w:t>
      </w:r>
      <w:r w:rsidR="004A2B71">
        <w:rPr>
          <w:noProof/>
        </w:rPr>
        <w:fldChar w:fldCharType="end"/>
      </w:r>
      <w:bookmarkEnd w:id="54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72E7C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proofErr w:type="spellStart"/>
            <w:r w:rsidRPr="00906FE5">
              <w:rPr>
                <w:sz w:val="20"/>
                <w:szCs w:val="20"/>
                <w:lang w:val="en-US"/>
              </w:rPr>
              <w:t>Ponzo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Poggendorff Orbison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Hering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Müller-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Lyer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Figuras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Zöllner</w:t>
            </w:r>
            <w:proofErr w:type="spellEnd"/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Objetos impossíveis de </w:t>
            </w:r>
            <w:proofErr w:type="spellStart"/>
            <w:r w:rsidRPr="00906FE5">
              <w:rPr>
                <w:sz w:val="20"/>
                <w:szCs w:val="20"/>
              </w:rPr>
              <w:t>Penrose</w:t>
            </w:r>
            <w:proofErr w:type="spellEnd"/>
            <w:r w:rsidRPr="00906FE5">
              <w:rPr>
                <w:sz w:val="20"/>
                <w:szCs w:val="20"/>
              </w:rPr>
              <w:t xml:space="preserve"> Imagens de </w:t>
            </w:r>
            <w:proofErr w:type="spellStart"/>
            <w:r w:rsidRPr="00906FE5">
              <w:rPr>
                <w:sz w:val="20"/>
                <w:szCs w:val="20"/>
              </w:rPr>
              <w:t>Escher</w:t>
            </w:r>
            <w:proofErr w:type="spellEnd"/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Pós-imagens Efeito autocinético Padrões de </w:t>
            </w:r>
            <w:proofErr w:type="spellStart"/>
            <w:r w:rsidRPr="00906FE5">
              <w:rPr>
                <w:sz w:val="20"/>
                <w:szCs w:val="20"/>
              </w:rPr>
              <w:t>migraine</w:t>
            </w:r>
            <w:proofErr w:type="spellEnd"/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Triângulo de </w:t>
            </w:r>
            <w:proofErr w:type="spellStart"/>
            <w:r w:rsidRPr="00906FE5">
              <w:rPr>
                <w:sz w:val="20"/>
                <w:szCs w:val="20"/>
              </w:rPr>
              <w:t>Kaniza</w:t>
            </w:r>
            <w:proofErr w:type="spellEnd"/>
            <w:r w:rsidRPr="00906FE5">
              <w:rPr>
                <w:sz w:val="20"/>
                <w:szCs w:val="20"/>
              </w:rPr>
              <w:t xml:space="preserve">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</w:t>
      </w:r>
      <w:commentRangeStart w:id="55"/>
      <w:r>
        <w:t>1)</w:t>
      </w:r>
      <w:r w:rsidR="003F2338">
        <w:t>.</w:t>
      </w:r>
      <w:commentRangeEnd w:id="55"/>
      <w:r w:rsidR="00234619">
        <w:rPr>
          <w:rStyle w:val="Refdecomentrio"/>
        </w:rPr>
        <w:commentReference w:id="55"/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 xml:space="preserve">faz com que </w:t>
      </w:r>
      <w:commentRangeStart w:id="56"/>
      <w:r>
        <w:t>deparemos</w:t>
      </w:r>
      <w:r w:rsidR="003B08C7">
        <w:t xml:space="preserve"> </w:t>
      </w:r>
      <w:commentRangeEnd w:id="56"/>
      <w:r w:rsidR="007302FD">
        <w:rPr>
          <w:rStyle w:val="Refdecomentrio"/>
        </w:rPr>
        <w:commentReference w:id="56"/>
      </w:r>
      <w:r w:rsidR="003B08C7">
        <w:t xml:space="preserve">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</w:t>
      </w:r>
      <w:commentRangeStart w:id="57"/>
      <w:r w:rsidR="003B08C7">
        <w:t>A.</w:t>
      </w:r>
      <w:commentRangeEnd w:id="57"/>
      <w:r w:rsidR="009B61DF">
        <w:rPr>
          <w:rStyle w:val="Refdecomentrio"/>
        </w:rPr>
        <w:commentReference w:id="57"/>
      </w:r>
      <w:r w:rsidR="003B08C7">
        <w:t xml:space="preserve">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 xml:space="preserve"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</w:t>
      </w:r>
      <w:commentRangeStart w:id="58"/>
      <w:r>
        <w:t>educacional</w:t>
      </w:r>
      <w:commentRangeEnd w:id="58"/>
      <w:r w:rsidR="00316DAF">
        <w:rPr>
          <w:rStyle w:val="Refdecomentrio"/>
        </w:rPr>
        <w:commentReference w:id="58"/>
      </w:r>
      <w:r>
        <w:t>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59" w:name="_Toc351015602"/>
      <w:bookmarkEnd w:id="33"/>
      <w:bookmarkEnd w:id="34"/>
      <w:bookmarkEnd w:id="35"/>
      <w:bookmarkEnd w:id="36"/>
      <w:bookmarkEnd w:id="37"/>
      <w:bookmarkEnd w:id="38"/>
      <w:bookmarkEnd w:id="39"/>
      <w:r>
        <w:t>Referências</w:t>
      </w:r>
      <w:bookmarkEnd w:id="59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 xml:space="preserve">JO, Maria Clara Ribeiro. PENNA, Mara </w:t>
      </w:r>
      <w:proofErr w:type="spellStart"/>
      <w:r w:rsidRPr="00317969">
        <w:t>Galupo</w:t>
      </w:r>
      <w:proofErr w:type="spellEnd"/>
      <w:r w:rsidRPr="00317969">
        <w:t xml:space="preserve"> de Paula. Ilusão de óptica: usabilidade no design de ambientes.</w:t>
      </w:r>
      <w:r>
        <w:t xml:space="preserve"> </w:t>
      </w:r>
      <w:r w:rsidR="00E02980">
        <w:t xml:space="preserve">In: </w:t>
      </w:r>
      <w:commentRangeStart w:id="60"/>
      <w:r w:rsidR="00E02980">
        <w:t>12º P&amp;D 2016</w:t>
      </w:r>
      <w:commentRangeEnd w:id="60"/>
      <w:r w:rsidR="00AC40B5">
        <w:rPr>
          <w:rStyle w:val="Refdecomentrio"/>
        </w:rPr>
        <w:commentReference w:id="60"/>
      </w:r>
      <w:r w:rsidR="00E02980">
        <w:t xml:space="preserve">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proofErr w:type="spellStart"/>
      <w:r w:rsidR="00085BEC">
        <w:t>Bluncher</w:t>
      </w:r>
      <w:proofErr w:type="spellEnd"/>
      <w:r w:rsidR="00085BEC">
        <w:t xml:space="preserve">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</w:t>
      </w:r>
      <w:proofErr w:type="spellStart"/>
      <w:r>
        <w:t>Mariluci</w:t>
      </w:r>
      <w:proofErr w:type="spellEnd"/>
      <w:r>
        <w:t xml:space="preserve">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commentRangeStart w:id="61"/>
      <w:r>
        <w:t>CARVALHO</w:t>
      </w:r>
      <w:commentRangeEnd w:id="61"/>
      <w:r w:rsidR="00736448">
        <w:rPr>
          <w:rStyle w:val="Refdecomentrio"/>
        </w:rPr>
        <w:commentReference w:id="61"/>
      </w:r>
      <w:r>
        <w:t xml:space="preserve">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</w:t>
      </w:r>
      <w:proofErr w:type="spellStart"/>
      <w:r>
        <w:t>Antonio</w:t>
      </w:r>
      <w:proofErr w:type="spellEnd"/>
      <w:r>
        <w:t xml:space="preserve">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</w:t>
      </w:r>
      <w:proofErr w:type="spellStart"/>
      <w:r>
        <w:t>Marialice</w:t>
      </w:r>
      <w:proofErr w:type="spellEnd"/>
      <w:r>
        <w:t xml:space="preserve">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proofErr w:type="spellStart"/>
      <w:r w:rsidRPr="0039445F">
        <w:rPr>
          <w:lang w:val="en-US"/>
        </w:rPr>
        <w:t>Acesso</w:t>
      </w:r>
      <w:proofErr w:type="spellEnd"/>
      <w:r w:rsidRPr="0039445F">
        <w:rPr>
          <w:lang w:val="en-US"/>
        </w:rPr>
        <w:t xml:space="preserve"> </w:t>
      </w:r>
      <w:proofErr w:type="spellStart"/>
      <w:r w:rsidRPr="0039445F">
        <w:rPr>
          <w:lang w:val="en-US"/>
        </w:rPr>
        <w:t>em</w:t>
      </w:r>
      <w:proofErr w:type="spellEnd"/>
      <w:r w:rsidRPr="0039445F">
        <w:rPr>
          <w:lang w:val="en-US"/>
        </w:rPr>
        <w:t xml:space="preserve">: 03 </w:t>
      </w:r>
      <w:proofErr w:type="spellStart"/>
      <w:r w:rsidRPr="0039445F">
        <w:rPr>
          <w:lang w:val="en-US"/>
        </w:rPr>
        <w:t>dez</w:t>
      </w:r>
      <w:proofErr w:type="spellEnd"/>
      <w:r w:rsidRPr="0039445F">
        <w:rPr>
          <w:lang w:val="en-US"/>
        </w:rPr>
        <w:t>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 xml:space="preserve">GREGORY, Richard L. Putting Illusions in their Place. </w:t>
      </w:r>
      <w:commentRangeStart w:id="62"/>
      <w:r w:rsidRPr="00905B48">
        <w:rPr>
          <w:lang w:val="en-US"/>
        </w:rPr>
        <w:t>Perception</w:t>
      </w:r>
      <w:commentRangeEnd w:id="62"/>
      <w:r w:rsidR="0093396A">
        <w:rPr>
          <w:rStyle w:val="Refdecomentrio"/>
        </w:rPr>
        <w:commentReference w:id="62"/>
      </w:r>
      <w:r w:rsidRPr="00905B48">
        <w:rPr>
          <w:lang w:val="en-US"/>
        </w:rPr>
        <w:t>, [</w:t>
      </w:r>
      <w:proofErr w:type="spellStart"/>
      <w:r w:rsidRPr="00905B48">
        <w:rPr>
          <w:lang w:val="en-US"/>
        </w:rPr>
        <w:t>s.l.</w:t>
      </w:r>
      <w:proofErr w:type="spellEnd"/>
      <w:r w:rsidRPr="00905B48">
        <w:rPr>
          <w:lang w:val="en-US"/>
        </w:rPr>
        <w:t xml:space="preserve">], v. 20, n. 1, p.1-4, </w:t>
      </w:r>
      <w:proofErr w:type="spellStart"/>
      <w:r w:rsidRPr="00905B48">
        <w:rPr>
          <w:lang w:val="en-US"/>
        </w:rPr>
        <w:t>fev</w:t>
      </w:r>
      <w:proofErr w:type="spellEnd"/>
      <w:r w:rsidRPr="00905B48">
        <w:rPr>
          <w:lang w:val="en-US"/>
        </w:rPr>
        <w:t xml:space="preserve">. 1991. </w:t>
      </w:r>
      <w:r w:rsidRPr="00905B48">
        <w:t xml:space="preserve">SAGE </w:t>
      </w:r>
      <w:proofErr w:type="spellStart"/>
      <w:r w:rsidRPr="00905B48">
        <w:t>Publications</w:t>
      </w:r>
      <w:proofErr w:type="spellEnd"/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</w:t>
      </w:r>
      <w:proofErr w:type="spellStart"/>
      <w:r>
        <w:t>Thayna</w:t>
      </w:r>
      <w:proofErr w:type="spellEnd"/>
      <w:r>
        <w:t xml:space="preserve">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proofErr w:type="gramStart"/>
      <w:r>
        <w:t>N..</w:t>
      </w:r>
      <w:proofErr w:type="gramEnd"/>
      <w:r>
        <w:t xml:space="preserve"> </w:t>
      </w:r>
      <w:proofErr w:type="spellStart"/>
      <w:r>
        <w:rPr>
          <w:b/>
          <w:bCs/>
        </w:rPr>
        <w:t>Cidadaniaar</w:t>
      </w:r>
      <w:proofErr w:type="spellEnd"/>
      <w:r>
        <w:rPr>
          <w:b/>
          <w:bCs/>
        </w:rPr>
        <w:t xml:space="preserve">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commentRangeStart w:id="63"/>
      <w:r>
        <w:t>SILVA</w:t>
      </w:r>
      <w:commentRangeEnd w:id="63"/>
      <w:r w:rsidR="0093396A">
        <w:rPr>
          <w:rStyle w:val="Refdecomentrio"/>
        </w:rPr>
        <w:commentReference w:id="63"/>
      </w:r>
      <w:r>
        <w:t>, Aparecida Francisco d</w:t>
      </w:r>
      <w:r w:rsidR="005E3AE0">
        <w:t>a</w:t>
      </w:r>
      <w:r>
        <w:t xml:space="preserve">. KODAMA, Helia </w:t>
      </w:r>
      <w:proofErr w:type="spellStart"/>
      <w:r>
        <w:t>Matiko</w:t>
      </w:r>
      <w:proofErr w:type="spellEnd"/>
      <w:r>
        <w:t xml:space="preserve">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72E7C" w:rsidRDefault="0015372A" w:rsidP="0015372A">
      <w:pPr>
        <w:pStyle w:val="TF-refernciasITEM"/>
      </w:pPr>
      <w:r w:rsidRPr="005D250B">
        <w:t xml:space="preserve">SKELETON BUSINESS. </w:t>
      </w:r>
      <w:proofErr w:type="spellStart"/>
      <w:r w:rsidRPr="005D250B">
        <w:rPr>
          <w:b/>
          <w:bCs/>
        </w:rPr>
        <w:t>Vignettes</w:t>
      </w:r>
      <w:proofErr w:type="spellEnd"/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72E7C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40B67DB1" w14:textId="34A70D49" w:rsidR="00515CEF" w:rsidRDefault="0015372A" w:rsidP="001064B5">
      <w:pPr>
        <w:pStyle w:val="TF-refernciasITEM"/>
      </w:pPr>
      <w:r w:rsidRPr="00951320">
        <w:t xml:space="preserve">USTWO GAMES. </w:t>
      </w:r>
      <w:proofErr w:type="spellStart"/>
      <w:r w:rsidRPr="00951320">
        <w:rPr>
          <w:b/>
          <w:bCs/>
        </w:rPr>
        <w:t>Monument</w:t>
      </w:r>
      <w:proofErr w:type="spellEnd"/>
      <w:r w:rsidRPr="00951320">
        <w:rPr>
          <w:b/>
          <w:bCs/>
        </w:rPr>
        <w:t xml:space="preserve">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p w14:paraId="07B566AA" w14:textId="553043A0" w:rsidR="00B72E7C" w:rsidRDefault="00B72E7C">
      <w:pPr>
        <w:keepNext w:val="0"/>
        <w:keepLines w:val="0"/>
        <w:rPr>
          <w:sz w:val="20"/>
          <w:szCs w:val="20"/>
        </w:rPr>
      </w:pPr>
      <w:r>
        <w:br w:type="page"/>
      </w:r>
    </w:p>
    <w:p w14:paraId="7100AEBC" w14:textId="77777777" w:rsidR="00B72E7C" w:rsidRPr="00320BFA" w:rsidRDefault="00B72E7C" w:rsidP="00B72E7C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423C5A7B" w14:textId="6EBBA739" w:rsidR="00B72E7C" w:rsidRDefault="00B72E7C" w:rsidP="00B72E7C">
      <w:pPr>
        <w:pStyle w:val="TF-xAvalLINHA"/>
      </w:pPr>
      <w:r w:rsidRPr="00320BFA">
        <w:t>Avaliador(a):</w:t>
      </w:r>
      <w:r w:rsidRPr="00320BFA">
        <w:tab/>
      </w:r>
      <w:r w:rsidRPr="00B72E7C">
        <w:t>Maurício Capobianco Lopes</w:t>
      </w:r>
    </w:p>
    <w:p w14:paraId="20680803" w14:textId="77777777" w:rsidR="00B72E7C" w:rsidRPr="00320BFA" w:rsidRDefault="00B72E7C" w:rsidP="00B72E7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774"/>
        <w:gridCol w:w="844"/>
        <w:gridCol w:w="844"/>
        <w:gridCol w:w="359"/>
      </w:tblGrid>
      <w:tr w:rsidR="00B72E7C" w:rsidRPr="00320BFA" w14:paraId="6E945637" w14:textId="77777777" w:rsidTr="003607F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82112" w14:textId="77777777" w:rsidR="00B72E7C" w:rsidRPr="00320BFA" w:rsidRDefault="00B72E7C" w:rsidP="003607F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E9A268" w14:textId="77777777" w:rsidR="00B72E7C" w:rsidRPr="00320BFA" w:rsidRDefault="00B72E7C" w:rsidP="00360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0834B7" w14:textId="77777777" w:rsidR="00B72E7C" w:rsidRPr="00320BFA" w:rsidRDefault="00B72E7C" w:rsidP="00360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DB2E84" w14:textId="77777777" w:rsidR="00B72E7C" w:rsidRPr="00320BFA" w:rsidRDefault="00B72E7C" w:rsidP="003607FE">
            <w:pPr>
              <w:pStyle w:val="TF-xAvalITEMTABELA"/>
            </w:pPr>
            <w:r w:rsidRPr="00320BFA">
              <w:t>não atende</w:t>
            </w:r>
          </w:p>
        </w:tc>
      </w:tr>
      <w:tr w:rsidR="00B72E7C" w:rsidRPr="00320BFA" w14:paraId="2A16839F" w14:textId="77777777" w:rsidTr="003607F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BBC7B22" w14:textId="77777777" w:rsidR="00B72E7C" w:rsidRPr="00320BFA" w:rsidRDefault="00B72E7C" w:rsidP="003607F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AAA2" w14:textId="77777777" w:rsidR="00B72E7C" w:rsidRPr="00821EE8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EBAD62D" w14:textId="77777777" w:rsidR="00B72E7C" w:rsidRPr="00821EE8" w:rsidRDefault="00B72E7C" w:rsidP="003607F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679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2D" w14:textId="520A2CFC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4"/>
            <w:r>
              <w:rPr>
                <w:sz w:val="18"/>
              </w:rPr>
              <w:t>x</w:t>
            </w:r>
            <w:commentRangeEnd w:id="64"/>
            <w:r>
              <w:rPr>
                <w:rStyle w:val="Refdecomentrio"/>
              </w:rPr>
              <w:commentReference w:id="64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B7F11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89A7E63" w14:textId="77777777" w:rsidTr="003607F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C4397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4CE3" w14:textId="77777777" w:rsidR="00B72E7C" w:rsidRPr="00821EE8" w:rsidRDefault="00B72E7C" w:rsidP="003607F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7A14" w14:textId="6B6C9603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46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CCEC85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35B1397B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F6E29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FEB3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774F0C5" w14:textId="77777777" w:rsidR="00B72E7C" w:rsidRPr="00320BFA" w:rsidRDefault="00B72E7C" w:rsidP="003607F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83F0" w14:textId="2E42D961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8E3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4A455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6BFE330C" w14:textId="77777777" w:rsidTr="003607F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F6ED09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6BCE" w14:textId="77777777" w:rsidR="00B72E7C" w:rsidRPr="00320BFA" w:rsidRDefault="00B72E7C" w:rsidP="00360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94A" w14:textId="559A1C34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B25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0DF1B4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C70DF0D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93718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5522" w14:textId="77777777" w:rsidR="00B72E7C" w:rsidRPr="00EE20C1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0A5C2C9" w14:textId="77777777" w:rsidR="00B72E7C" w:rsidRPr="00EE20C1" w:rsidRDefault="00B72E7C" w:rsidP="003607F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4CCB" w14:textId="1438D90D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5"/>
            <w:r>
              <w:rPr>
                <w:sz w:val="18"/>
              </w:rPr>
              <w:t>x</w:t>
            </w:r>
            <w:commentRangeEnd w:id="65"/>
            <w:r>
              <w:rPr>
                <w:rStyle w:val="Refdecomentrio"/>
              </w:rPr>
              <w:commentReference w:id="65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F54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8312B0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63251CF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29CBF8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9F31" w14:textId="77777777" w:rsidR="00B72E7C" w:rsidRPr="00EE20C1" w:rsidRDefault="00B72E7C" w:rsidP="003607F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FA2F" w14:textId="63EB7940" w:rsidR="00B72E7C" w:rsidRPr="00320BFA" w:rsidRDefault="00902E38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BFA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D1518D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FA244E9" w14:textId="77777777" w:rsidTr="003607F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7945E5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4EEA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B8F2FFE" w14:textId="77777777" w:rsidR="00B72E7C" w:rsidRPr="00320BFA" w:rsidRDefault="00B72E7C" w:rsidP="00360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D39A" w14:textId="53C3B2A7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9AD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B8A38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BBE649D" w14:textId="77777777" w:rsidTr="003607F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A6BD3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494" w14:textId="77777777" w:rsidR="00B72E7C" w:rsidRPr="00320BFA" w:rsidRDefault="00B72E7C" w:rsidP="003607F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CAB7" w14:textId="15A99048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83C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DC6293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12FB5FC" w14:textId="77777777" w:rsidTr="003607F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26B24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2B94" w14:textId="77777777" w:rsidR="00B72E7C" w:rsidRPr="00801036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39417694" w14:textId="77777777" w:rsidR="00B72E7C" w:rsidRPr="00801036" w:rsidRDefault="00B72E7C" w:rsidP="003607F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CCE2" w14:textId="77777777" w:rsidR="00B72E7C" w:rsidRPr="00801036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31E" w14:textId="2510C4F1" w:rsidR="00B72E7C" w:rsidRPr="00801036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28EDF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0C461120" w14:textId="77777777" w:rsidTr="003607F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656E7E" w14:textId="77777777" w:rsidR="00B72E7C" w:rsidRPr="00320BFA" w:rsidRDefault="00B72E7C" w:rsidP="003607F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D1D4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21AAE19" w14:textId="77777777" w:rsidR="00B72E7C" w:rsidRPr="00320BFA" w:rsidRDefault="00B72E7C" w:rsidP="00360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C722" w14:textId="0F602087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12D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13B8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497CC9D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0BB2FE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A739" w14:textId="77777777" w:rsidR="00B72E7C" w:rsidRPr="00320BFA" w:rsidRDefault="00B72E7C" w:rsidP="00360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D60" w14:textId="75CC9FC0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7A8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B47FC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9701827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918784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9CB0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56FB539" w14:textId="77777777" w:rsidR="00B72E7C" w:rsidRPr="00320BFA" w:rsidRDefault="00B72E7C" w:rsidP="003607F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28C6" w14:textId="4619783E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E59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C5558F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626B30CF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5B7BC4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1C0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F8C4A87" w14:textId="77777777" w:rsidR="00B72E7C" w:rsidRPr="00320BFA" w:rsidRDefault="00B72E7C" w:rsidP="003607F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1DB1" w14:textId="5A26C727" w:rsidR="00B72E7C" w:rsidRPr="00320BFA" w:rsidRDefault="004A2B71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ADC" w14:textId="77777777" w:rsidR="00B72E7C" w:rsidRPr="00320BFA" w:rsidRDefault="00B72E7C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161A0" w14:textId="77777777" w:rsidR="00B72E7C" w:rsidRPr="00320BFA" w:rsidRDefault="00B72E7C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1E7ADEFD" w14:textId="77777777" w:rsidTr="003607F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3C4E7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0557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0CBAE99" w14:textId="77777777" w:rsidR="00B72E7C" w:rsidRPr="00320BFA" w:rsidRDefault="00B72E7C" w:rsidP="003607F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52C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20EA" w14:textId="1CB2FAD6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D66203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2FCFB552" w14:textId="77777777" w:rsidTr="003607F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C957D7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BB55" w14:textId="77777777" w:rsidR="00B72E7C" w:rsidRPr="00320BFA" w:rsidRDefault="00B72E7C" w:rsidP="003607F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78D5" w14:textId="194DAB27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BC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6D3D2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3557DC0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BCE73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DBEC71" w14:textId="77777777" w:rsidR="00B72E7C" w:rsidRPr="00320BFA" w:rsidRDefault="00B72E7C" w:rsidP="003607F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0A7CA6" w14:textId="53ABAE9D" w:rsidR="00B72E7C" w:rsidRPr="00320BFA" w:rsidRDefault="004A2B71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5CBEB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0DB7E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1C5FE40" w14:textId="77777777" w:rsidR="00B72E7C" w:rsidRPr="003F5F25" w:rsidRDefault="00B72E7C" w:rsidP="00B72E7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B72E7C" w:rsidRPr="00320BFA" w14:paraId="5682BBB5" w14:textId="77777777" w:rsidTr="003607FE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B7AC5F" w14:textId="77777777" w:rsidR="00B72E7C" w:rsidRPr="00320BFA" w:rsidRDefault="00B72E7C" w:rsidP="003607F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85CB186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7132292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421FA0D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72E7C" w:rsidRPr="00320BFA" w14:paraId="7B30B48A" w14:textId="77777777" w:rsidTr="003607FE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067F9AD" w14:textId="77777777" w:rsidR="00B72E7C" w:rsidRPr="00320BFA" w:rsidRDefault="00B72E7C" w:rsidP="003607F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FE24367" w14:textId="7C56A6C1" w:rsidR="00B72E7C" w:rsidRPr="00320BFA" w:rsidRDefault="00B72E7C" w:rsidP="003607F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4A2B71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40B371" w14:textId="77777777" w:rsidR="00B72E7C" w:rsidRPr="00320BFA" w:rsidRDefault="00B72E7C" w:rsidP="003607F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68AFEB5" w14:textId="77777777" w:rsidR="00B72E7C" w:rsidRDefault="00B72E7C" w:rsidP="00B72E7C">
      <w:pPr>
        <w:pStyle w:val="TF-xAvalTTULO"/>
        <w:ind w:left="0" w:firstLine="0"/>
        <w:jc w:val="left"/>
      </w:pPr>
    </w:p>
    <w:p w14:paraId="379F2FFC" w14:textId="77777777" w:rsidR="00B72E7C" w:rsidRPr="00CE386B" w:rsidRDefault="00B72E7C" w:rsidP="001064B5">
      <w:pPr>
        <w:pStyle w:val="TF-refernciasITEM"/>
      </w:pPr>
    </w:p>
    <w:sectPr w:rsidR="00B72E7C" w:rsidRPr="00CE386B" w:rsidSect="00FF41EA">
      <w:headerReference w:type="default" r:id="rId21"/>
      <w:footerReference w:type="even" r:id="rId22"/>
      <w:footerReference w:type="default" r:id="rId23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2-12-21T21:15:00Z" w:initials="MCL">
    <w:p w14:paraId="1DD3F027" w14:textId="437A230D" w:rsidR="00F333F3" w:rsidRDefault="00F333F3">
      <w:pPr>
        <w:pStyle w:val="Textodecomentrio"/>
      </w:pPr>
      <w:r>
        <w:rPr>
          <w:rStyle w:val="Refdecomentrio"/>
        </w:rPr>
        <w:annotationRef/>
      </w:r>
      <w:r>
        <w:t xml:space="preserve">Veja só: esse trecho está </w:t>
      </w:r>
      <w:r w:rsidR="009D7CA7">
        <w:t>copiado exatamente igual ao original. Mesmo tendo a referência, isso configura plágio, e plágio é crime.</w:t>
      </w:r>
      <w:r w:rsidR="00FB47C4">
        <w:br/>
        <w:t>Se você quer colocar exatamente igual você tem que fazer uma citação direta</w:t>
      </w:r>
      <w:r w:rsidR="00D477C8">
        <w:t xml:space="preserve"> que é aquela entre aspas ou com recuo, dependendo do tamanho. Creio que isso não foi a única coisa que você copiou. No seu TCC isso não pode acontecer em nenhuma hipótese.</w:t>
      </w:r>
    </w:p>
  </w:comment>
  <w:comment w:id="10" w:author="Mauricio Capobianco Lopes" w:date="2022-12-21T21:20:00Z" w:initials="MCL">
    <w:p w14:paraId="3B5B8586" w14:textId="6B59023E" w:rsidR="005175DC" w:rsidRDefault="005175DC">
      <w:pPr>
        <w:pStyle w:val="Textodecomentrio"/>
      </w:pPr>
      <w:r>
        <w:rPr>
          <w:rStyle w:val="Refdecomentrio"/>
        </w:rPr>
        <w:annotationRef/>
      </w:r>
      <w:r>
        <w:t>Isso deveria estar contextualizado na introdução. Da forma que está fica incompleta.</w:t>
      </w:r>
    </w:p>
  </w:comment>
  <w:comment w:id="25" w:author="Mauricio Capobianco Lopes" w:date="2022-12-21T21:21:00Z" w:initials="MCL">
    <w:p w14:paraId="5321E893" w14:textId="6416C88F" w:rsidR="00C65061" w:rsidRDefault="00C65061">
      <w:pPr>
        <w:pStyle w:val="Textodecomentrio"/>
      </w:pPr>
      <w:r>
        <w:rPr>
          <w:rStyle w:val="Refdecomentrio"/>
        </w:rPr>
        <w:annotationRef/>
      </w:r>
      <w:r>
        <w:t>Evite repetir os verbos.</w:t>
      </w:r>
    </w:p>
  </w:comment>
  <w:comment w:id="30" w:author="Mauricio Capobianco Lopes" w:date="2022-12-21T21:22:00Z" w:initials="MCL">
    <w:p w14:paraId="6FC5126C" w14:textId="2F10DFE9" w:rsidR="001A182C" w:rsidRDefault="001A182C">
      <w:pPr>
        <w:pStyle w:val="Textodecomentrio"/>
      </w:pPr>
      <w:r>
        <w:rPr>
          <w:rStyle w:val="Refdecomentrio"/>
        </w:rPr>
        <w:annotationRef/>
      </w:r>
      <w:r>
        <w:t>Caixa alta.</w:t>
      </w:r>
    </w:p>
  </w:comment>
  <w:comment w:id="49" w:author="Mauricio Capobianco Lopes" w:date="2022-12-21T21:23:00Z" w:initials="MCL">
    <w:p w14:paraId="21E6612B" w14:textId="4FA7A6F8" w:rsidR="00BF4F80" w:rsidRDefault="00BF4F80">
      <w:pPr>
        <w:pStyle w:val="Textodecomentrio"/>
      </w:pPr>
      <w:r>
        <w:rPr>
          <w:rStyle w:val="Refdecomentrio"/>
        </w:rPr>
        <w:annotationRef/>
      </w:r>
      <w:r>
        <w:t>Ficaram simplificadas as explicações.</w:t>
      </w:r>
    </w:p>
  </w:comment>
  <w:comment w:id="50" w:author="Mauricio Capobianco Lopes" w:date="2022-12-21T21:24:00Z" w:initials="MCL">
    <w:p w14:paraId="76DAD85A" w14:textId="0669E0CC" w:rsidR="00614C86" w:rsidRDefault="00614C86">
      <w:pPr>
        <w:pStyle w:val="Textodecomentrio"/>
      </w:pPr>
      <w:r>
        <w:rPr>
          <w:rStyle w:val="Refdecomentrio"/>
        </w:rPr>
        <w:annotationRef/>
      </w:r>
      <w:r>
        <w:t>Acho bom você estudar o que são requisitos funcionais</w:t>
      </w:r>
      <w:r w:rsidR="00C530FE">
        <w:t>, não funcionais e regras de negócio</w:t>
      </w:r>
      <w:r>
        <w:t>. Retoma lá os materiais de Engenharia de Software.</w:t>
      </w:r>
    </w:p>
  </w:comment>
  <w:comment w:id="52" w:author="Mauricio Capobianco Lopes" w:date="2022-12-21T21:26:00Z" w:initials="MCL">
    <w:p w14:paraId="6FB9F4A0" w14:textId="6D2D516E" w:rsidR="00584186" w:rsidRDefault="00584186">
      <w:pPr>
        <w:pStyle w:val="Textodecomentrio"/>
      </w:pPr>
      <w:r>
        <w:rPr>
          <w:rStyle w:val="Refdecomentrio"/>
        </w:rPr>
        <w:annotationRef/>
      </w:r>
      <w:r>
        <w:t>No TCC não poderá se basear em um único autor. Também terá que ampliar.</w:t>
      </w:r>
    </w:p>
  </w:comment>
  <w:comment w:id="55" w:author="Mauricio Capobianco Lopes" w:date="2022-12-21T21:28:00Z" w:initials="MCL">
    <w:p w14:paraId="70C8A3D4" w14:textId="2ACE8FFC" w:rsidR="00234619" w:rsidRDefault="00234619">
      <w:pPr>
        <w:pStyle w:val="Textodecomentrio"/>
      </w:pPr>
      <w:r>
        <w:rPr>
          <w:rStyle w:val="Refdecomentrio"/>
        </w:rPr>
        <w:annotationRef/>
      </w:r>
      <w:r>
        <w:t>O TCC vai ter que indicar com o que você pretende trabalhar disso que está aqui. Também não está clara a relação com a realidade virtual.</w:t>
      </w:r>
    </w:p>
  </w:comment>
  <w:comment w:id="56" w:author="Mauricio Capobianco Lopes" w:date="2022-12-21T21:28:00Z" w:initials="MCL">
    <w:p w14:paraId="51C0927D" w14:textId="2CF83CE3" w:rsidR="007302FD" w:rsidRDefault="007302FD">
      <w:pPr>
        <w:pStyle w:val="Textodecomentrio"/>
      </w:pPr>
      <w:r>
        <w:rPr>
          <w:rStyle w:val="Refdecomentrio"/>
        </w:rPr>
        <w:annotationRef/>
      </w:r>
      <w:r>
        <w:t>Texto no impessoal.</w:t>
      </w:r>
    </w:p>
  </w:comment>
  <w:comment w:id="57" w:author="Mauricio Capobianco Lopes" w:date="2022-12-21T21:29:00Z" w:initials="MCL">
    <w:p w14:paraId="64AD6248" w14:textId="4D4D590B" w:rsidR="009B61DF" w:rsidRDefault="009B61DF">
      <w:pPr>
        <w:pStyle w:val="Textodecomentrio"/>
      </w:pPr>
      <w:r>
        <w:rPr>
          <w:rStyle w:val="Refdecomentrio"/>
        </w:rPr>
        <w:annotationRef/>
      </w:r>
      <w:r>
        <w:t xml:space="preserve">Não precisa, até </w:t>
      </w:r>
      <w:proofErr w:type="spellStart"/>
      <w:r>
        <w:t>pq</w:t>
      </w:r>
      <w:proofErr w:type="spellEnd"/>
      <w:r>
        <w:t xml:space="preserve"> está errado.</w:t>
      </w:r>
    </w:p>
  </w:comment>
  <w:comment w:id="58" w:author="Mauricio Capobianco Lopes" w:date="2022-12-21T21:30:00Z" w:initials="MCL">
    <w:p w14:paraId="2A577B99" w14:textId="0392FCFB" w:rsidR="00316DAF" w:rsidRDefault="00316DAF">
      <w:pPr>
        <w:pStyle w:val="Textodecomentrio"/>
      </w:pPr>
      <w:r>
        <w:rPr>
          <w:rStyle w:val="Refdecomentrio"/>
        </w:rPr>
        <w:annotationRef/>
      </w:r>
      <w:r>
        <w:t xml:space="preserve">Isso faz algum sentido para o seu trabalho? </w:t>
      </w:r>
      <w:r w:rsidR="00256B3B">
        <w:t>Você deve colocar aqui o que vai te ajudar a construir seu app, por exemplo.</w:t>
      </w:r>
    </w:p>
  </w:comment>
  <w:comment w:id="60" w:author="Mauricio Capobianco Lopes" w:date="2022-12-21T21:31:00Z" w:initials="MCL">
    <w:p w14:paraId="27F51933" w14:textId="1552DC70" w:rsidR="00AC40B5" w:rsidRDefault="00AC40B5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61" w:author="Mauricio Capobianco Lopes" w:date="2022-12-21T21:09:00Z" w:initials="MCL">
    <w:p w14:paraId="70917F10" w14:textId="4887DC25" w:rsidR="00736448" w:rsidRDefault="00736448">
      <w:pPr>
        <w:pStyle w:val="Textodecomentrio"/>
      </w:pPr>
      <w:r>
        <w:rPr>
          <w:rStyle w:val="Refdecomentrio"/>
        </w:rPr>
        <w:annotationRef/>
      </w:r>
      <w:r>
        <w:t>Totalmente fora da ABNT</w:t>
      </w:r>
    </w:p>
  </w:comment>
  <w:comment w:id="62" w:author="Mauricio Capobianco Lopes" w:date="2022-12-21T21:31:00Z" w:initials="MCL">
    <w:p w14:paraId="5304B67B" w14:textId="0ED22038" w:rsidR="0093396A" w:rsidRDefault="0093396A">
      <w:pPr>
        <w:pStyle w:val="Textodecomentrio"/>
      </w:pPr>
      <w:r>
        <w:rPr>
          <w:rStyle w:val="Refdecomentrio"/>
        </w:rPr>
        <w:annotationRef/>
      </w:r>
      <w:r>
        <w:t xml:space="preserve">Negrito </w:t>
      </w:r>
    </w:p>
  </w:comment>
  <w:comment w:id="63" w:author="Mauricio Capobianco Lopes" w:date="2022-12-21T21:32:00Z" w:initials="MCL">
    <w:p w14:paraId="2E2AB679" w14:textId="7F6301B6" w:rsidR="0093396A" w:rsidRDefault="0093396A">
      <w:pPr>
        <w:pStyle w:val="Textodecomentrio"/>
      </w:pPr>
      <w:r>
        <w:rPr>
          <w:rStyle w:val="Refdecomentrio"/>
        </w:rPr>
        <w:annotationRef/>
      </w:r>
      <w:r>
        <w:t>Fora da norma.</w:t>
      </w:r>
    </w:p>
  </w:comment>
  <w:comment w:id="64" w:author="Mauricio Capobianco Lopes" w:date="2022-12-21T21:32:00Z" w:initials="MCL">
    <w:p w14:paraId="3FC3E275" w14:textId="367B2B8F" w:rsidR="00902E38" w:rsidRDefault="00902E38">
      <w:pPr>
        <w:pStyle w:val="Textodecomentrio"/>
      </w:pPr>
      <w:r>
        <w:rPr>
          <w:rStyle w:val="Refdecomentrio"/>
        </w:rPr>
        <w:annotationRef/>
      </w:r>
      <w:r>
        <w:t>Faltam elementos na introdução.</w:t>
      </w:r>
    </w:p>
  </w:comment>
  <w:comment w:id="65" w:author="Mauricio Capobianco Lopes" w:date="2022-12-21T21:33:00Z" w:initials="MCL">
    <w:p w14:paraId="5B97688F" w14:textId="589417B0" w:rsidR="00902E38" w:rsidRDefault="00902E38">
      <w:pPr>
        <w:pStyle w:val="Textodecomentrio"/>
      </w:pPr>
      <w:r>
        <w:rPr>
          <w:rStyle w:val="Refdecomentrio"/>
        </w:rPr>
        <w:annotationRef/>
      </w:r>
      <w:r>
        <w:t xml:space="preserve">Coloquei os dois </w:t>
      </w:r>
      <w:proofErr w:type="gramStart"/>
      <w:r>
        <w:t>aqui</w:t>
      </w:r>
      <w:proofErr w:type="gramEnd"/>
      <w:r>
        <w:t xml:space="preserve"> mas não estou feliz.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D3F027" w15:done="0"/>
  <w15:commentEx w15:paraId="3B5B8586" w15:done="0"/>
  <w15:commentEx w15:paraId="5321E893" w15:done="0"/>
  <w15:commentEx w15:paraId="6FC5126C" w15:done="0"/>
  <w15:commentEx w15:paraId="21E6612B" w15:done="0"/>
  <w15:commentEx w15:paraId="76DAD85A" w15:done="0"/>
  <w15:commentEx w15:paraId="6FB9F4A0" w15:done="0"/>
  <w15:commentEx w15:paraId="70C8A3D4" w15:done="0"/>
  <w15:commentEx w15:paraId="51C0927D" w15:done="0"/>
  <w15:commentEx w15:paraId="64AD6248" w15:done="0"/>
  <w15:commentEx w15:paraId="2A577B99" w15:done="0"/>
  <w15:commentEx w15:paraId="27F51933" w15:done="0"/>
  <w15:commentEx w15:paraId="70917F10" w15:done="0"/>
  <w15:commentEx w15:paraId="5304B67B" w15:done="0"/>
  <w15:commentEx w15:paraId="2E2AB679" w15:done="0"/>
  <w15:commentEx w15:paraId="3FC3E275" w15:done="0"/>
  <w15:commentEx w15:paraId="5B9768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DF60F" w16cex:dateUtc="2022-12-22T00:15:00Z"/>
  <w16cex:commentExtensible w16cex:durableId="274DF704" w16cex:dateUtc="2022-12-22T00:20:00Z"/>
  <w16cex:commentExtensible w16cex:durableId="274DF740" w16cex:dateUtc="2022-12-22T00:21:00Z"/>
  <w16cex:commentExtensible w16cex:durableId="274DF791" w16cex:dateUtc="2022-12-22T00:22:00Z"/>
  <w16cex:commentExtensible w16cex:durableId="274DF7EA" w16cex:dateUtc="2022-12-22T00:23:00Z"/>
  <w16cex:commentExtensible w16cex:durableId="274DF800" w16cex:dateUtc="2022-12-22T00:24:00Z"/>
  <w16cex:commentExtensible w16cex:durableId="274DF878" w16cex:dateUtc="2022-12-22T00:26:00Z"/>
  <w16cex:commentExtensible w16cex:durableId="274DF8EC" w16cex:dateUtc="2022-12-22T00:28:00Z"/>
  <w16cex:commentExtensible w16cex:durableId="274DF917" w16cex:dateUtc="2022-12-22T00:28:00Z"/>
  <w16cex:commentExtensible w16cex:durableId="274DF938" w16cex:dateUtc="2022-12-22T00:29:00Z"/>
  <w16cex:commentExtensible w16cex:durableId="274DF96B" w16cex:dateUtc="2022-12-22T00:30:00Z"/>
  <w16cex:commentExtensible w16cex:durableId="274DF9AE" w16cex:dateUtc="2022-12-22T00:31:00Z"/>
  <w16cex:commentExtensible w16cex:durableId="274DF48D" w16cex:dateUtc="2022-12-22T00:09:00Z"/>
  <w16cex:commentExtensible w16cex:durableId="274DF9CB" w16cex:dateUtc="2022-12-22T00:31:00Z"/>
  <w16cex:commentExtensible w16cex:durableId="274DF9E4" w16cex:dateUtc="2022-12-22T00:32:00Z"/>
  <w16cex:commentExtensible w16cex:durableId="274DFA02" w16cex:dateUtc="2022-12-22T00:32:00Z"/>
  <w16cex:commentExtensible w16cex:durableId="274DFA16" w16cex:dateUtc="2022-12-22T0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D3F027" w16cid:durableId="274DF60F"/>
  <w16cid:commentId w16cid:paraId="3B5B8586" w16cid:durableId="274DF704"/>
  <w16cid:commentId w16cid:paraId="5321E893" w16cid:durableId="274DF740"/>
  <w16cid:commentId w16cid:paraId="6FC5126C" w16cid:durableId="274DF791"/>
  <w16cid:commentId w16cid:paraId="21E6612B" w16cid:durableId="274DF7EA"/>
  <w16cid:commentId w16cid:paraId="76DAD85A" w16cid:durableId="274DF800"/>
  <w16cid:commentId w16cid:paraId="6FB9F4A0" w16cid:durableId="274DF878"/>
  <w16cid:commentId w16cid:paraId="70C8A3D4" w16cid:durableId="274DF8EC"/>
  <w16cid:commentId w16cid:paraId="51C0927D" w16cid:durableId="274DF917"/>
  <w16cid:commentId w16cid:paraId="64AD6248" w16cid:durableId="274DF938"/>
  <w16cid:commentId w16cid:paraId="2A577B99" w16cid:durableId="274DF96B"/>
  <w16cid:commentId w16cid:paraId="27F51933" w16cid:durableId="274DF9AE"/>
  <w16cid:commentId w16cid:paraId="70917F10" w16cid:durableId="274DF48D"/>
  <w16cid:commentId w16cid:paraId="5304B67B" w16cid:durableId="274DF9CB"/>
  <w16cid:commentId w16cid:paraId="2E2AB679" w16cid:durableId="274DF9E4"/>
  <w16cid:commentId w16cid:paraId="3FC3E275" w16cid:durableId="274DFA02"/>
  <w16cid:commentId w16cid:paraId="5B97688F" w16cid:durableId="274DFA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CE07" w14:textId="77777777" w:rsidR="00344F46" w:rsidRDefault="00344F46">
      <w:r>
        <w:separator/>
      </w:r>
    </w:p>
  </w:endnote>
  <w:endnote w:type="continuationSeparator" w:id="0">
    <w:p w14:paraId="284C701F" w14:textId="77777777" w:rsidR="00344F46" w:rsidRDefault="0034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AA28" w14:textId="77777777" w:rsidR="00344F46" w:rsidRDefault="00344F46">
      <w:r>
        <w:separator/>
      </w:r>
    </w:p>
  </w:footnote>
  <w:footnote w:type="continuationSeparator" w:id="0">
    <w:p w14:paraId="5C45BAF0" w14:textId="77777777" w:rsidR="00344F46" w:rsidRDefault="0034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4217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82C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4619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6B3B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6DAF"/>
    <w:rsid w:val="00317969"/>
    <w:rsid w:val="00320BFA"/>
    <w:rsid w:val="0032378D"/>
    <w:rsid w:val="00325B26"/>
    <w:rsid w:val="00326D25"/>
    <w:rsid w:val="003323B0"/>
    <w:rsid w:val="00333D42"/>
    <w:rsid w:val="00335048"/>
    <w:rsid w:val="0033527D"/>
    <w:rsid w:val="00336CA2"/>
    <w:rsid w:val="00340AD0"/>
    <w:rsid w:val="00340B6D"/>
    <w:rsid w:val="00340C8E"/>
    <w:rsid w:val="00344540"/>
    <w:rsid w:val="00344F46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2B71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175DC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18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14C86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2FD"/>
    <w:rsid w:val="007304F3"/>
    <w:rsid w:val="00730839"/>
    <w:rsid w:val="00730F60"/>
    <w:rsid w:val="00731D98"/>
    <w:rsid w:val="00733FF9"/>
    <w:rsid w:val="007355EE"/>
    <w:rsid w:val="00736448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2E38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396A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B61DF"/>
    <w:rsid w:val="009C1B04"/>
    <w:rsid w:val="009C31D4"/>
    <w:rsid w:val="009C742C"/>
    <w:rsid w:val="009D0C31"/>
    <w:rsid w:val="009D5295"/>
    <w:rsid w:val="009D65D0"/>
    <w:rsid w:val="009D7CA7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5376"/>
    <w:rsid w:val="00AA650B"/>
    <w:rsid w:val="00AB2BE3"/>
    <w:rsid w:val="00AB53DF"/>
    <w:rsid w:val="00AB7834"/>
    <w:rsid w:val="00AC3384"/>
    <w:rsid w:val="00AC40B5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2E7C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BF4F80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30FE"/>
    <w:rsid w:val="00C550AC"/>
    <w:rsid w:val="00C632ED"/>
    <w:rsid w:val="00C64607"/>
    <w:rsid w:val="00C65061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477C8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33F3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7C4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10</Pages>
  <Words>4635</Words>
  <Characters>25033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Mauricio Capobianco Lopes</cp:lastModifiedBy>
  <cp:revision>210</cp:revision>
  <cp:lastPrinted>2022-10-12T14:56:00Z</cp:lastPrinted>
  <dcterms:created xsi:type="dcterms:W3CDTF">2022-10-12T14:56:00Z</dcterms:created>
  <dcterms:modified xsi:type="dcterms:W3CDTF">2022-12-22T00:33:00Z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