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12E45860" w:rsidR="00620BF5" w:rsidRPr="003C5262" w:rsidRDefault="00B37046" w:rsidP="00BE39CF">
            <w:pPr>
              <w:pStyle w:val="Cabealho"/>
              <w:tabs>
                <w:tab w:val="clear" w:pos="8640"/>
                <w:tab w:val="right" w:pos="8931"/>
              </w:tabs>
              <w:ind w:right="141"/>
            </w:pPr>
            <w:r>
              <w:rPr>
                <w:rStyle w:val="Nmerodepgina"/>
              </w:rPr>
              <w:t>(</w:t>
            </w:r>
            <w:r w:rsidR="00620BF5">
              <w:rPr>
                <w:rStyle w:val="Nmerodepgina"/>
              </w:rPr>
              <w:t xml:space="preserve">) </w:t>
            </w:r>
            <w:r w:rsidR="00185F3F">
              <w:rPr>
                <w:rStyle w:val="Nmerodepgina"/>
              </w:rPr>
              <w:t xml:space="preserve">Pré-projeto </w:t>
            </w:r>
            <w:r w:rsidR="00620BF5">
              <w:rPr>
                <w:rStyle w:val="Nmerodepgina"/>
              </w:rPr>
              <w:t>(</w:t>
            </w:r>
            <w:r w:rsidR="00405B77">
              <w:rPr>
                <w:rStyle w:val="Nmerodepgina"/>
              </w:rPr>
              <w:t>x</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5D8DBA5D"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405B77" w:rsidRPr="00D524B7">
              <w:rPr>
                <w:rStyle w:val="Nmerodepgina"/>
              </w:rPr>
              <w:t>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lastRenderedPageBreak/>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55A9206A"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405B77">
        <w:t xml:space="preserve"> </w:t>
      </w:r>
      <w:r w:rsidR="00E84ADC">
        <w:t>por meio</w:t>
      </w:r>
      <w:r w:rsidR="00E84ADC" w:rsidRPr="00D524B7">
        <w:t xml:space="preserve"> </w:t>
      </w:r>
      <w:r w:rsidR="00405B77" w:rsidRPr="00D524B7">
        <w:t>da implementação das atividades mediante o emprego de agentes digitais encarregados da execução das agendas designadas</w:t>
      </w:r>
      <w:r w:rsidR="00D407E6" w:rsidRPr="00D524B7">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w:t>
      </w:r>
      <w:r w:rsidR="00633D0D">
        <w:t>automatizada</w:t>
      </w:r>
      <w:r w:rsidR="00DA088A">
        <w:t xml:space="preserve"> </w:t>
      </w:r>
      <w:r w:rsidR="001A57A7">
        <w:t xml:space="preserve">e </w:t>
      </w:r>
      <w:r w:rsidR="00DA088A">
        <w:t>a manual</w:t>
      </w:r>
      <w:r w:rsidR="00324F40">
        <w:t>.</w:t>
      </w:r>
    </w:p>
    <w:p w14:paraId="143D09BC" w14:textId="0765C1CF" w:rsidR="00431D5B" w:rsidRDefault="00C67979" w:rsidP="00256638">
      <w:pPr>
        <w:pStyle w:val="Ttulo1"/>
      </w:pPr>
      <w:bookmarkStart w:id="9" w:name="_Toc419598587"/>
      <w:r>
        <w:t>Bases Teóricas</w:t>
      </w:r>
    </w:p>
    <w:p w14:paraId="08E9AF29" w14:textId="7A0D6034"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w:t>
      </w:r>
      <w:r w:rsidR="004216E9">
        <w:lastRenderedPageBreak/>
        <w:t>A seção 2.1 aborda o</w:t>
      </w:r>
      <w:r w:rsidR="00324F40">
        <w:t>s materiais teóricos que serviram como base de estudo para a implementação de gestão de processos e automatização robótica de processos</w:t>
      </w:r>
      <w:r w:rsidR="0041381F">
        <w:t xml:space="preserve"> </w:t>
      </w:r>
      <w:r w:rsidR="0041381F" w:rsidRPr="00DB4FF2">
        <w:t>via implementação de agentes virtuais</w:t>
      </w:r>
      <w:r w:rsidR="00324F40" w:rsidRPr="00DB4FF2">
        <w:t>.</w:t>
      </w:r>
      <w:r w:rsidR="00324F40">
        <w:t xml:space="preserve">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583D94E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 xml:space="preserve">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w:t>
      </w:r>
      <w:r w:rsidR="00077C84">
        <w:t>virtuais</w:t>
      </w:r>
      <w:r w:rsidR="003E0014" w:rsidRPr="003E0014">
        <w:t xml:space="preserve">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lastRenderedPageBreak/>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r w:rsidR="00F3110C">
        <w:fldChar w:fldCharType="begin"/>
      </w:r>
      <w:r w:rsidR="00F3110C">
        <w:instrText xml:space="preserve"> SEQ Figura \* ARABIC </w:instrText>
      </w:r>
      <w:r w:rsidR="00F3110C">
        <w:fldChar w:fldCharType="separate"/>
      </w:r>
      <w:r>
        <w:rPr>
          <w:noProof/>
        </w:rPr>
        <w:t>1</w:t>
      </w:r>
      <w:r w:rsidR="00F3110C">
        <w:rPr>
          <w:noProof/>
        </w:rPr>
        <w:fldChar w:fldCharType="end"/>
      </w:r>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r w:rsidR="00616257" w:rsidRPr="0030595D">
        <w:t xml:space="preserve">Robotic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t xml:space="preserve">Por meio da utilização de tais tecnologias, as integrações podem ser realizadas de variadas maneiras, abrangendo desde simples cliques de mouse até a extração e importação de </w:t>
      </w:r>
      <w:r w:rsidRPr="003C03B0">
        <w:lastRenderedPageBreak/>
        <w:t xml:space="preserve">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3D3C622E" w:rsidR="00733533" w:rsidRDefault="003350E0" w:rsidP="00431D5B">
      <w:pPr>
        <w:pStyle w:val="TF-TEXTO"/>
      </w:pPr>
      <w:r w:rsidRPr="003350E0">
        <w:t xml:space="preserve">A implementação de um </w:t>
      </w:r>
      <w:r w:rsidR="00F11644" w:rsidRPr="004B0EDD">
        <w:t xml:space="preserve">agente digital </w:t>
      </w:r>
      <w:r w:rsidRPr="004B0EDD">
        <w:t>robótico</w:t>
      </w:r>
      <w:r w:rsidRPr="003350E0">
        <w:t xml:space="preserve">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6BD10A65" w14:textId="77777777" w:rsidR="00405B77" w:rsidRDefault="00405B77" w:rsidP="00405B77">
      <w:pPr>
        <w:pStyle w:val="Ttulo3"/>
      </w:pPr>
      <w:r>
        <w:lastRenderedPageBreak/>
        <w:t xml:space="preserve">Blue </w:t>
      </w:r>
      <w:proofErr w:type="spellStart"/>
      <w:r>
        <w:t>Prism</w:t>
      </w:r>
      <w:proofErr w:type="spellEnd"/>
    </w:p>
    <w:p w14:paraId="4D88B622" w14:textId="12A4CD6F" w:rsidR="00405B77" w:rsidRDefault="00405B77" w:rsidP="00BF4D6D">
      <w:pPr>
        <w:pStyle w:val="TF-TEXTO"/>
      </w:pPr>
      <w:r>
        <w:t xml:space="preserve">A ferramenta de automação de processos Blue </w:t>
      </w:r>
      <w:proofErr w:type="spellStart"/>
      <w:r>
        <w:t>Prism</w:t>
      </w:r>
      <w:proofErr w:type="spellEnd"/>
      <w:r>
        <w:t>, é um conjunto tecnologias, bibliotecas e ferramentas que permite a construção das automações utilizando elementos gráficos com funções pré-definidas, com a utilização de fluxogramas e blocos (</w:t>
      </w:r>
      <w:r w:rsidRPr="00B52A15">
        <w:t>SANT ‘ANA</w:t>
      </w:r>
      <w:r>
        <w:t>, 2019)</w:t>
      </w:r>
      <w:r w:rsidRPr="00FA75F4">
        <w:t>.</w:t>
      </w:r>
      <w:r>
        <w:t xml:space="preserve"> </w:t>
      </w:r>
      <w:r w:rsidR="00D1262D">
        <w:t>A</w:t>
      </w:r>
      <w:r w:rsidR="00D1262D" w:rsidRPr="004B0EDD">
        <w:t xml:space="preserve"> Figura 3 </w:t>
      </w:r>
      <w:r w:rsidR="00D1262D">
        <w:t xml:space="preserve">ilustra </w:t>
      </w:r>
      <w:r w:rsidR="00D1262D" w:rsidRPr="004B0EDD">
        <w:t xml:space="preserve">a estrutura de automação no Blue </w:t>
      </w:r>
      <w:proofErr w:type="spellStart"/>
      <w:r w:rsidR="00D1262D" w:rsidRPr="004B0EDD">
        <w:t>Prism</w:t>
      </w:r>
      <w:proofErr w:type="spellEnd"/>
      <w:r w:rsidR="00D1262D">
        <w:t>, que</w:t>
      </w:r>
      <w:r w:rsidR="00D1262D" w:rsidRPr="004B0EDD">
        <w:t xml:space="preserve"> é composta por duas camadas</w:t>
      </w:r>
      <w:r w:rsidR="00D1262D">
        <w:t xml:space="preserve">, </w:t>
      </w:r>
      <w:r w:rsidR="00BF4D6D">
        <w:t xml:space="preserve">a primeira </w:t>
      </w:r>
      <w:r w:rsidR="005B2309">
        <w:t>camada</w:t>
      </w:r>
      <w:r w:rsidR="00BF4D6D">
        <w:t xml:space="preserve">, </w:t>
      </w:r>
      <w:r w:rsidR="005B2309">
        <w:t>de objetos</w:t>
      </w:r>
      <w:r w:rsidR="005B2309" w:rsidRPr="004B0EDD">
        <w:t xml:space="preserve">, </w:t>
      </w:r>
      <w:r w:rsidR="005B2309">
        <w:t>onde eles</w:t>
      </w:r>
      <w:r w:rsidR="005B2309" w:rsidRPr="004B0EDD">
        <w:t xml:space="preserve"> representam os ambientes de trabalho que interagem com as aplicações. A ferramenta Blue </w:t>
      </w:r>
      <w:proofErr w:type="spellStart"/>
      <w:r w:rsidR="005B2309" w:rsidRPr="004B0EDD">
        <w:t>Prism</w:t>
      </w:r>
      <w:proofErr w:type="spellEnd"/>
      <w:r w:rsidR="005B2309" w:rsidRPr="004B0EDD">
        <w:t xml:space="preserve"> oferece suporte para integração com diversas aplicações, tais como Microsoft Excel, interfaces de bancos de dados, websites e aplicações desktop. Nessa camada, são programadas ações para interagir com esses sistemas, como pressionar botões, enviar comandos por meio de banco de dados e aplicar filtros em planilhas do Excel. </w:t>
      </w:r>
      <w:r w:rsidR="00D16731" w:rsidRPr="00D16731">
        <w:t xml:space="preserve">Na </w:t>
      </w:r>
      <w:r w:rsidR="008C625A">
        <w:t xml:space="preserve">segunda </w:t>
      </w:r>
      <w:r w:rsidR="00D16731" w:rsidRPr="00D16731">
        <w:t>camada</w:t>
      </w:r>
      <w:r w:rsidR="008C625A">
        <w:t>,</w:t>
      </w:r>
      <w:r w:rsidR="00D16731" w:rsidRPr="00D16731">
        <w:t xml:space="preserve"> de processos, ocorre a utilização dos objetos com o propósito de aplicar as regras inerentes ao processo em questão, o qual está sendo automatizado. </w:t>
      </w:r>
      <w:r w:rsidR="005B2309" w:rsidRPr="004B0EDD">
        <w:t>Dessa forma, vários objetos são utilizados e a</w:t>
      </w:r>
      <w:r w:rsidR="008C625A">
        <w:t xml:space="preserve"> aplicação das</w:t>
      </w:r>
      <w:r w:rsidR="005B2309" w:rsidRPr="004B0EDD">
        <w:t xml:space="preserve"> regras necessárias para a automação</w:t>
      </w:r>
      <w:r w:rsidR="008C625A">
        <w:t xml:space="preserve"> </w:t>
      </w:r>
      <w:r w:rsidR="005B2309" w:rsidRPr="004B0EDD">
        <w:t>(SANT ‘ANA, 2019).</w:t>
      </w:r>
    </w:p>
    <w:p w14:paraId="10C0107E" w14:textId="15EA45E7" w:rsidR="00405B77" w:rsidRPr="00F3649F" w:rsidRDefault="00405B77" w:rsidP="00405B77">
      <w:pPr>
        <w:pStyle w:val="TF-LEGENDA"/>
      </w:pPr>
      <w:r>
        <w:t xml:space="preserve">Figura 3 </w:t>
      </w:r>
      <w:r w:rsidRPr="00F3649F">
        <w:t xml:space="preserve">– </w:t>
      </w:r>
      <w:r w:rsidRPr="006328E0">
        <w:t xml:space="preserve">Estrutura de uma solução RPA no Blue </w:t>
      </w:r>
      <w:proofErr w:type="spellStart"/>
      <w:r w:rsidRPr="006328E0">
        <w:t>Prism</w:t>
      </w:r>
      <w:proofErr w:type="spellEnd"/>
      <w:r w:rsidRPr="006328E0">
        <w:t>.</w:t>
      </w:r>
    </w:p>
    <w:p w14:paraId="334578F5" w14:textId="77777777" w:rsidR="00405B77" w:rsidRPr="00C458D3" w:rsidRDefault="00405B77" w:rsidP="00405B77">
      <w:pPr>
        <w:pStyle w:val="TF-FIGURA"/>
        <w:rPr>
          <w:highlight w:val="yellow"/>
        </w:rPr>
      </w:pPr>
      <w:r>
        <w:rPr>
          <w:noProof/>
          <w:sz w:val="16"/>
          <w:szCs w:val="16"/>
        </w:rPr>
        <w:drawing>
          <wp:inline distT="0" distB="0" distL="0" distR="0" wp14:anchorId="64C89B2D" wp14:editId="7EF5F9FD">
            <wp:extent cx="2677795" cy="2214812"/>
            <wp:effectExtent l="19050" t="19050" r="27305" b="14605"/>
            <wp:docPr id="1776659892" name="Imagem 177665989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9892" name="Imagem 177665989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84315" cy="2220204"/>
                    </a:xfrm>
                    <a:prstGeom prst="rect">
                      <a:avLst/>
                    </a:prstGeom>
                    <a:ln w="12700">
                      <a:solidFill>
                        <a:schemeClr val="tx1"/>
                      </a:solidFill>
                    </a:ln>
                  </pic:spPr>
                </pic:pic>
              </a:graphicData>
            </a:graphic>
          </wp:inline>
        </w:drawing>
      </w:r>
    </w:p>
    <w:p w14:paraId="0B3E17EA" w14:textId="77777777" w:rsidR="00405B77" w:rsidRDefault="00405B77" w:rsidP="00405B77">
      <w:pPr>
        <w:pStyle w:val="TF-FONTE"/>
      </w:pPr>
      <w:r w:rsidRPr="000C0032">
        <w:t>Fonte: S</w:t>
      </w:r>
      <w:r>
        <w:t>ant</w:t>
      </w:r>
      <w:r w:rsidRPr="000C0032">
        <w:t xml:space="preserve"> ‘</w:t>
      </w:r>
      <w:proofErr w:type="spellStart"/>
      <w:r>
        <w:t>ana</w:t>
      </w:r>
      <w:proofErr w:type="spellEnd"/>
      <w:r w:rsidRPr="000C0032">
        <w:t xml:space="preserve"> (20</w:t>
      </w:r>
      <w:r>
        <w:t>19</w:t>
      </w:r>
      <w:r w:rsidRPr="000C0032">
        <w:t>)</w:t>
      </w:r>
      <w:r>
        <w:t>.</w:t>
      </w:r>
    </w:p>
    <w:p w14:paraId="23DCF831" w14:textId="33E93D87" w:rsidR="00156914" w:rsidRPr="00156914" w:rsidRDefault="00156914" w:rsidP="00156914"/>
    <w:p w14:paraId="0FA18E52" w14:textId="3A9A7406" w:rsidR="00EA6A24" w:rsidRPr="00405B77" w:rsidRDefault="00922ABB" w:rsidP="00922ABB">
      <w:pPr>
        <w:pStyle w:val="TF-TEXTO"/>
      </w:pPr>
      <w:r w:rsidRPr="004B0EDD">
        <w:t xml:space="preserve">Outro conceito fundamental da ferramenta consiste em estabelecer que cada processo deve possuir, no mínimo, uma fila de trabalho na qual serão inseridos itens a serem processados pela automação. Esses itens podem representar pagamentos a serem efetuados a fornecedores, por exemplo. Quando o agente virtual seleciona um item da fila para processamento, é necessário realizar uma sequência de atividades para concluir o processamento desse item. Caso ocorra alguma falha durante o processamento, o agente virtual documentará o motivo desse erro para fins de análise e tratamento posterior. Dessa forma, os itens são executados individualmente até que a fila de trabalho não contenha mais casos a serem processados, o que marca a conclusão da </w:t>
      </w:r>
      <w:r w:rsidR="004719A1" w:rsidRPr="004B0EDD">
        <w:t>execução (</w:t>
      </w:r>
      <w:r w:rsidRPr="004B0EDD">
        <w:t>SANT ‘ANA, 2019)</w:t>
      </w:r>
      <w:r w:rsidR="0068029B" w:rsidRPr="004B0EDD">
        <w:t>.</w:t>
      </w:r>
    </w:p>
    <w:p w14:paraId="5766B0DA" w14:textId="6E6A2F42" w:rsidR="00A44581" w:rsidRDefault="00C67979" w:rsidP="00872236">
      <w:pPr>
        <w:pStyle w:val="Ttulo2"/>
      </w:pPr>
      <w:r w:rsidRPr="00FC4A9F">
        <w:lastRenderedPageBreak/>
        <w:t>Correlatos</w:t>
      </w:r>
    </w:p>
    <w:p w14:paraId="40FC27A3" w14:textId="333FCA34" w:rsidR="00405B77" w:rsidRPr="00405B77" w:rsidRDefault="00405B77" w:rsidP="00405B77">
      <w:pPr>
        <w:pStyle w:val="TF-TEXTO"/>
      </w:pPr>
      <w:r w:rsidRPr="00D16D6E">
        <w:t xml:space="preserve">O processo de pesquisa dos trabalhos correlatos ocorreu nos seguintes portais de busca: Google </w:t>
      </w:r>
      <w:r w:rsidR="00C00F05">
        <w:t>Acadêmico</w:t>
      </w:r>
      <w:r w:rsidRPr="00D16D6E">
        <w:t xml:space="preserve">, Biblioteca Digital da </w:t>
      </w:r>
      <w:proofErr w:type="spellStart"/>
      <w:r w:rsidRPr="00D16D6E">
        <w:t>Furb</w:t>
      </w:r>
      <w:proofErr w:type="spellEnd"/>
      <w:r w:rsidRPr="00D16D6E">
        <w:t xml:space="preserve"> e </w:t>
      </w:r>
      <w:proofErr w:type="spellStart"/>
      <w:r w:rsidRPr="00D16D6E">
        <w:t>Scientific</w:t>
      </w:r>
      <w:proofErr w:type="spellEnd"/>
      <w:r w:rsidRPr="00D16D6E">
        <w:t xml:space="preserve"> </w:t>
      </w:r>
      <w:proofErr w:type="spellStart"/>
      <w:r w:rsidRPr="00D16D6E">
        <w:t>Electronic</w:t>
      </w:r>
      <w:proofErr w:type="spellEnd"/>
      <w:r w:rsidRPr="00D16D6E">
        <w:t xml:space="preserve"> Library On-Line (SciELO). Os critérios utilizados na busca dos trabalhos foram a semelhança ao trabalho </w:t>
      </w:r>
      <w:r w:rsidR="00D16731">
        <w:t>atual</w:t>
      </w:r>
      <w:r w:rsidRPr="00D16D6E">
        <w:t xml:space="preserve"> e </w:t>
      </w:r>
      <w:r w:rsidR="00D16731">
        <w:t>preferência por trabalhos de conclusão de curso, monografias e dissertações</w:t>
      </w:r>
      <w:r w:rsidRPr="00D16D6E">
        <w:t xml:space="preserve">. Dos locais de busca citados, apenas o Google </w:t>
      </w:r>
      <w:r w:rsidR="00A97E7C">
        <w:t>Acadêmico</w:t>
      </w:r>
      <w:r w:rsidR="00A97E7C" w:rsidRPr="00D16D6E">
        <w:t xml:space="preserve"> </w:t>
      </w:r>
      <w:r w:rsidRPr="00D16D6E">
        <w:t xml:space="preserve">e </w:t>
      </w:r>
      <w:proofErr w:type="spellStart"/>
      <w:r w:rsidRPr="00D16D6E">
        <w:t>Scielo</w:t>
      </w:r>
      <w:proofErr w:type="spellEnd"/>
      <w:r w:rsidRPr="00D16D6E">
        <w:t xml:space="preserve"> apresentaram correlatos com relevância.</w:t>
      </w:r>
    </w:p>
    <w:p w14:paraId="5CCDDB48" w14:textId="14DE3EC3"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(202</w:t>
      </w:r>
      <w:r w:rsidR="00C45AD0">
        <w:t>0</w:t>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66096172"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Cordeiro</w:t>
      </w:r>
      <w:r w:rsidR="0042389B">
        <w:t xml:space="preserve"> </w:t>
      </w:r>
      <w:r w:rsidR="0042389B" w:rsidRPr="0042389B">
        <w:rPr>
          <w:i/>
          <w:iCs/>
        </w:rPr>
        <w:t>et al</w:t>
      </w:r>
      <w:r w:rsidRPr="00926AF8">
        <w:t xml:space="preserve"> (2022) </w:t>
      </w:r>
      <w:bookmarkEnd w:id="19"/>
      <w:r w:rsidRPr="00926AF8">
        <w:t>apresenta um estudo sobre todas as automações implementadas em um setor financeiro, evidenciando os resultados obtidos por meio delas.</w:t>
      </w:r>
    </w:p>
    <w:p w14:paraId="344DD22A" w14:textId="6772E95C" w:rsidR="00EA15B1" w:rsidRPr="003F4B66" w:rsidRDefault="00926AF8" w:rsidP="00A44581">
      <w:pPr>
        <w:pStyle w:val="TF-TEXTO"/>
      </w:pPr>
      <w:r w:rsidRPr="00926AF8">
        <w:t xml:space="preserve">Os estudos acerca das automações de processos desempenham um papel crucial no fomento e na disseminação das ferramentas </w:t>
      </w:r>
      <w:r w:rsidR="00C20FAD">
        <w:t>de automação</w:t>
      </w:r>
      <w:r w:rsidRPr="00926AF8">
        <w:t xml:space="preserve">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r w:rsidR="00F3110C">
        <w:fldChar w:fldCharType="begin"/>
      </w:r>
      <w:r w:rsidR="00F3110C">
        <w:instrText xml:space="preserve"> SEQ Quadro \* ARABIC </w:instrText>
      </w:r>
      <w:r w:rsidR="00F3110C">
        <w:fldChar w:fldCharType="separate"/>
      </w:r>
      <w:r w:rsidR="008F0CFD">
        <w:rPr>
          <w:noProof/>
        </w:rPr>
        <w:t>1</w:t>
      </w:r>
      <w:r w:rsidR="00F3110C">
        <w:rPr>
          <w:noProof/>
        </w:rPr>
        <w:fldChar w:fldCharType="end"/>
      </w:r>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 xml:space="preserve">Cordeiro </w:t>
            </w:r>
            <w:r w:rsidRPr="001935DD">
              <w:rPr>
                <w:i/>
                <w:iCs/>
              </w:rPr>
              <w:t>et al.</w:t>
            </w:r>
            <w:r w:rsidRPr="00673CD0">
              <w:t xml:space="preserve">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56DA6A78" w:rsidR="00786D77" w:rsidRDefault="003B2FBD" w:rsidP="00F418A3">
            <w:pPr>
              <w:pStyle w:val="TF-TEXTOQUADRO"/>
              <w:jc w:val="center"/>
            </w:pPr>
            <w:r w:rsidRPr="003B2FBD">
              <w:t>Pereira, Barbosa, Duarte (202</w:t>
            </w:r>
            <w:r w:rsidR="00C45AD0">
              <w:t>0</w:t>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 xml:space="preserve">etodologia BPM para maturação </w:t>
      </w:r>
      <w:r w:rsidR="00B17602">
        <w:lastRenderedPageBreak/>
        <w:t>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2B667271" w:rsidR="00AA6A3F" w:rsidRDefault="00824100" w:rsidP="00451B94">
      <w:pPr>
        <w:pStyle w:val="TF-TEXTO"/>
      </w:pPr>
      <w:r w:rsidRPr="00824100">
        <w:t xml:space="preserve">Por meio da implementação de automação de processos robóticos, o setor financeiro será capaz de desempenhar atividades anteriormente realizadas manualmente de maneira contínua, em um regime 24/7. </w:t>
      </w:r>
      <w:r w:rsidR="00405B77" w:rsidRPr="007C7B54">
        <w:t>Essa característica se deve ao fato de que os processos serão realizados por um agente digital através de programações de agendas, não estando restritos a um período comercial específico, podendo ser executados em diferentes momentos ao longo do dia</w:t>
      </w:r>
      <w:r w:rsidRPr="007C7B54">
        <w:t>.</w:t>
      </w:r>
      <w:r w:rsidRPr="00824100">
        <w:t xml:space="preserve">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lastRenderedPageBreak/>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7A0D4D13" w14:textId="0EE318AD" w:rsidR="00405B77" w:rsidRPr="002946B7" w:rsidRDefault="00405B77" w:rsidP="00EC633A">
      <w:pPr>
        <w:pStyle w:val="TF-ALNEA"/>
        <w:numPr>
          <w:ilvl w:val="0"/>
          <w:numId w:val="10"/>
        </w:numPr>
        <w:contextualSpacing w:val="0"/>
      </w:pPr>
      <w:r w:rsidRPr="002946B7">
        <w:t xml:space="preserve">especificação e análise: formalizar as funcionalidades da automação através de digramas de caso de uso e atividades da </w:t>
      </w:r>
      <w:proofErr w:type="spellStart"/>
      <w:r w:rsidRPr="002946B7">
        <w:t>Unified</w:t>
      </w:r>
      <w:proofErr w:type="spellEnd"/>
      <w:r w:rsidRPr="002946B7">
        <w:t xml:space="preserve"> </w:t>
      </w:r>
      <w:proofErr w:type="spellStart"/>
      <w:r w:rsidRPr="002946B7">
        <w:t>Modeling</w:t>
      </w:r>
      <w:proofErr w:type="spellEnd"/>
      <w:r w:rsidRPr="002946B7">
        <w:t xml:space="preserve"> </w:t>
      </w:r>
      <w:proofErr w:type="spellStart"/>
      <w:r w:rsidRPr="002946B7">
        <w:t>Language</w:t>
      </w:r>
      <w:proofErr w:type="spellEnd"/>
      <w:r w:rsidRPr="002946B7">
        <w:t xml:space="preserve"> (UML), utilizando a ferramenta </w:t>
      </w:r>
      <w:proofErr w:type="spellStart"/>
      <w:r w:rsidRPr="002946B7">
        <w:t>StarUML</w:t>
      </w:r>
      <w:proofErr w:type="spellEnd"/>
      <w:r w:rsidRPr="002946B7">
        <w:t>;</w:t>
      </w:r>
    </w:p>
    <w:p w14:paraId="030AB06B" w14:textId="17CC7DD6"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 xml:space="preserve">o fluxo mapeado com base nos requisitos levantados </w:t>
      </w:r>
      <w:r w:rsidR="00405B77" w:rsidRPr="00405B77">
        <w:t xml:space="preserve">utilizando a </w:t>
      </w:r>
      <w:r w:rsidR="00405B77" w:rsidRPr="002946B7">
        <w:t xml:space="preserve">ferramenta de automação Blue </w:t>
      </w:r>
      <w:proofErr w:type="spellStart"/>
      <w:r w:rsidR="00405B77" w:rsidRPr="002946B7">
        <w:t>Prism</w:t>
      </w:r>
      <w:proofErr w:type="spellEnd"/>
      <w:r w:rsidR="00451B94" w:rsidRPr="002946B7">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Rian;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w:t>
      </w:r>
      <w:r w:rsidRPr="001935DD">
        <w:rPr>
          <w:i/>
          <w:iCs/>
        </w:rPr>
        <w:t>et al</w:t>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lastRenderedPageBreak/>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77777777" w:rsidR="00AC5D6D"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sectPr w:rsidR="00AC5D6D"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7BC6" w14:textId="77777777" w:rsidR="00061256" w:rsidRDefault="00061256">
      <w:r>
        <w:separator/>
      </w:r>
    </w:p>
  </w:endnote>
  <w:endnote w:type="continuationSeparator" w:id="0">
    <w:p w14:paraId="0B0CFC05" w14:textId="77777777" w:rsidR="00061256" w:rsidRDefault="0006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ECADD" w14:textId="77777777" w:rsidR="00061256" w:rsidRDefault="00061256">
      <w:r>
        <w:separator/>
      </w:r>
    </w:p>
  </w:footnote>
  <w:footnote w:type="continuationSeparator" w:id="0">
    <w:p w14:paraId="573DBB10" w14:textId="77777777" w:rsidR="00061256" w:rsidRDefault="00061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256"/>
    <w:rsid w:val="00061FEB"/>
    <w:rsid w:val="000654D2"/>
    <w:rsid w:val="000667DF"/>
    <w:rsid w:val="000677B4"/>
    <w:rsid w:val="0007209B"/>
    <w:rsid w:val="000747FF"/>
    <w:rsid w:val="00075792"/>
    <w:rsid w:val="00076065"/>
    <w:rsid w:val="00077C84"/>
    <w:rsid w:val="00080F9C"/>
    <w:rsid w:val="0008579A"/>
    <w:rsid w:val="00086AA8"/>
    <w:rsid w:val="0008732D"/>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C2"/>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14"/>
    <w:rsid w:val="00156939"/>
    <w:rsid w:val="00161780"/>
    <w:rsid w:val="00162BF1"/>
    <w:rsid w:val="00165151"/>
    <w:rsid w:val="0016560C"/>
    <w:rsid w:val="001666D0"/>
    <w:rsid w:val="00172545"/>
    <w:rsid w:val="00172D96"/>
    <w:rsid w:val="00182990"/>
    <w:rsid w:val="001845FC"/>
    <w:rsid w:val="00184F0C"/>
    <w:rsid w:val="00185F3F"/>
    <w:rsid w:val="00186092"/>
    <w:rsid w:val="00190323"/>
    <w:rsid w:val="001935DD"/>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366"/>
    <w:rsid w:val="001F34B1"/>
    <w:rsid w:val="00202F3F"/>
    <w:rsid w:val="002033E2"/>
    <w:rsid w:val="00212014"/>
    <w:rsid w:val="0022329C"/>
    <w:rsid w:val="00223B5A"/>
    <w:rsid w:val="00224BB2"/>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46B7"/>
    <w:rsid w:val="0029608A"/>
    <w:rsid w:val="002A1764"/>
    <w:rsid w:val="002A3CFC"/>
    <w:rsid w:val="002A6617"/>
    <w:rsid w:val="002A7E1B"/>
    <w:rsid w:val="002B0EDC"/>
    <w:rsid w:val="002B3F44"/>
    <w:rsid w:val="002B4718"/>
    <w:rsid w:val="002B6000"/>
    <w:rsid w:val="002B7F8D"/>
    <w:rsid w:val="002C6427"/>
    <w:rsid w:val="002E35A6"/>
    <w:rsid w:val="002E6DD1"/>
    <w:rsid w:val="002F027E"/>
    <w:rsid w:val="002F1C9A"/>
    <w:rsid w:val="002F20DD"/>
    <w:rsid w:val="002F401C"/>
    <w:rsid w:val="0030595D"/>
    <w:rsid w:val="00310299"/>
    <w:rsid w:val="003105CE"/>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05B77"/>
    <w:rsid w:val="00410543"/>
    <w:rsid w:val="004133D4"/>
    <w:rsid w:val="0041381F"/>
    <w:rsid w:val="0041386C"/>
    <w:rsid w:val="004173CC"/>
    <w:rsid w:val="0041776E"/>
    <w:rsid w:val="004216E9"/>
    <w:rsid w:val="0042356B"/>
    <w:rsid w:val="0042389B"/>
    <w:rsid w:val="0042420A"/>
    <w:rsid w:val="004243D2"/>
    <w:rsid w:val="00424610"/>
    <w:rsid w:val="00431D5B"/>
    <w:rsid w:val="004325CA"/>
    <w:rsid w:val="00435CA3"/>
    <w:rsid w:val="004377BE"/>
    <w:rsid w:val="00441BE3"/>
    <w:rsid w:val="00443435"/>
    <w:rsid w:val="00446547"/>
    <w:rsid w:val="00451B94"/>
    <w:rsid w:val="00452A03"/>
    <w:rsid w:val="00453852"/>
    <w:rsid w:val="00453D20"/>
    <w:rsid w:val="00470C41"/>
    <w:rsid w:val="004719A1"/>
    <w:rsid w:val="00474A7F"/>
    <w:rsid w:val="00474DCF"/>
    <w:rsid w:val="0047651C"/>
    <w:rsid w:val="0047690F"/>
    <w:rsid w:val="00476C78"/>
    <w:rsid w:val="00480793"/>
    <w:rsid w:val="0048576D"/>
    <w:rsid w:val="00493B1A"/>
    <w:rsid w:val="0049495C"/>
    <w:rsid w:val="00497E23"/>
    <w:rsid w:val="00497EF6"/>
    <w:rsid w:val="004A4D78"/>
    <w:rsid w:val="004A4FF9"/>
    <w:rsid w:val="004B0EDD"/>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060EB"/>
    <w:rsid w:val="005144DC"/>
    <w:rsid w:val="005169C2"/>
    <w:rsid w:val="005221D4"/>
    <w:rsid w:val="00525FD2"/>
    <w:rsid w:val="0052683E"/>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309"/>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266F1"/>
    <w:rsid w:val="006305AA"/>
    <w:rsid w:val="006321BD"/>
    <w:rsid w:val="0063277E"/>
    <w:rsid w:val="00633D0D"/>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029B"/>
    <w:rsid w:val="00686423"/>
    <w:rsid w:val="00692FCB"/>
    <w:rsid w:val="00695745"/>
    <w:rsid w:val="0069600B"/>
    <w:rsid w:val="006A0A1A"/>
    <w:rsid w:val="006A40DB"/>
    <w:rsid w:val="006A5B9F"/>
    <w:rsid w:val="006A6460"/>
    <w:rsid w:val="006B104E"/>
    <w:rsid w:val="006B5AEA"/>
    <w:rsid w:val="006B6383"/>
    <w:rsid w:val="006B640D"/>
    <w:rsid w:val="006C0E27"/>
    <w:rsid w:val="006C1F64"/>
    <w:rsid w:val="006C2653"/>
    <w:rsid w:val="006C328E"/>
    <w:rsid w:val="006C410F"/>
    <w:rsid w:val="006C4ED2"/>
    <w:rsid w:val="006C5D48"/>
    <w:rsid w:val="006C61FA"/>
    <w:rsid w:val="006D025F"/>
    <w:rsid w:val="006D0896"/>
    <w:rsid w:val="006D4F40"/>
    <w:rsid w:val="006D56E4"/>
    <w:rsid w:val="006D7495"/>
    <w:rsid w:val="006E067F"/>
    <w:rsid w:val="006E1D8A"/>
    <w:rsid w:val="006E2540"/>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1F0F"/>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C2889"/>
    <w:rsid w:val="007C4631"/>
    <w:rsid w:val="007C6A3B"/>
    <w:rsid w:val="007C7B54"/>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65EFA"/>
    <w:rsid w:val="00871A41"/>
    <w:rsid w:val="008720F7"/>
    <w:rsid w:val="00872236"/>
    <w:rsid w:val="0087563C"/>
    <w:rsid w:val="00882769"/>
    <w:rsid w:val="00886D76"/>
    <w:rsid w:val="0089046A"/>
    <w:rsid w:val="0089250D"/>
    <w:rsid w:val="00897019"/>
    <w:rsid w:val="00897312"/>
    <w:rsid w:val="008A071D"/>
    <w:rsid w:val="008A511C"/>
    <w:rsid w:val="008B0A07"/>
    <w:rsid w:val="008B11D9"/>
    <w:rsid w:val="008B236D"/>
    <w:rsid w:val="008B4F42"/>
    <w:rsid w:val="008B781F"/>
    <w:rsid w:val="008C0069"/>
    <w:rsid w:val="008C0D88"/>
    <w:rsid w:val="008C1495"/>
    <w:rsid w:val="008C5E2A"/>
    <w:rsid w:val="008C625A"/>
    <w:rsid w:val="008D22E5"/>
    <w:rsid w:val="008D440A"/>
    <w:rsid w:val="008D4FD6"/>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4312"/>
    <w:rsid w:val="0091745C"/>
    <w:rsid w:val="00921AB9"/>
    <w:rsid w:val="00922ABB"/>
    <w:rsid w:val="0092329B"/>
    <w:rsid w:val="00926AF8"/>
    <w:rsid w:val="009275D8"/>
    <w:rsid w:val="00931632"/>
    <w:rsid w:val="00932537"/>
    <w:rsid w:val="00932C92"/>
    <w:rsid w:val="00932E3D"/>
    <w:rsid w:val="00934E02"/>
    <w:rsid w:val="0093718D"/>
    <w:rsid w:val="00937575"/>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734"/>
    <w:rsid w:val="00A90DDD"/>
    <w:rsid w:val="00A966E6"/>
    <w:rsid w:val="00A96CCA"/>
    <w:rsid w:val="00A97E7C"/>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B33"/>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8256A"/>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BF4D6D"/>
    <w:rsid w:val="00C00B88"/>
    <w:rsid w:val="00C00F05"/>
    <w:rsid w:val="00C06B2A"/>
    <w:rsid w:val="00C11392"/>
    <w:rsid w:val="00C136B2"/>
    <w:rsid w:val="00C20FAD"/>
    <w:rsid w:val="00C22371"/>
    <w:rsid w:val="00C23954"/>
    <w:rsid w:val="00C35E57"/>
    <w:rsid w:val="00C35E80"/>
    <w:rsid w:val="00C40AA2"/>
    <w:rsid w:val="00C4244F"/>
    <w:rsid w:val="00C45AD0"/>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37F"/>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62D"/>
    <w:rsid w:val="00D12F44"/>
    <w:rsid w:val="00D15A14"/>
    <w:rsid w:val="00D15B4E"/>
    <w:rsid w:val="00D16731"/>
    <w:rsid w:val="00D16D6E"/>
    <w:rsid w:val="00D17426"/>
    <w:rsid w:val="00D1768B"/>
    <w:rsid w:val="00D177E7"/>
    <w:rsid w:val="00D2079F"/>
    <w:rsid w:val="00D208D3"/>
    <w:rsid w:val="00D24F16"/>
    <w:rsid w:val="00D359AD"/>
    <w:rsid w:val="00D37C24"/>
    <w:rsid w:val="00D407E6"/>
    <w:rsid w:val="00D447EF"/>
    <w:rsid w:val="00D46214"/>
    <w:rsid w:val="00D47B34"/>
    <w:rsid w:val="00D505E2"/>
    <w:rsid w:val="00D524B7"/>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4FF2"/>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384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4ADC"/>
    <w:rsid w:val="00E86211"/>
    <w:rsid w:val="00E863ED"/>
    <w:rsid w:val="00E9731C"/>
    <w:rsid w:val="00EA04ED"/>
    <w:rsid w:val="00EA15B1"/>
    <w:rsid w:val="00EA34F3"/>
    <w:rsid w:val="00EA4E4C"/>
    <w:rsid w:val="00EA5266"/>
    <w:rsid w:val="00EA6A24"/>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1644"/>
    <w:rsid w:val="00F127AB"/>
    <w:rsid w:val="00F14812"/>
    <w:rsid w:val="00F1598C"/>
    <w:rsid w:val="00F17CD1"/>
    <w:rsid w:val="00F20BC6"/>
    <w:rsid w:val="00F21403"/>
    <w:rsid w:val="00F255FC"/>
    <w:rsid w:val="00F259B0"/>
    <w:rsid w:val="00F26A20"/>
    <w:rsid w:val="00F27186"/>
    <w:rsid w:val="00F27220"/>
    <w:rsid w:val="00F276C9"/>
    <w:rsid w:val="00F3110C"/>
    <w:rsid w:val="00F31359"/>
    <w:rsid w:val="00F33F62"/>
    <w:rsid w:val="00F34729"/>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01F"/>
    <w:rsid w:val="00FC2831"/>
    <w:rsid w:val="00FC2D40"/>
    <w:rsid w:val="00FC3600"/>
    <w:rsid w:val="00FC3BF2"/>
    <w:rsid w:val="00FC49F3"/>
    <w:rsid w:val="00FC4A9F"/>
    <w:rsid w:val="00FC565B"/>
    <w:rsid w:val="00FD357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ECF2BFB-75A3-42B0-A69F-854663A2F0F8}">
  <ds:schemaRefs>
    <ds:schemaRef ds:uri="http://schemas.microsoft.com/office/2006/documentManagement/types"/>
    <ds:schemaRef ds:uri="http://purl.org/dc/terms/"/>
    <ds:schemaRef ds:uri="http://purl.org/dc/dcmitype/"/>
    <ds:schemaRef ds:uri="4f2164db-c299-4b13-ad92-9f1eaca46ccb"/>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1b50c515-fb3d-416d-b9cc-72561122ce28"/>
    <ds:schemaRef ds:uri="http://www.w3.org/XML/1998/namespace"/>
  </ds:schemaRefs>
</ds:datastoreItem>
</file>

<file path=customXml/itemProps2.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4.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3657</Words>
  <Characters>19753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Carlos Augusto Schultz Medina</cp:lastModifiedBy>
  <cp:revision>2</cp:revision>
  <cp:lastPrinted>2015-03-26T13:00:00Z</cp:lastPrinted>
  <dcterms:created xsi:type="dcterms:W3CDTF">2023-06-13T01:21:00Z</dcterms:created>
  <dcterms:modified xsi:type="dcterms:W3CDTF">2023-06-13T01:21:00Z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